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C443D6" w:rsidP="00C443D6" w:rsidRDefault="124C04F4" w14:paraId="7516BB8E" w14:textId="276BEF91">
      <w:pPr>
        <w:jc w:val="center"/>
        <w:rPr>
          <w:b/>
          <w:bCs/>
          <w:sz w:val="32"/>
          <w:szCs w:val="32"/>
        </w:rPr>
      </w:pPr>
      <w:r w:rsidRPr="2A9888F1">
        <w:rPr>
          <w:b/>
          <w:bCs/>
          <w:sz w:val="32"/>
          <w:szCs w:val="32"/>
        </w:rPr>
        <w:t>UNA NUEVA VISIÓN DE LA MINERÍA EN COLOMBIA</w:t>
      </w:r>
    </w:p>
    <w:p w:rsidR="70DCBA52" w:rsidP="70DCBA52" w:rsidRDefault="70DCBA52" w14:paraId="49AF94AE" w14:textId="4E62E135">
      <w:pPr>
        <w:jc w:val="center"/>
        <w:rPr>
          <w:b/>
          <w:bCs/>
          <w:sz w:val="32"/>
          <w:szCs w:val="32"/>
        </w:rPr>
      </w:pPr>
    </w:p>
    <w:p w:rsidR="70DCBA52" w:rsidP="70DCBA52" w:rsidRDefault="70DCBA52" w14:paraId="03299993" w14:textId="514E818D">
      <w:pPr>
        <w:jc w:val="center"/>
        <w:rPr>
          <w:b/>
          <w:bCs/>
          <w:sz w:val="32"/>
          <w:szCs w:val="32"/>
        </w:rPr>
      </w:pPr>
    </w:p>
    <w:p w:rsidR="3CA3DDB6" w:rsidP="70DCBA52" w:rsidRDefault="6515BF80" w14:paraId="50A570DA" w14:textId="20DC702A">
      <w:pPr>
        <w:jc w:val="center"/>
        <w:rPr>
          <w:b/>
          <w:bCs/>
          <w:sz w:val="32"/>
          <w:szCs w:val="32"/>
        </w:rPr>
      </w:pPr>
      <w:r w:rsidRPr="769A4CE5">
        <w:rPr>
          <w:b/>
          <w:bCs/>
          <w:sz w:val="32"/>
          <w:szCs w:val="32"/>
        </w:rPr>
        <w:t xml:space="preserve">POLÍTICA </w:t>
      </w:r>
      <w:r w:rsidRPr="769A4CE5" w:rsidR="1FE47E1A">
        <w:rPr>
          <w:b/>
          <w:bCs/>
          <w:sz w:val="32"/>
          <w:szCs w:val="32"/>
        </w:rPr>
        <w:t xml:space="preserve">PUBLICA </w:t>
      </w:r>
      <w:r w:rsidRPr="769A4CE5">
        <w:rPr>
          <w:b/>
          <w:bCs/>
          <w:sz w:val="32"/>
          <w:szCs w:val="32"/>
        </w:rPr>
        <w:t>MINERA NACIONAL</w:t>
      </w:r>
    </w:p>
    <w:p w:rsidRPr="00C9324B" w:rsidR="00C443D6" w:rsidP="70DCBA52" w:rsidRDefault="00C443D6" w14:paraId="0426306C" w14:textId="77777777">
      <w:pPr>
        <w:jc w:val="center"/>
        <w:rPr>
          <w:color w:val="AEAAAA" w:themeColor="background2" w:themeShade="BF"/>
          <w:sz w:val="32"/>
          <w:szCs w:val="32"/>
        </w:rPr>
      </w:pPr>
    </w:p>
    <w:p w:rsidR="00C443D6" w:rsidP="00C443D6" w:rsidRDefault="00C443D6" w14:paraId="1A58F7AD" w14:textId="77777777">
      <w:pPr>
        <w:rPr>
          <w:b/>
          <w:sz w:val="36"/>
        </w:rPr>
      </w:pPr>
    </w:p>
    <w:p w:rsidRPr="00C9324B" w:rsidR="006024DC" w:rsidP="70DCBA52" w:rsidRDefault="006024DC" w14:paraId="42096891" w14:textId="4682661E">
      <w:pPr>
        <w:rPr>
          <w:b/>
          <w:bCs/>
          <w:sz w:val="36"/>
          <w:szCs w:val="36"/>
        </w:rPr>
      </w:pPr>
    </w:p>
    <w:p w:rsidRPr="006024DC" w:rsidR="00C443D6" w:rsidP="006024DC" w:rsidRDefault="00C443D6" w14:paraId="622275EC" w14:textId="77777777">
      <w:pPr>
        <w:jc w:val="center"/>
        <w:rPr>
          <w:color w:val="AEAAAA" w:themeColor="background2" w:themeShade="BF"/>
          <w:sz w:val="48"/>
          <w:szCs w:val="48"/>
        </w:rPr>
      </w:pPr>
      <w:r w:rsidRPr="006024DC">
        <w:rPr>
          <w:color w:val="AEAAAA" w:themeColor="background2" w:themeShade="BF"/>
          <w:sz w:val="48"/>
          <w:szCs w:val="48"/>
        </w:rPr>
        <w:t>Versión para comentarios</w:t>
      </w:r>
    </w:p>
    <w:p w:rsidR="00C443D6" w:rsidP="006024DC" w:rsidRDefault="00C443D6" w14:paraId="5F12C2E9" w14:textId="77777777">
      <w:pPr>
        <w:jc w:val="center"/>
        <w:rPr>
          <w:sz w:val="56"/>
          <w:szCs w:val="56"/>
        </w:rPr>
      </w:pPr>
    </w:p>
    <w:p w:rsidRPr="006024DC" w:rsidR="006024DC" w:rsidP="70DCBA52" w:rsidRDefault="006024DC" w14:paraId="03222B93" w14:textId="212153EA">
      <w:pPr>
        <w:jc w:val="center"/>
        <w:rPr>
          <w:sz w:val="56"/>
          <w:szCs w:val="56"/>
        </w:rPr>
      </w:pPr>
    </w:p>
    <w:p w:rsidRPr="00675AE4" w:rsidR="00C443D6" w:rsidP="00C443D6" w:rsidRDefault="00C443D6" w14:paraId="6DCC5F3A" w14:textId="77777777">
      <w:pPr>
        <w:jc w:val="center"/>
        <w:rPr>
          <w:color w:val="AEAAAA" w:themeColor="background2" w:themeShade="BF"/>
        </w:rPr>
      </w:pPr>
      <w:r>
        <w:rPr>
          <w:sz w:val="28"/>
          <w:szCs w:val="28"/>
        </w:rPr>
        <w:t>B</w:t>
      </w:r>
      <w:r w:rsidRPr="000563E8">
        <w:rPr>
          <w:sz w:val="28"/>
          <w:szCs w:val="28"/>
        </w:rPr>
        <w:t>ogotá D.C. – Colombia</w:t>
      </w:r>
    </w:p>
    <w:p w:rsidRPr="00DA6590" w:rsidR="00C443D6" w:rsidP="5775DF11" w:rsidRDefault="00E32ACE" w14:paraId="7D771C80" w14:textId="6AFEB201">
      <w:pPr>
        <w:jc w:val="center"/>
        <w:rPr>
          <w:sz w:val="28"/>
          <w:szCs w:val="28"/>
        </w:rPr>
      </w:pPr>
      <w:r>
        <w:rPr>
          <w:sz w:val="28"/>
          <w:szCs w:val="28"/>
        </w:rPr>
        <w:t>Octubre</w:t>
      </w:r>
      <w:r w:rsidRPr="31226965" w:rsidR="2688B6BB">
        <w:rPr>
          <w:sz w:val="28"/>
          <w:szCs w:val="28"/>
        </w:rPr>
        <w:t xml:space="preserve"> de 202</w:t>
      </w:r>
      <w:r w:rsidRPr="31226965" w:rsidR="7AD61CC4">
        <w:rPr>
          <w:sz w:val="28"/>
          <w:szCs w:val="28"/>
        </w:rPr>
        <w:t>5</w:t>
      </w:r>
    </w:p>
    <w:p w:rsidR="006024DC" w:rsidRDefault="006024DC" w14:paraId="27B7A8DD" w14:textId="789F0694">
      <w:pPr>
        <w:rPr>
          <w:sz w:val="28"/>
          <w:szCs w:val="28"/>
        </w:rPr>
      </w:pPr>
      <w:r>
        <w:rPr>
          <w:sz w:val="28"/>
          <w:szCs w:val="28"/>
        </w:rPr>
        <w:br w:type="page"/>
      </w:r>
    </w:p>
    <w:p w:rsidRPr="0055317F" w:rsidR="00C443D6" w:rsidP="769A4CE5" w:rsidRDefault="5EFA0007" w14:paraId="0F796432" w14:textId="6DA78A1B">
      <w:pPr>
        <w:jc w:val="center"/>
        <w:rPr>
          <w:rFonts w:ascii="Arial" w:hAnsi="Arial" w:eastAsia="Arial" w:cs="Arial"/>
          <w:b/>
          <w:bCs/>
          <w:sz w:val="32"/>
          <w:szCs w:val="32"/>
        </w:rPr>
      </w:pPr>
      <w:bookmarkStart w:name="_Toc596741096" w:id="0"/>
      <w:r w:rsidRPr="769A4CE5">
        <w:rPr>
          <w:rFonts w:ascii="Arial" w:hAnsi="Arial" w:eastAsia="Arial" w:cs="Arial"/>
          <w:b/>
          <w:bCs/>
          <w:sz w:val="32"/>
          <w:szCs w:val="32"/>
        </w:rPr>
        <w:t>Índice</w:t>
      </w:r>
      <w:bookmarkEnd w:id="0"/>
    </w:p>
    <w:sdt>
      <w:sdtPr>
        <w:id w:val="-701860815"/>
        <w:docPartObj>
          <w:docPartGallery w:val="Table of Contents"/>
          <w:docPartUnique/>
        </w:docPartObj>
        <w:rPr>
          <w:rFonts w:ascii="Calibri" w:hAnsi="Calibri" w:eastAsia="游明朝" w:cs="Arial" w:asciiTheme="minorAscii" w:hAnsiTheme="minorAscii" w:eastAsiaTheme="minorEastAsia" w:cstheme="minorBidi"/>
          <w:b w:val="0"/>
          <w:bCs w:val="0"/>
          <w:kern w:val="2"/>
          <w:sz w:val="22"/>
          <w:szCs w:val="22"/>
          <w:lang w:val="es-ES" w:eastAsia="en-US"/>
          <w14:ligatures w14:val="standardContextual"/>
        </w:rPr>
      </w:sdtPr>
      <w:sdtEndPr>
        <w:rPr>
          <w:rFonts w:ascii="Calibri" w:hAnsi="Calibri" w:eastAsia="游明朝" w:cs="Arial" w:asciiTheme="minorAscii" w:hAnsiTheme="minorAscii" w:eastAsiaTheme="minorEastAsia" w:cstheme="minorBidi"/>
          <w:b w:val="0"/>
          <w:bCs w:val="0"/>
          <w:sz w:val="22"/>
          <w:szCs w:val="22"/>
          <w:lang w:val="es-ES" w:eastAsia="en-US"/>
        </w:rPr>
      </w:sdtEndPr>
      <w:sdtContent>
        <w:p w:rsidRPr="0032124B" w:rsidR="0032124B" w:rsidP="02062875" w:rsidRDefault="0032124B" w14:paraId="3781B895" w14:textId="19309899">
          <w:pPr>
            <w:pStyle w:val="TOCHeading"/>
            <w:jc w:val="left"/>
            <w:rPr>
              <w:rFonts w:asciiTheme="minorHAnsi" w:hAnsiTheme="minorHAnsi" w:eastAsiaTheme="minorEastAsia" w:cstheme="minorBidi"/>
              <w:sz w:val="22"/>
              <w:szCs w:val="22"/>
            </w:rPr>
          </w:pPr>
        </w:p>
        <w:p w:rsidRPr="006534CF" w:rsidR="006534CF" w:rsidP="006534CF" w:rsidRDefault="0076250F" w14:paraId="5E841008" w14:textId="336159E8">
          <w:pPr>
            <w:pStyle w:val="TOC1"/>
            <w:tabs>
              <w:tab w:val="right" w:leader="dot" w:pos="8686"/>
            </w:tabs>
            <w:spacing w:before="0" w:after="0" w:line="276" w:lineRule="auto"/>
            <w:rPr>
              <w:rFonts w:eastAsiaTheme="minorEastAsia"/>
              <w:b w:val="0"/>
              <w:bCs w:val="0"/>
              <w:noProof/>
              <w:sz w:val="24"/>
              <w:szCs w:val="24"/>
              <w:lang w:eastAsia="es-CO"/>
            </w:rPr>
          </w:pPr>
          <w:r w:rsidRPr="006534CF">
            <w:rPr>
              <w:rStyle w:val="Hyperlink"/>
              <w:rFonts w:eastAsiaTheme="minorEastAsia"/>
              <w:color w:val="auto"/>
              <w:u w:val="none"/>
            </w:rPr>
            <w:fldChar w:fldCharType="begin"/>
          </w:r>
          <w:r w:rsidRPr="006534CF">
            <w:rPr>
              <w:rStyle w:val="Hyperlink"/>
              <w:rFonts w:eastAsiaTheme="minorEastAsia"/>
              <w:color w:val="auto"/>
              <w:u w:val="none"/>
            </w:rPr>
            <w:instrText xml:space="preserve"> TOC \o "1-4" \h \z \u </w:instrText>
          </w:r>
          <w:r w:rsidRPr="006534CF">
            <w:rPr>
              <w:rStyle w:val="Hyperlink"/>
              <w:rFonts w:eastAsiaTheme="minorEastAsia"/>
              <w:color w:val="auto"/>
              <w:u w:val="none"/>
            </w:rPr>
            <w:fldChar w:fldCharType="separate"/>
          </w:r>
          <w:hyperlink w:history="1" w:anchor="_Toc210292948">
            <w:r w:rsidRPr="006534CF" w:rsidR="006534CF">
              <w:rPr>
                <w:rStyle w:val="Hyperlink"/>
                <w:noProof/>
              </w:rPr>
              <w:t>Lista de ilustraciones</w:t>
            </w:r>
            <w:r w:rsidRPr="006534CF" w:rsidR="006534CF">
              <w:rPr>
                <w:noProof/>
                <w:webHidden/>
              </w:rPr>
              <w:tab/>
            </w:r>
            <w:r w:rsidRPr="006534CF" w:rsidR="006534CF">
              <w:rPr>
                <w:noProof/>
                <w:webHidden/>
              </w:rPr>
              <w:fldChar w:fldCharType="begin"/>
            </w:r>
            <w:r w:rsidRPr="006534CF" w:rsidR="006534CF">
              <w:rPr>
                <w:noProof/>
                <w:webHidden/>
              </w:rPr>
              <w:instrText xml:space="preserve"> PAGEREF _Toc210292948 \h </w:instrText>
            </w:r>
            <w:r w:rsidRPr="006534CF" w:rsidR="006534CF">
              <w:rPr>
                <w:noProof/>
                <w:webHidden/>
              </w:rPr>
            </w:r>
            <w:r w:rsidRPr="006534CF" w:rsidR="006534CF">
              <w:rPr>
                <w:noProof/>
                <w:webHidden/>
              </w:rPr>
              <w:fldChar w:fldCharType="separate"/>
            </w:r>
            <w:r w:rsidRPr="006534CF" w:rsidR="006534CF">
              <w:rPr>
                <w:noProof/>
                <w:webHidden/>
              </w:rPr>
              <w:t>4</w:t>
            </w:r>
            <w:r w:rsidRPr="006534CF" w:rsidR="006534CF">
              <w:rPr>
                <w:noProof/>
                <w:webHidden/>
              </w:rPr>
              <w:fldChar w:fldCharType="end"/>
            </w:r>
          </w:hyperlink>
        </w:p>
        <w:p w:rsidRPr="006534CF" w:rsidR="006534CF" w:rsidP="006534CF" w:rsidRDefault="006534CF" w14:paraId="0B67DA34" w14:textId="27BF776A">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49">
            <w:r w:rsidRPr="006534CF">
              <w:rPr>
                <w:rStyle w:val="Hyperlink"/>
                <w:noProof/>
                <w:lang w:val="es-ES"/>
              </w:rPr>
              <w:t>Lista de Tablas</w:t>
            </w:r>
            <w:r w:rsidRPr="006534CF">
              <w:rPr>
                <w:noProof/>
                <w:webHidden/>
              </w:rPr>
              <w:tab/>
            </w:r>
            <w:r w:rsidRPr="006534CF">
              <w:rPr>
                <w:noProof/>
                <w:webHidden/>
              </w:rPr>
              <w:fldChar w:fldCharType="begin"/>
            </w:r>
            <w:r w:rsidRPr="006534CF">
              <w:rPr>
                <w:noProof/>
                <w:webHidden/>
              </w:rPr>
              <w:instrText xml:space="preserve"> PAGEREF _Toc210292949 \h </w:instrText>
            </w:r>
            <w:r w:rsidRPr="006534CF">
              <w:rPr>
                <w:noProof/>
                <w:webHidden/>
              </w:rPr>
            </w:r>
            <w:r w:rsidRPr="006534CF">
              <w:rPr>
                <w:noProof/>
                <w:webHidden/>
              </w:rPr>
              <w:fldChar w:fldCharType="separate"/>
            </w:r>
            <w:r w:rsidRPr="006534CF">
              <w:rPr>
                <w:noProof/>
                <w:webHidden/>
              </w:rPr>
              <w:t>4</w:t>
            </w:r>
            <w:r w:rsidRPr="006534CF">
              <w:rPr>
                <w:noProof/>
                <w:webHidden/>
              </w:rPr>
              <w:fldChar w:fldCharType="end"/>
            </w:r>
          </w:hyperlink>
        </w:p>
        <w:p w:rsidRPr="006534CF" w:rsidR="006534CF" w:rsidP="006534CF" w:rsidRDefault="006534CF" w14:paraId="2A2AA175" w14:textId="0CBF7B44">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50">
            <w:r w:rsidRPr="006534CF">
              <w:rPr>
                <w:rStyle w:val="Hyperlink"/>
                <w:noProof/>
              </w:rPr>
              <w:t>Siglas y abreviaturas</w:t>
            </w:r>
            <w:r w:rsidRPr="006534CF">
              <w:rPr>
                <w:noProof/>
                <w:webHidden/>
              </w:rPr>
              <w:tab/>
            </w:r>
            <w:r w:rsidRPr="006534CF">
              <w:rPr>
                <w:noProof/>
                <w:webHidden/>
              </w:rPr>
              <w:fldChar w:fldCharType="begin"/>
            </w:r>
            <w:r w:rsidRPr="006534CF">
              <w:rPr>
                <w:noProof/>
                <w:webHidden/>
              </w:rPr>
              <w:instrText xml:space="preserve"> PAGEREF _Toc210292950 \h </w:instrText>
            </w:r>
            <w:r w:rsidRPr="006534CF">
              <w:rPr>
                <w:noProof/>
                <w:webHidden/>
              </w:rPr>
            </w:r>
            <w:r w:rsidRPr="006534CF">
              <w:rPr>
                <w:noProof/>
                <w:webHidden/>
              </w:rPr>
              <w:fldChar w:fldCharType="separate"/>
            </w:r>
            <w:r w:rsidRPr="006534CF">
              <w:rPr>
                <w:noProof/>
                <w:webHidden/>
              </w:rPr>
              <w:t>5</w:t>
            </w:r>
            <w:r w:rsidRPr="006534CF">
              <w:rPr>
                <w:noProof/>
                <w:webHidden/>
              </w:rPr>
              <w:fldChar w:fldCharType="end"/>
            </w:r>
          </w:hyperlink>
        </w:p>
        <w:p w:rsidRPr="006534CF" w:rsidR="006534CF" w:rsidP="006534CF" w:rsidRDefault="006534CF" w14:paraId="4080D18E" w14:textId="7BC53001">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51">
            <w:r w:rsidRPr="006534CF">
              <w:rPr>
                <w:rStyle w:val="Hyperlink"/>
                <w:noProof/>
              </w:rPr>
              <w:t>Conceptos clave</w:t>
            </w:r>
            <w:r w:rsidRPr="006534CF">
              <w:rPr>
                <w:noProof/>
                <w:webHidden/>
              </w:rPr>
              <w:tab/>
            </w:r>
            <w:r w:rsidRPr="006534CF">
              <w:rPr>
                <w:noProof/>
                <w:webHidden/>
              </w:rPr>
              <w:fldChar w:fldCharType="begin"/>
            </w:r>
            <w:r w:rsidRPr="006534CF">
              <w:rPr>
                <w:noProof/>
                <w:webHidden/>
              </w:rPr>
              <w:instrText xml:space="preserve"> PAGEREF _Toc210292951 \h </w:instrText>
            </w:r>
            <w:r w:rsidRPr="006534CF">
              <w:rPr>
                <w:noProof/>
                <w:webHidden/>
              </w:rPr>
            </w:r>
            <w:r w:rsidRPr="006534CF">
              <w:rPr>
                <w:noProof/>
                <w:webHidden/>
              </w:rPr>
              <w:fldChar w:fldCharType="separate"/>
            </w:r>
            <w:r w:rsidRPr="006534CF">
              <w:rPr>
                <w:noProof/>
                <w:webHidden/>
              </w:rPr>
              <w:t>6</w:t>
            </w:r>
            <w:r w:rsidRPr="006534CF">
              <w:rPr>
                <w:noProof/>
                <w:webHidden/>
              </w:rPr>
              <w:fldChar w:fldCharType="end"/>
            </w:r>
          </w:hyperlink>
        </w:p>
        <w:p w:rsidRPr="006534CF" w:rsidR="006534CF" w:rsidP="006534CF" w:rsidRDefault="006534CF" w14:paraId="28F41C70" w14:textId="71B0EE5F">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52">
            <w:r w:rsidRPr="006534CF">
              <w:rPr>
                <w:rStyle w:val="Hyperlink"/>
                <w:noProof/>
              </w:rPr>
              <w:t>Introducción</w:t>
            </w:r>
            <w:r w:rsidRPr="006534CF">
              <w:rPr>
                <w:noProof/>
                <w:webHidden/>
              </w:rPr>
              <w:tab/>
            </w:r>
            <w:r w:rsidRPr="006534CF">
              <w:rPr>
                <w:noProof/>
                <w:webHidden/>
              </w:rPr>
              <w:fldChar w:fldCharType="begin"/>
            </w:r>
            <w:r w:rsidRPr="006534CF">
              <w:rPr>
                <w:noProof/>
                <w:webHidden/>
              </w:rPr>
              <w:instrText xml:space="preserve"> PAGEREF _Toc210292952 \h </w:instrText>
            </w:r>
            <w:r w:rsidRPr="006534CF">
              <w:rPr>
                <w:noProof/>
                <w:webHidden/>
              </w:rPr>
            </w:r>
            <w:r w:rsidRPr="006534CF">
              <w:rPr>
                <w:noProof/>
                <w:webHidden/>
              </w:rPr>
              <w:fldChar w:fldCharType="separate"/>
            </w:r>
            <w:r w:rsidRPr="006534CF">
              <w:rPr>
                <w:noProof/>
                <w:webHidden/>
              </w:rPr>
              <w:t>8</w:t>
            </w:r>
            <w:r w:rsidRPr="006534CF">
              <w:rPr>
                <w:noProof/>
                <w:webHidden/>
              </w:rPr>
              <w:fldChar w:fldCharType="end"/>
            </w:r>
          </w:hyperlink>
        </w:p>
        <w:p w:rsidRPr="006534CF" w:rsidR="006534CF" w:rsidP="006534CF" w:rsidRDefault="006534CF" w14:paraId="37F3C516" w14:textId="74C6C5F3">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53">
            <w:r w:rsidRPr="006534CF">
              <w:rPr>
                <w:rStyle w:val="Hyperlink"/>
                <w:noProof/>
              </w:rPr>
              <w:t>Visión y Objetivo</w:t>
            </w:r>
            <w:r w:rsidRPr="006534CF">
              <w:rPr>
                <w:noProof/>
                <w:webHidden/>
              </w:rPr>
              <w:tab/>
            </w:r>
            <w:r w:rsidRPr="006534CF">
              <w:rPr>
                <w:noProof/>
                <w:webHidden/>
              </w:rPr>
              <w:fldChar w:fldCharType="begin"/>
            </w:r>
            <w:r w:rsidRPr="006534CF">
              <w:rPr>
                <w:noProof/>
                <w:webHidden/>
              </w:rPr>
              <w:instrText xml:space="preserve"> PAGEREF _Toc210292953 \h </w:instrText>
            </w:r>
            <w:r w:rsidRPr="006534CF">
              <w:rPr>
                <w:noProof/>
                <w:webHidden/>
              </w:rPr>
            </w:r>
            <w:r w:rsidRPr="006534CF">
              <w:rPr>
                <w:noProof/>
                <w:webHidden/>
              </w:rPr>
              <w:fldChar w:fldCharType="separate"/>
            </w:r>
            <w:r w:rsidRPr="006534CF">
              <w:rPr>
                <w:noProof/>
                <w:webHidden/>
              </w:rPr>
              <w:t>10</w:t>
            </w:r>
            <w:r w:rsidRPr="006534CF">
              <w:rPr>
                <w:noProof/>
                <w:webHidden/>
              </w:rPr>
              <w:fldChar w:fldCharType="end"/>
            </w:r>
          </w:hyperlink>
        </w:p>
        <w:p w:rsidRPr="006534CF" w:rsidR="006534CF" w:rsidP="006534CF" w:rsidRDefault="006534CF" w14:paraId="1DDCB303" w14:textId="3D3F04C6">
          <w:pPr>
            <w:pStyle w:val="TOC3"/>
            <w:tabs>
              <w:tab w:val="right" w:leader="dot" w:pos="8686"/>
            </w:tabs>
            <w:spacing w:line="276" w:lineRule="auto"/>
            <w:rPr>
              <w:rFonts w:eastAsiaTheme="minorEastAsia"/>
              <w:noProof/>
              <w:sz w:val="24"/>
              <w:szCs w:val="24"/>
              <w:lang w:eastAsia="es-CO"/>
            </w:rPr>
          </w:pPr>
          <w:hyperlink w:history="1" w:anchor="_Toc210292954">
            <w:r w:rsidRPr="006534CF">
              <w:rPr>
                <w:rStyle w:val="Hyperlink"/>
                <w:noProof/>
              </w:rPr>
              <w:t>Nueva Visión de la Política Minera para el año 2035.</w:t>
            </w:r>
            <w:r w:rsidRPr="006534CF">
              <w:rPr>
                <w:noProof/>
                <w:webHidden/>
              </w:rPr>
              <w:tab/>
            </w:r>
            <w:r w:rsidRPr="006534CF">
              <w:rPr>
                <w:noProof/>
                <w:webHidden/>
              </w:rPr>
              <w:fldChar w:fldCharType="begin"/>
            </w:r>
            <w:r w:rsidRPr="006534CF">
              <w:rPr>
                <w:noProof/>
                <w:webHidden/>
              </w:rPr>
              <w:instrText xml:space="preserve"> PAGEREF _Toc210292954 \h </w:instrText>
            </w:r>
            <w:r w:rsidRPr="006534CF">
              <w:rPr>
                <w:noProof/>
                <w:webHidden/>
              </w:rPr>
            </w:r>
            <w:r w:rsidRPr="006534CF">
              <w:rPr>
                <w:noProof/>
                <w:webHidden/>
              </w:rPr>
              <w:fldChar w:fldCharType="separate"/>
            </w:r>
            <w:r w:rsidRPr="006534CF">
              <w:rPr>
                <w:noProof/>
                <w:webHidden/>
              </w:rPr>
              <w:t>10</w:t>
            </w:r>
            <w:r w:rsidRPr="006534CF">
              <w:rPr>
                <w:noProof/>
                <w:webHidden/>
              </w:rPr>
              <w:fldChar w:fldCharType="end"/>
            </w:r>
          </w:hyperlink>
        </w:p>
        <w:p w:rsidRPr="006534CF" w:rsidR="006534CF" w:rsidP="006534CF" w:rsidRDefault="006534CF" w14:paraId="36CC41A6" w14:textId="5E8A119D">
          <w:pPr>
            <w:pStyle w:val="TOC3"/>
            <w:tabs>
              <w:tab w:val="right" w:leader="dot" w:pos="8686"/>
            </w:tabs>
            <w:spacing w:line="276" w:lineRule="auto"/>
            <w:rPr>
              <w:rFonts w:eastAsiaTheme="minorEastAsia"/>
              <w:noProof/>
              <w:sz w:val="24"/>
              <w:szCs w:val="24"/>
              <w:lang w:eastAsia="es-CO"/>
            </w:rPr>
          </w:pPr>
          <w:hyperlink w:history="1" w:anchor="_Toc210292955">
            <w:r w:rsidRPr="006534CF">
              <w:rPr>
                <w:rStyle w:val="Hyperlink"/>
                <w:noProof/>
                <w:lang w:val="es-ES"/>
              </w:rPr>
              <w:t xml:space="preserve">Objetivo General </w:t>
            </w:r>
            <w:r w:rsidRPr="006534CF">
              <w:rPr>
                <w:rStyle w:val="Hyperlink"/>
                <w:noProof/>
              </w:rPr>
              <w:t>de una Nueva Visión de la Política Minera para el año 2035.</w:t>
            </w:r>
            <w:r w:rsidRPr="006534CF">
              <w:rPr>
                <w:noProof/>
                <w:webHidden/>
              </w:rPr>
              <w:tab/>
            </w:r>
            <w:r w:rsidRPr="006534CF">
              <w:rPr>
                <w:noProof/>
                <w:webHidden/>
              </w:rPr>
              <w:fldChar w:fldCharType="begin"/>
            </w:r>
            <w:r w:rsidRPr="006534CF">
              <w:rPr>
                <w:noProof/>
                <w:webHidden/>
              </w:rPr>
              <w:instrText xml:space="preserve"> PAGEREF _Toc210292955 \h </w:instrText>
            </w:r>
            <w:r w:rsidRPr="006534CF">
              <w:rPr>
                <w:noProof/>
                <w:webHidden/>
              </w:rPr>
            </w:r>
            <w:r w:rsidRPr="006534CF">
              <w:rPr>
                <w:noProof/>
                <w:webHidden/>
              </w:rPr>
              <w:fldChar w:fldCharType="separate"/>
            </w:r>
            <w:r w:rsidRPr="006534CF">
              <w:rPr>
                <w:noProof/>
                <w:webHidden/>
              </w:rPr>
              <w:t>11</w:t>
            </w:r>
            <w:r w:rsidRPr="006534CF">
              <w:rPr>
                <w:noProof/>
                <w:webHidden/>
              </w:rPr>
              <w:fldChar w:fldCharType="end"/>
            </w:r>
          </w:hyperlink>
        </w:p>
        <w:p w:rsidRPr="006534CF" w:rsidR="006534CF" w:rsidP="006534CF" w:rsidRDefault="006534CF" w14:paraId="54FF42B0" w14:textId="35CA79D9">
          <w:pPr>
            <w:pStyle w:val="TOC3"/>
            <w:tabs>
              <w:tab w:val="right" w:leader="dot" w:pos="8686"/>
            </w:tabs>
            <w:spacing w:line="276" w:lineRule="auto"/>
            <w:rPr>
              <w:rFonts w:eastAsiaTheme="minorEastAsia"/>
              <w:noProof/>
              <w:sz w:val="24"/>
              <w:szCs w:val="24"/>
              <w:lang w:eastAsia="es-CO"/>
            </w:rPr>
          </w:pPr>
          <w:hyperlink w:history="1" w:anchor="_Toc210292956">
            <w:r w:rsidRPr="006534CF">
              <w:rPr>
                <w:rStyle w:val="Hyperlink"/>
                <w:noProof/>
                <w:lang w:val="es-ES"/>
              </w:rPr>
              <w:t xml:space="preserve">Objetivos específicos </w:t>
            </w:r>
            <w:r w:rsidRPr="006534CF">
              <w:rPr>
                <w:rStyle w:val="Hyperlink"/>
                <w:noProof/>
              </w:rPr>
              <w:t>de una Nueva Visión de la Política Minera para el año 2035.</w:t>
            </w:r>
            <w:r w:rsidRPr="006534CF">
              <w:rPr>
                <w:noProof/>
                <w:webHidden/>
              </w:rPr>
              <w:tab/>
            </w:r>
            <w:r w:rsidRPr="006534CF">
              <w:rPr>
                <w:noProof/>
                <w:webHidden/>
              </w:rPr>
              <w:fldChar w:fldCharType="begin"/>
            </w:r>
            <w:r w:rsidRPr="006534CF">
              <w:rPr>
                <w:noProof/>
                <w:webHidden/>
              </w:rPr>
              <w:instrText xml:space="preserve"> PAGEREF _Toc210292956 \h </w:instrText>
            </w:r>
            <w:r w:rsidRPr="006534CF">
              <w:rPr>
                <w:noProof/>
                <w:webHidden/>
              </w:rPr>
            </w:r>
            <w:r w:rsidRPr="006534CF">
              <w:rPr>
                <w:noProof/>
                <w:webHidden/>
              </w:rPr>
              <w:fldChar w:fldCharType="separate"/>
            </w:r>
            <w:r w:rsidRPr="006534CF">
              <w:rPr>
                <w:noProof/>
                <w:webHidden/>
              </w:rPr>
              <w:t>11</w:t>
            </w:r>
            <w:r w:rsidRPr="006534CF">
              <w:rPr>
                <w:noProof/>
                <w:webHidden/>
              </w:rPr>
              <w:fldChar w:fldCharType="end"/>
            </w:r>
          </w:hyperlink>
        </w:p>
        <w:p w:rsidRPr="006534CF" w:rsidR="006534CF" w:rsidP="006534CF" w:rsidRDefault="006534CF" w14:paraId="5FAE3B6B" w14:textId="35D5344B">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57">
            <w:r w:rsidRPr="006534CF">
              <w:rPr>
                <w:rStyle w:val="Hyperlink"/>
                <w:noProof/>
              </w:rPr>
              <w:t>Marco Normativo e Institucional</w:t>
            </w:r>
            <w:r w:rsidRPr="006534CF">
              <w:rPr>
                <w:noProof/>
                <w:webHidden/>
              </w:rPr>
              <w:tab/>
            </w:r>
            <w:r w:rsidRPr="006534CF">
              <w:rPr>
                <w:noProof/>
                <w:webHidden/>
              </w:rPr>
              <w:fldChar w:fldCharType="begin"/>
            </w:r>
            <w:r w:rsidRPr="006534CF">
              <w:rPr>
                <w:noProof/>
                <w:webHidden/>
              </w:rPr>
              <w:instrText xml:space="preserve"> PAGEREF _Toc210292957 \h </w:instrText>
            </w:r>
            <w:r w:rsidRPr="006534CF">
              <w:rPr>
                <w:noProof/>
                <w:webHidden/>
              </w:rPr>
            </w:r>
            <w:r w:rsidRPr="006534CF">
              <w:rPr>
                <w:noProof/>
                <w:webHidden/>
              </w:rPr>
              <w:fldChar w:fldCharType="separate"/>
            </w:r>
            <w:r w:rsidRPr="006534CF">
              <w:rPr>
                <w:noProof/>
                <w:webHidden/>
              </w:rPr>
              <w:t>11</w:t>
            </w:r>
            <w:r w:rsidRPr="006534CF">
              <w:rPr>
                <w:noProof/>
                <w:webHidden/>
              </w:rPr>
              <w:fldChar w:fldCharType="end"/>
            </w:r>
          </w:hyperlink>
        </w:p>
        <w:p w:rsidRPr="006534CF" w:rsidR="006534CF" w:rsidP="006534CF" w:rsidRDefault="006534CF" w14:paraId="3A2A5DC6" w14:textId="7DD08EFD">
          <w:pPr>
            <w:pStyle w:val="TOC2"/>
            <w:tabs>
              <w:tab w:val="right" w:leader="dot" w:pos="8686"/>
            </w:tabs>
            <w:spacing w:before="0" w:line="276" w:lineRule="auto"/>
            <w:rPr>
              <w:rFonts w:eastAsiaTheme="minorEastAsia"/>
              <w:i w:val="0"/>
              <w:iCs w:val="0"/>
              <w:noProof/>
              <w:sz w:val="24"/>
              <w:szCs w:val="24"/>
              <w:lang w:eastAsia="es-CO"/>
            </w:rPr>
          </w:pPr>
          <w:hyperlink w:history="1" w:anchor="_Toc210292958">
            <w:r w:rsidRPr="006534CF">
              <w:rPr>
                <w:rStyle w:val="Hyperlink"/>
                <w:noProof/>
              </w:rPr>
              <w:t>Antecedentes institucionales</w:t>
            </w:r>
            <w:r w:rsidRPr="006534CF">
              <w:rPr>
                <w:noProof/>
                <w:webHidden/>
              </w:rPr>
              <w:tab/>
            </w:r>
            <w:r w:rsidRPr="006534CF">
              <w:rPr>
                <w:noProof/>
                <w:webHidden/>
              </w:rPr>
              <w:fldChar w:fldCharType="begin"/>
            </w:r>
            <w:r w:rsidRPr="006534CF">
              <w:rPr>
                <w:noProof/>
                <w:webHidden/>
              </w:rPr>
              <w:instrText xml:space="preserve"> PAGEREF _Toc210292958 \h </w:instrText>
            </w:r>
            <w:r w:rsidRPr="006534CF">
              <w:rPr>
                <w:noProof/>
                <w:webHidden/>
              </w:rPr>
            </w:r>
            <w:r w:rsidRPr="006534CF">
              <w:rPr>
                <w:noProof/>
                <w:webHidden/>
              </w:rPr>
              <w:fldChar w:fldCharType="separate"/>
            </w:r>
            <w:r w:rsidRPr="006534CF">
              <w:rPr>
                <w:noProof/>
                <w:webHidden/>
              </w:rPr>
              <w:t>15</w:t>
            </w:r>
            <w:r w:rsidRPr="006534CF">
              <w:rPr>
                <w:noProof/>
                <w:webHidden/>
              </w:rPr>
              <w:fldChar w:fldCharType="end"/>
            </w:r>
          </w:hyperlink>
        </w:p>
        <w:p w:rsidRPr="006534CF" w:rsidR="006534CF" w:rsidP="006534CF" w:rsidRDefault="006534CF" w14:paraId="065C4FF9" w14:textId="3E6EAF75">
          <w:pPr>
            <w:pStyle w:val="TOC3"/>
            <w:tabs>
              <w:tab w:val="right" w:leader="dot" w:pos="8686"/>
            </w:tabs>
            <w:spacing w:line="276" w:lineRule="auto"/>
            <w:rPr>
              <w:rFonts w:eastAsiaTheme="minorEastAsia"/>
              <w:noProof/>
              <w:sz w:val="24"/>
              <w:szCs w:val="24"/>
              <w:lang w:eastAsia="es-CO"/>
            </w:rPr>
          </w:pPr>
          <w:hyperlink w:history="1" w:anchor="_Toc210292959">
            <w:r w:rsidRPr="006534CF">
              <w:rPr>
                <w:rStyle w:val="Hyperlink"/>
                <w:noProof/>
              </w:rPr>
              <w:t>Política de Derechos Humanos del sector minero energético</w:t>
            </w:r>
            <w:r w:rsidRPr="006534CF">
              <w:rPr>
                <w:noProof/>
                <w:webHidden/>
              </w:rPr>
              <w:tab/>
            </w:r>
            <w:r w:rsidRPr="006534CF">
              <w:rPr>
                <w:noProof/>
                <w:webHidden/>
              </w:rPr>
              <w:fldChar w:fldCharType="begin"/>
            </w:r>
            <w:r w:rsidRPr="006534CF">
              <w:rPr>
                <w:noProof/>
                <w:webHidden/>
              </w:rPr>
              <w:instrText xml:space="preserve"> PAGEREF _Toc210292959 \h </w:instrText>
            </w:r>
            <w:r w:rsidRPr="006534CF">
              <w:rPr>
                <w:noProof/>
                <w:webHidden/>
              </w:rPr>
            </w:r>
            <w:r w:rsidRPr="006534CF">
              <w:rPr>
                <w:noProof/>
                <w:webHidden/>
              </w:rPr>
              <w:fldChar w:fldCharType="separate"/>
            </w:r>
            <w:r w:rsidRPr="006534CF">
              <w:rPr>
                <w:noProof/>
                <w:webHidden/>
              </w:rPr>
              <w:t>15</w:t>
            </w:r>
            <w:r w:rsidRPr="006534CF">
              <w:rPr>
                <w:noProof/>
                <w:webHidden/>
              </w:rPr>
              <w:fldChar w:fldCharType="end"/>
            </w:r>
          </w:hyperlink>
        </w:p>
        <w:p w:rsidRPr="006534CF" w:rsidR="006534CF" w:rsidP="006534CF" w:rsidRDefault="006534CF" w14:paraId="1E74AB2C" w14:textId="41B945F2">
          <w:pPr>
            <w:pStyle w:val="TOC3"/>
            <w:tabs>
              <w:tab w:val="right" w:leader="dot" w:pos="8686"/>
            </w:tabs>
            <w:spacing w:line="276" w:lineRule="auto"/>
            <w:rPr>
              <w:rFonts w:eastAsiaTheme="minorEastAsia"/>
              <w:noProof/>
              <w:sz w:val="24"/>
              <w:szCs w:val="24"/>
              <w:lang w:eastAsia="es-CO"/>
            </w:rPr>
          </w:pPr>
          <w:hyperlink w:history="1" w:anchor="_Toc210292960">
            <w:r w:rsidRPr="006534CF">
              <w:rPr>
                <w:rStyle w:val="Hyperlink"/>
                <w:noProof/>
              </w:rPr>
              <w:t>Política Nacional de seguridad minera.</w:t>
            </w:r>
            <w:r w:rsidRPr="006534CF">
              <w:rPr>
                <w:noProof/>
                <w:webHidden/>
              </w:rPr>
              <w:tab/>
            </w:r>
            <w:r w:rsidRPr="006534CF">
              <w:rPr>
                <w:noProof/>
                <w:webHidden/>
              </w:rPr>
              <w:fldChar w:fldCharType="begin"/>
            </w:r>
            <w:r w:rsidRPr="006534CF">
              <w:rPr>
                <w:noProof/>
                <w:webHidden/>
              </w:rPr>
              <w:instrText xml:space="preserve"> PAGEREF _Toc210292960 \h </w:instrText>
            </w:r>
            <w:r w:rsidRPr="006534CF">
              <w:rPr>
                <w:noProof/>
                <w:webHidden/>
              </w:rPr>
            </w:r>
            <w:r w:rsidRPr="006534CF">
              <w:rPr>
                <w:noProof/>
                <w:webHidden/>
              </w:rPr>
              <w:fldChar w:fldCharType="separate"/>
            </w:r>
            <w:r w:rsidRPr="006534CF">
              <w:rPr>
                <w:noProof/>
                <w:webHidden/>
              </w:rPr>
              <w:t>15</w:t>
            </w:r>
            <w:r w:rsidRPr="006534CF">
              <w:rPr>
                <w:noProof/>
                <w:webHidden/>
              </w:rPr>
              <w:fldChar w:fldCharType="end"/>
            </w:r>
          </w:hyperlink>
        </w:p>
        <w:p w:rsidRPr="006534CF" w:rsidR="006534CF" w:rsidP="006534CF" w:rsidRDefault="006534CF" w14:paraId="7CD774CC" w14:textId="25863EF7">
          <w:pPr>
            <w:pStyle w:val="TOC3"/>
            <w:tabs>
              <w:tab w:val="right" w:leader="dot" w:pos="8686"/>
            </w:tabs>
            <w:spacing w:line="276" w:lineRule="auto"/>
            <w:rPr>
              <w:rFonts w:eastAsiaTheme="minorEastAsia"/>
              <w:noProof/>
              <w:sz w:val="24"/>
              <w:szCs w:val="24"/>
              <w:lang w:eastAsia="es-CO"/>
            </w:rPr>
          </w:pPr>
          <w:hyperlink w:history="1" w:anchor="_Toc210292961">
            <w:r w:rsidRPr="006534CF">
              <w:rPr>
                <w:rStyle w:val="Hyperlink"/>
                <w:noProof/>
              </w:rPr>
              <w:t>Política Nacional para la Minería de Subsistencia.</w:t>
            </w:r>
            <w:r w:rsidRPr="006534CF">
              <w:rPr>
                <w:noProof/>
                <w:webHidden/>
              </w:rPr>
              <w:tab/>
            </w:r>
            <w:r w:rsidRPr="006534CF">
              <w:rPr>
                <w:noProof/>
                <w:webHidden/>
              </w:rPr>
              <w:fldChar w:fldCharType="begin"/>
            </w:r>
            <w:r w:rsidRPr="006534CF">
              <w:rPr>
                <w:noProof/>
                <w:webHidden/>
              </w:rPr>
              <w:instrText xml:space="preserve"> PAGEREF _Toc210292961 \h </w:instrText>
            </w:r>
            <w:r w:rsidRPr="006534CF">
              <w:rPr>
                <w:noProof/>
                <w:webHidden/>
              </w:rPr>
            </w:r>
            <w:r w:rsidRPr="006534CF">
              <w:rPr>
                <w:noProof/>
                <w:webHidden/>
              </w:rPr>
              <w:fldChar w:fldCharType="separate"/>
            </w:r>
            <w:r w:rsidRPr="006534CF">
              <w:rPr>
                <w:noProof/>
                <w:webHidden/>
              </w:rPr>
              <w:t>16</w:t>
            </w:r>
            <w:r w:rsidRPr="006534CF">
              <w:rPr>
                <w:noProof/>
                <w:webHidden/>
              </w:rPr>
              <w:fldChar w:fldCharType="end"/>
            </w:r>
          </w:hyperlink>
        </w:p>
        <w:p w:rsidRPr="006534CF" w:rsidR="006534CF" w:rsidP="006534CF" w:rsidRDefault="006534CF" w14:paraId="70A8B0B0" w14:textId="357A3DE3">
          <w:pPr>
            <w:pStyle w:val="TOC3"/>
            <w:tabs>
              <w:tab w:val="right" w:leader="dot" w:pos="8686"/>
            </w:tabs>
            <w:spacing w:line="276" w:lineRule="auto"/>
            <w:rPr>
              <w:rFonts w:eastAsiaTheme="minorEastAsia"/>
              <w:noProof/>
              <w:sz w:val="24"/>
              <w:szCs w:val="24"/>
              <w:lang w:eastAsia="es-CO"/>
            </w:rPr>
          </w:pPr>
          <w:hyperlink w:history="1" w:anchor="_Toc210292962">
            <w:r w:rsidRPr="006534CF">
              <w:rPr>
                <w:rStyle w:val="Hyperlink"/>
                <w:noProof/>
              </w:rPr>
              <w:t>Plan Único de Legalización y Formalización Minera.</w:t>
            </w:r>
            <w:r w:rsidRPr="006534CF">
              <w:rPr>
                <w:noProof/>
                <w:webHidden/>
              </w:rPr>
              <w:tab/>
            </w:r>
            <w:r w:rsidRPr="006534CF">
              <w:rPr>
                <w:noProof/>
                <w:webHidden/>
              </w:rPr>
              <w:fldChar w:fldCharType="begin"/>
            </w:r>
            <w:r w:rsidRPr="006534CF">
              <w:rPr>
                <w:noProof/>
                <w:webHidden/>
              </w:rPr>
              <w:instrText xml:space="preserve"> PAGEREF _Toc210292962 \h </w:instrText>
            </w:r>
            <w:r w:rsidRPr="006534CF">
              <w:rPr>
                <w:noProof/>
                <w:webHidden/>
              </w:rPr>
            </w:r>
            <w:r w:rsidRPr="006534CF">
              <w:rPr>
                <w:noProof/>
                <w:webHidden/>
              </w:rPr>
              <w:fldChar w:fldCharType="separate"/>
            </w:r>
            <w:r w:rsidRPr="006534CF">
              <w:rPr>
                <w:noProof/>
                <w:webHidden/>
              </w:rPr>
              <w:t>16</w:t>
            </w:r>
            <w:r w:rsidRPr="006534CF">
              <w:rPr>
                <w:noProof/>
                <w:webHidden/>
              </w:rPr>
              <w:fldChar w:fldCharType="end"/>
            </w:r>
          </w:hyperlink>
        </w:p>
        <w:p w:rsidRPr="006534CF" w:rsidR="006534CF" w:rsidP="006534CF" w:rsidRDefault="006534CF" w14:paraId="128F5670" w14:textId="2DA05DD2">
          <w:pPr>
            <w:pStyle w:val="TOC3"/>
            <w:tabs>
              <w:tab w:val="right" w:leader="dot" w:pos="8686"/>
            </w:tabs>
            <w:spacing w:line="276" w:lineRule="auto"/>
            <w:rPr>
              <w:rFonts w:eastAsiaTheme="minorEastAsia"/>
              <w:noProof/>
              <w:sz w:val="24"/>
              <w:szCs w:val="24"/>
              <w:lang w:eastAsia="es-CO"/>
            </w:rPr>
          </w:pPr>
          <w:hyperlink w:history="1" w:anchor="_Toc210292963">
            <w:r w:rsidRPr="006534CF">
              <w:rPr>
                <w:rStyle w:val="Hyperlink"/>
                <w:noProof/>
              </w:rPr>
              <w:t>Plan de acción MAPE</w:t>
            </w:r>
            <w:r w:rsidRPr="006534CF">
              <w:rPr>
                <w:noProof/>
                <w:webHidden/>
              </w:rPr>
              <w:tab/>
            </w:r>
            <w:r w:rsidRPr="006534CF">
              <w:rPr>
                <w:noProof/>
                <w:webHidden/>
              </w:rPr>
              <w:fldChar w:fldCharType="begin"/>
            </w:r>
            <w:r w:rsidRPr="006534CF">
              <w:rPr>
                <w:noProof/>
                <w:webHidden/>
              </w:rPr>
              <w:instrText xml:space="preserve"> PAGEREF _Toc210292963 \h </w:instrText>
            </w:r>
            <w:r w:rsidRPr="006534CF">
              <w:rPr>
                <w:noProof/>
                <w:webHidden/>
              </w:rPr>
            </w:r>
            <w:r w:rsidRPr="006534CF">
              <w:rPr>
                <w:noProof/>
                <w:webHidden/>
              </w:rPr>
              <w:fldChar w:fldCharType="separate"/>
            </w:r>
            <w:r w:rsidRPr="006534CF">
              <w:rPr>
                <w:noProof/>
                <w:webHidden/>
              </w:rPr>
              <w:t>17</w:t>
            </w:r>
            <w:r w:rsidRPr="006534CF">
              <w:rPr>
                <w:noProof/>
                <w:webHidden/>
              </w:rPr>
              <w:fldChar w:fldCharType="end"/>
            </w:r>
          </w:hyperlink>
        </w:p>
        <w:p w:rsidRPr="006534CF" w:rsidR="006534CF" w:rsidP="006534CF" w:rsidRDefault="006534CF" w14:paraId="1FF3BBF7" w14:textId="28A495C4">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64">
            <w:r w:rsidRPr="006534CF">
              <w:rPr>
                <w:rStyle w:val="Hyperlink"/>
                <w:noProof/>
              </w:rPr>
              <w:t xml:space="preserve">Marco Conceptual </w:t>
            </w:r>
            <w:r w:rsidRPr="006534CF">
              <w:rPr>
                <w:noProof/>
                <w:webHidden/>
              </w:rPr>
              <w:tab/>
            </w:r>
            <w:r w:rsidRPr="006534CF">
              <w:rPr>
                <w:noProof/>
                <w:webHidden/>
              </w:rPr>
              <w:fldChar w:fldCharType="begin"/>
            </w:r>
            <w:r w:rsidRPr="006534CF">
              <w:rPr>
                <w:noProof/>
                <w:webHidden/>
              </w:rPr>
              <w:instrText xml:space="preserve"> PAGEREF _Toc210292964 \h </w:instrText>
            </w:r>
            <w:r w:rsidRPr="006534CF">
              <w:rPr>
                <w:noProof/>
                <w:webHidden/>
              </w:rPr>
            </w:r>
            <w:r w:rsidRPr="006534CF">
              <w:rPr>
                <w:noProof/>
                <w:webHidden/>
              </w:rPr>
              <w:fldChar w:fldCharType="separate"/>
            </w:r>
            <w:r w:rsidRPr="006534CF">
              <w:rPr>
                <w:noProof/>
                <w:webHidden/>
              </w:rPr>
              <w:t>18</w:t>
            </w:r>
            <w:r w:rsidRPr="006534CF">
              <w:rPr>
                <w:noProof/>
                <w:webHidden/>
              </w:rPr>
              <w:fldChar w:fldCharType="end"/>
            </w:r>
          </w:hyperlink>
        </w:p>
        <w:p w:rsidRPr="006534CF" w:rsidR="006534CF" w:rsidP="006534CF" w:rsidRDefault="006534CF" w14:paraId="647EABD3" w14:textId="519CC61E">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65">
            <w:r w:rsidRPr="006534CF">
              <w:rPr>
                <w:rStyle w:val="Hyperlink"/>
                <w:noProof/>
              </w:rPr>
              <w:t>Enfoques Orientadores de la Nueva Visión de la Minería en Colombia</w:t>
            </w:r>
            <w:r w:rsidRPr="006534CF">
              <w:rPr>
                <w:noProof/>
                <w:webHidden/>
              </w:rPr>
              <w:tab/>
            </w:r>
            <w:r w:rsidRPr="006534CF">
              <w:rPr>
                <w:noProof/>
                <w:webHidden/>
              </w:rPr>
              <w:fldChar w:fldCharType="begin"/>
            </w:r>
            <w:r w:rsidRPr="006534CF">
              <w:rPr>
                <w:noProof/>
                <w:webHidden/>
              </w:rPr>
              <w:instrText xml:space="preserve"> PAGEREF _Toc210292965 \h </w:instrText>
            </w:r>
            <w:r w:rsidRPr="006534CF">
              <w:rPr>
                <w:noProof/>
                <w:webHidden/>
              </w:rPr>
            </w:r>
            <w:r w:rsidRPr="006534CF">
              <w:rPr>
                <w:noProof/>
                <w:webHidden/>
              </w:rPr>
              <w:fldChar w:fldCharType="separate"/>
            </w:r>
            <w:r w:rsidRPr="006534CF">
              <w:rPr>
                <w:noProof/>
                <w:webHidden/>
              </w:rPr>
              <w:t>21</w:t>
            </w:r>
            <w:r w:rsidRPr="006534CF">
              <w:rPr>
                <w:noProof/>
                <w:webHidden/>
              </w:rPr>
              <w:fldChar w:fldCharType="end"/>
            </w:r>
          </w:hyperlink>
        </w:p>
        <w:p w:rsidRPr="006534CF" w:rsidR="006534CF" w:rsidP="006534CF" w:rsidRDefault="006534CF" w14:paraId="6A92A739" w14:textId="135DA936">
          <w:pPr>
            <w:pStyle w:val="TOC3"/>
            <w:tabs>
              <w:tab w:val="right" w:leader="dot" w:pos="8686"/>
            </w:tabs>
            <w:spacing w:line="276" w:lineRule="auto"/>
            <w:rPr>
              <w:rFonts w:eastAsiaTheme="minorEastAsia"/>
              <w:noProof/>
              <w:sz w:val="24"/>
              <w:szCs w:val="24"/>
              <w:lang w:eastAsia="es-CO"/>
            </w:rPr>
          </w:pPr>
          <w:hyperlink w:history="1" w:anchor="_Toc210292966">
            <w:r w:rsidRPr="006534CF">
              <w:rPr>
                <w:rStyle w:val="Hyperlink"/>
                <w:noProof/>
              </w:rPr>
              <w:t>1. Enfoque de Derechos Humanos.</w:t>
            </w:r>
            <w:r w:rsidRPr="006534CF">
              <w:rPr>
                <w:noProof/>
                <w:webHidden/>
              </w:rPr>
              <w:tab/>
            </w:r>
            <w:r w:rsidRPr="006534CF">
              <w:rPr>
                <w:noProof/>
                <w:webHidden/>
              </w:rPr>
              <w:fldChar w:fldCharType="begin"/>
            </w:r>
            <w:r w:rsidRPr="006534CF">
              <w:rPr>
                <w:noProof/>
                <w:webHidden/>
              </w:rPr>
              <w:instrText xml:space="preserve"> PAGEREF _Toc210292966 \h </w:instrText>
            </w:r>
            <w:r w:rsidRPr="006534CF">
              <w:rPr>
                <w:noProof/>
                <w:webHidden/>
              </w:rPr>
            </w:r>
            <w:r w:rsidRPr="006534CF">
              <w:rPr>
                <w:noProof/>
                <w:webHidden/>
              </w:rPr>
              <w:fldChar w:fldCharType="separate"/>
            </w:r>
            <w:r w:rsidRPr="006534CF">
              <w:rPr>
                <w:noProof/>
                <w:webHidden/>
              </w:rPr>
              <w:t>21</w:t>
            </w:r>
            <w:r w:rsidRPr="006534CF">
              <w:rPr>
                <w:noProof/>
                <w:webHidden/>
              </w:rPr>
              <w:fldChar w:fldCharType="end"/>
            </w:r>
          </w:hyperlink>
        </w:p>
        <w:p w:rsidRPr="006534CF" w:rsidR="006534CF" w:rsidP="006534CF" w:rsidRDefault="006534CF" w14:paraId="1726334A" w14:textId="7811E5C5">
          <w:pPr>
            <w:pStyle w:val="TOC3"/>
            <w:tabs>
              <w:tab w:val="right" w:leader="dot" w:pos="8686"/>
            </w:tabs>
            <w:spacing w:line="276" w:lineRule="auto"/>
            <w:rPr>
              <w:rFonts w:eastAsiaTheme="minorEastAsia"/>
              <w:noProof/>
              <w:sz w:val="24"/>
              <w:szCs w:val="24"/>
              <w:lang w:eastAsia="es-CO"/>
            </w:rPr>
          </w:pPr>
          <w:hyperlink w:history="1" w:anchor="_Toc210292967">
            <w:r w:rsidRPr="006534CF">
              <w:rPr>
                <w:rStyle w:val="Hyperlink"/>
                <w:noProof/>
              </w:rPr>
              <w:t>2. Enfoque de Género.</w:t>
            </w:r>
            <w:r w:rsidRPr="006534CF">
              <w:rPr>
                <w:noProof/>
                <w:webHidden/>
              </w:rPr>
              <w:tab/>
            </w:r>
            <w:r w:rsidRPr="006534CF">
              <w:rPr>
                <w:noProof/>
                <w:webHidden/>
              </w:rPr>
              <w:fldChar w:fldCharType="begin"/>
            </w:r>
            <w:r w:rsidRPr="006534CF">
              <w:rPr>
                <w:noProof/>
                <w:webHidden/>
              </w:rPr>
              <w:instrText xml:space="preserve"> PAGEREF _Toc210292967 \h </w:instrText>
            </w:r>
            <w:r w:rsidRPr="006534CF">
              <w:rPr>
                <w:noProof/>
                <w:webHidden/>
              </w:rPr>
            </w:r>
            <w:r w:rsidRPr="006534CF">
              <w:rPr>
                <w:noProof/>
                <w:webHidden/>
              </w:rPr>
              <w:fldChar w:fldCharType="separate"/>
            </w:r>
            <w:r w:rsidRPr="006534CF">
              <w:rPr>
                <w:noProof/>
                <w:webHidden/>
              </w:rPr>
              <w:t>22</w:t>
            </w:r>
            <w:r w:rsidRPr="006534CF">
              <w:rPr>
                <w:noProof/>
                <w:webHidden/>
              </w:rPr>
              <w:fldChar w:fldCharType="end"/>
            </w:r>
          </w:hyperlink>
        </w:p>
        <w:p w:rsidRPr="006534CF" w:rsidR="006534CF" w:rsidP="006534CF" w:rsidRDefault="006534CF" w14:paraId="2F8A61D8" w14:textId="1D425A4E">
          <w:pPr>
            <w:pStyle w:val="TOC3"/>
            <w:tabs>
              <w:tab w:val="right" w:leader="dot" w:pos="8686"/>
            </w:tabs>
            <w:spacing w:line="276" w:lineRule="auto"/>
            <w:rPr>
              <w:rFonts w:eastAsiaTheme="minorEastAsia"/>
              <w:noProof/>
              <w:sz w:val="24"/>
              <w:szCs w:val="24"/>
              <w:lang w:eastAsia="es-CO"/>
            </w:rPr>
          </w:pPr>
          <w:hyperlink w:history="1" w:anchor="_Toc210292968">
            <w:r w:rsidRPr="006534CF">
              <w:rPr>
                <w:rStyle w:val="Hyperlink"/>
                <w:noProof/>
              </w:rPr>
              <w:t>3. Enfoques Diferenciales.</w:t>
            </w:r>
            <w:r w:rsidRPr="006534CF">
              <w:rPr>
                <w:noProof/>
                <w:webHidden/>
              </w:rPr>
              <w:tab/>
            </w:r>
            <w:r w:rsidRPr="006534CF">
              <w:rPr>
                <w:noProof/>
                <w:webHidden/>
              </w:rPr>
              <w:fldChar w:fldCharType="begin"/>
            </w:r>
            <w:r w:rsidRPr="006534CF">
              <w:rPr>
                <w:noProof/>
                <w:webHidden/>
              </w:rPr>
              <w:instrText xml:space="preserve"> PAGEREF _Toc210292968 \h </w:instrText>
            </w:r>
            <w:r w:rsidRPr="006534CF">
              <w:rPr>
                <w:noProof/>
                <w:webHidden/>
              </w:rPr>
            </w:r>
            <w:r w:rsidRPr="006534CF">
              <w:rPr>
                <w:noProof/>
                <w:webHidden/>
              </w:rPr>
              <w:fldChar w:fldCharType="separate"/>
            </w:r>
            <w:r w:rsidRPr="006534CF">
              <w:rPr>
                <w:noProof/>
                <w:webHidden/>
              </w:rPr>
              <w:t>23</w:t>
            </w:r>
            <w:r w:rsidRPr="006534CF">
              <w:rPr>
                <w:noProof/>
                <w:webHidden/>
              </w:rPr>
              <w:fldChar w:fldCharType="end"/>
            </w:r>
          </w:hyperlink>
        </w:p>
        <w:p w:rsidRPr="006534CF" w:rsidR="006534CF" w:rsidP="006534CF" w:rsidRDefault="006534CF" w14:paraId="6AD86BA4" w14:textId="2CA68559">
          <w:pPr>
            <w:pStyle w:val="TOC3"/>
            <w:tabs>
              <w:tab w:val="right" w:leader="dot" w:pos="8686"/>
            </w:tabs>
            <w:spacing w:line="276" w:lineRule="auto"/>
            <w:rPr>
              <w:rFonts w:eastAsiaTheme="minorEastAsia"/>
              <w:noProof/>
              <w:sz w:val="24"/>
              <w:szCs w:val="24"/>
              <w:lang w:eastAsia="es-CO"/>
            </w:rPr>
          </w:pPr>
          <w:hyperlink w:history="1" w:anchor="_Toc210292969">
            <w:r w:rsidRPr="006534CF">
              <w:rPr>
                <w:rStyle w:val="Hyperlink"/>
                <w:noProof/>
              </w:rPr>
              <w:t>4. Enfoque de Gestión Integral del Cambio Climático.</w:t>
            </w:r>
            <w:r w:rsidRPr="006534CF">
              <w:rPr>
                <w:noProof/>
                <w:webHidden/>
              </w:rPr>
              <w:tab/>
            </w:r>
            <w:r w:rsidRPr="006534CF">
              <w:rPr>
                <w:noProof/>
                <w:webHidden/>
              </w:rPr>
              <w:fldChar w:fldCharType="begin"/>
            </w:r>
            <w:r w:rsidRPr="006534CF">
              <w:rPr>
                <w:noProof/>
                <w:webHidden/>
              </w:rPr>
              <w:instrText xml:space="preserve"> PAGEREF _Toc210292969 \h </w:instrText>
            </w:r>
            <w:r w:rsidRPr="006534CF">
              <w:rPr>
                <w:noProof/>
                <w:webHidden/>
              </w:rPr>
            </w:r>
            <w:r w:rsidRPr="006534CF">
              <w:rPr>
                <w:noProof/>
                <w:webHidden/>
              </w:rPr>
              <w:fldChar w:fldCharType="separate"/>
            </w:r>
            <w:r w:rsidRPr="006534CF">
              <w:rPr>
                <w:noProof/>
                <w:webHidden/>
              </w:rPr>
              <w:t>24</w:t>
            </w:r>
            <w:r w:rsidRPr="006534CF">
              <w:rPr>
                <w:noProof/>
                <w:webHidden/>
              </w:rPr>
              <w:fldChar w:fldCharType="end"/>
            </w:r>
          </w:hyperlink>
        </w:p>
        <w:p w:rsidRPr="006534CF" w:rsidR="006534CF" w:rsidP="006534CF" w:rsidRDefault="006534CF" w14:paraId="0BA65A0F" w14:textId="100DED84">
          <w:pPr>
            <w:pStyle w:val="TOC3"/>
            <w:tabs>
              <w:tab w:val="right" w:leader="dot" w:pos="8686"/>
            </w:tabs>
            <w:spacing w:line="276" w:lineRule="auto"/>
            <w:rPr>
              <w:rFonts w:eastAsiaTheme="minorEastAsia"/>
              <w:noProof/>
              <w:sz w:val="24"/>
              <w:szCs w:val="24"/>
              <w:lang w:eastAsia="es-CO"/>
            </w:rPr>
          </w:pPr>
          <w:hyperlink w:history="1" w:anchor="_Toc210292970">
            <w:r w:rsidRPr="006534CF">
              <w:rPr>
                <w:rStyle w:val="Hyperlink"/>
                <w:noProof/>
              </w:rPr>
              <w:t>5. Enfoque Sistémico.</w:t>
            </w:r>
            <w:r w:rsidRPr="006534CF">
              <w:rPr>
                <w:noProof/>
                <w:webHidden/>
              </w:rPr>
              <w:tab/>
            </w:r>
            <w:r w:rsidRPr="006534CF">
              <w:rPr>
                <w:noProof/>
                <w:webHidden/>
              </w:rPr>
              <w:fldChar w:fldCharType="begin"/>
            </w:r>
            <w:r w:rsidRPr="006534CF">
              <w:rPr>
                <w:noProof/>
                <w:webHidden/>
              </w:rPr>
              <w:instrText xml:space="preserve"> PAGEREF _Toc210292970 \h </w:instrText>
            </w:r>
            <w:r w:rsidRPr="006534CF">
              <w:rPr>
                <w:noProof/>
                <w:webHidden/>
              </w:rPr>
            </w:r>
            <w:r w:rsidRPr="006534CF">
              <w:rPr>
                <w:noProof/>
                <w:webHidden/>
              </w:rPr>
              <w:fldChar w:fldCharType="separate"/>
            </w:r>
            <w:r w:rsidRPr="006534CF">
              <w:rPr>
                <w:noProof/>
                <w:webHidden/>
              </w:rPr>
              <w:t>25</w:t>
            </w:r>
            <w:r w:rsidRPr="006534CF">
              <w:rPr>
                <w:noProof/>
                <w:webHidden/>
              </w:rPr>
              <w:fldChar w:fldCharType="end"/>
            </w:r>
          </w:hyperlink>
        </w:p>
        <w:p w:rsidRPr="006534CF" w:rsidR="006534CF" w:rsidP="006534CF" w:rsidRDefault="006534CF" w14:paraId="07D99F16" w14:textId="7C3F86B6">
          <w:pPr>
            <w:pStyle w:val="TOC3"/>
            <w:tabs>
              <w:tab w:val="right" w:leader="dot" w:pos="8686"/>
            </w:tabs>
            <w:spacing w:line="276" w:lineRule="auto"/>
            <w:rPr>
              <w:rFonts w:eastAsiaTheme="minorEastAsia"/>
              <w:noProof/>
              <w:sz w:val="24"/>
              <w:szCs w:val="24"/>
              <w:lang w:eastAsia="es-CO"/>
            </w:rPr>
          </w:pPr>
          <w:hyperlink w:history="1" w:anchor="_Toc210292971">
            <w:r w:rsidRPr="006534CF">
              <w:rPr>
                <w:rStyle w:val="Hyperlink"/>
                <w:noProof/>
              </w:rPr>
              <w:t>6. Enfoque Territorial.</w:t>
            </w:r>
            <w:r w:rsidRPr="006534CF">
              <w:rPr>
                <w:noProof/>
                <w:webHidden/>
              </w:rPr>
              <w:tab/>
            </w:r>
            <w:r w:rsidRPr="006534CF">
              <w:rPr>
                <w:noProof/>
                <w:webHidden/>
              </w:rPr>
              <w:fldChar w:fldCharType="begin"/>
            </w:r>
            <w:r w:rsidRPr="006534CF">
              <w:rPr>
                <w:noProof/>
                <w:webHidden/>
              </w:rPr>
              <w:instrText xml:space="preserve"> PAGEREF _Toc210292971 \h </w:instrText>
            </w:r>
            <w:r w:rsidRPr="006534CF">
              <w:rPr>
                <w:noProof/>
                <w:webHidden/>
              </w:rPr>
            </w:r>
            <w:r w:rsidRPr="006534CF">
              <w:rPr>
                <w:noProof/>
                <w:webHidden/>
              </w:rPr>
              <w:fldChar w:fldCharType="separate"/>
            </w:r>
            <w:r w:rsidRPr="006534CF">
              <w:rPr>
                <w:noProof/>
                <w:webHidden/>
              </w:rPr>
              <w:t>25</w:t>
            </w:r>
            <w:r w:rsidRPr="006534CF">
              <w:rPr>
                <w:noProof/>
                <w:webHidden/>
              </w:rPr>
              <w:fldChar w:fldCharType="end"/>
            </w:r>
          </w:hyperlink>
        </w:p>
        <w:p w:rsidRPr="006534CF" w:rsidR="006534CF" w:rsidP="006534CF" w:rsidRDefault="006534CF" w14:paraId="42B8B3DB" w14:textId="5E0A0C3C">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72">
            <w:r w:rsidRPr="006534CF">
              <w:rPr>
                <w:rStyle w:val="Hyperlink"/>
                <w:noProof/>
              </w:rPr>
              <w:t>Metodología</w:t>
            </w:r>
            <w:r w:rsidRPr="006534CF">
              <w:rPr>
                <w:noProof/>
                <w:webHidden/>
              </w:rPr>
              <w:tab/>
            </w:r>
            <w:r w:rsidRPr="006534CF">
              <w:rPr>
                <w:noProof/>
                <w:webHidden/>
              </w:rPr>
              <w:fldChar w:fldCharType="begin"/>
            </w:r>
            <w:r w:rsidRPr="006534CF">
              <w:rPr>
                <w:noProof/>
                <w:webHidden/>
              </w:rPr>
              <w:instrText xml:space="preserve"> PAGEREF _Toc210292972 \h </w:instrText>
            </w:r>
            <w:r w:rsidRPr="006534CF">
              <w:rPr>
                <w:noProof/>
                <w:webHidden/>
              </w:rPr>
            </w:r>
            <w:r w:rsidRPr="006534CF">
              <w:rPr>
                <w:noProof/>
                <w:webHidden/>
              </w:rPr>
              <w:fldChar w:fldCharType="separate"/>
            </w:r>
            <w:r w:rsidRPr="006534CF">
              <w:rPr>
                <w:noProof/>
                <w:webHidden/>
              </w:rPr>
              <w:t>26</w:t>
            </w:r>
            <w:r w:rsidRPr="006534CF">
              <w:rPr>
                <w:noProof/>
                <w:webHidden/>
              </w:rPr>
              <w:fldChar w:fldCharType="end"/>
            </w:r>
          </w:hyperlink>
        </w:p>
        <w:p w:rsidRPr="006534CF" w:rsidR="006534CF" w:rsidP="006534CF" w:rsidRDefault="006534CF" w14:paraId="42D8C07C" w14:textId="68024040">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73">
            <w:r w:rsidRPr="006534CF">
              <w:rPr>
                <w:rStyle w:val="Hyperlink"/>
                <w:noProof/>
              </w:rPr>
              <w:t>Problemáticas asociadas a la Minería en Colombia</w:t>
            </w:r>
            <w:r w:rsidRPr="006534CF">
              <w:rPr>
                <w:noProof/>
                <w:webHidden/>
              </w:rPr>
              <w:tab/>
            </w:r>
            <w:r w:rsidRPr="006534CF">
              <w:rPr>
                <w:noProof/>
                <w:webHidden/>
              </w:rPr>
              <w:fldChar w:fldCharType="begin"/>
            </w:r>
            <w:r w:rsidRPr="006534CF">
              <w:rPr>
                <w:noProof/>
                <w:webHidden/>
              </w:rPr>
              <w:instrText xml:space="preserve"> PAGEREF _Toc210292973 \h </w:instrText>
            </w:r>
            <w:r w:rsidRPr="006534CF">
              <w:rPr>
                <w:noProof/>
                <w:webHidden/>
              </w:rPr>
            </w:r>
            <w:r w:rsidRPr="006534CF">
              <w:rPr>
                <w:noProof/>
                <w:webHidden/>
              </w:rPr>
              <w:fldChar w:fldCharType="separate"/>
            </w:r>
            <w:r w:rsidRPr="006534CF">
              <w:rPr>
                <w:noProof/>
                <w:webHidden/>
              </w:rPr>
              <w:t>27</w:t>
            </w:r>
            <w:r w:rsidRPr="006534CF">
              <w:rPr>
                <w:noProof/>
                <w:webHidden/>
              </w:rPr>
              <w:fldChar w:fldCharType="end"/>
            </w:r>
          </w:hyperlink>
        </w:p>
        <w:p w:rsidRPr="006534CF" w:rsidR="006534CF" w:rsidP="006534CF" w:rsidRDefault="006534CF" w14:paraId="105D2C6B" w14:textId="5E31C0CA">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74">
            <w:r w:rsidRPr="006534CF">
              <w:rPr>
                <w:rStyle w:val="Hyperlink"/>
                <w:noProof/>
                <w:lang w:val="es-ES"/>
              </w:rPr>
              <w:t>1.</w:t>
            </w:r>
            <w:r w:rsidRPr="006534CF">
              <w:rPr>
                <w:rFonts w:eastAsiaTheme="minorEastAsia"/>
                <w:i w:val="0"/>
                <w:iCs w:val="0"/>
                <w:noProof/>
                <w:sz w:val="24"/>
                <w:szCs w:val="24"/>
                <w:lang w:eastAsia="es-CO"/>
              </w:rPr>
              <w:tab/>
            </w:r>
            <w:r w:rsidRPr="006534CF">
              <w:rPr>
                <w:rStyle w:val="Hyperlink"/>
                <w:noProof/>
                <w:lang w:val="es-ES"/>
              </w:rPr>
              <w:t>Insuficiencias en la planificación y el ordenamiento minero-ambiental</w:t>
            </w:r>
            <w:r w:rsidRPr="006534CF">
              <w:rPr>
                <w:noProof/>
                <w:webHidden/>
              </w:rPr>
              <w:tab/>
            </w:r>
            <w:r w:rsidRPr="006534CF">
              <w:rPr>
                <w:noProof/>
                <w:webHidden/>
              </w:rPr>
              <w:fldChar w:fldCharType="begin"/>
            </w:r>
            <w:r w:rsidRPr="006534CF">
              <w:rPr>
                <w:noProof/>
                <w:webHidden/>
              </w:rPr>
              <w:instrText xml:space="preserve"> PAGEREF _Toc210292974 \h </w:instrText>
            </w:r>
            <w:r w:rsidRPr="006534CF">
              <w:rPr>
                <w:noProof/>
                <w:webHidden/>
              </w:rPr>
            </w:r>
            <w:r w:rsidRPr="006534CF">
              <w:rPr>
                <w:noProof/>
                <w:webHidden/>
              </w:rPr>
              <w:fldChar w:fldCharType="separate"/>
            </w:r>
            <w:r w:rsidRPr="006534CF">
              <w:rPr>
                <w:noProof/>
                <w:webHidden/>
              </w:rPr>
              <w:t>29</w:t>
            </w:r>
            <w:r w:rsidRPr="006534CF">
              <w:rPr>
                <w:noProof/>
                <w:webHidden/>
              </w:rPr>
              <w:fldChar w:fldCharType="end"/>
            </w:r>
          </w:hyperlink>
        </w:p>
        <w:p w:rsidRPr="006534CF" w:rsidR="006534CF" w:rsidP="006534CF" w:rsidRDefault="006534CF" w14:paraId="617DB067" w14:textId="4FB384AE">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75">
            <w:r w:rsidRPr="006534CF">
              <w:rPr>
                <w:rStyle w:val="Hyperlink"/>
                <w:noProof/>
              </w:rPr>
              <w:t>2.</w:t>
            </w:r>
            <w:r w:rsidRPr="006534CF">
              <w:rPr>
                <w:rFonts w:eastAsiaTheme="minorEastAsia"/>
                <w:i w:val="0"/>
                <w:iCs w:val="0"/>
                <w:noProof/>
                <w:sz w:val="24"/>
                <w:szCs w:val="24"/>
                <w:lang w:eastAsia="es-CO"/>
              </w:rPr>
              <w:tab/>
            </w:r>
            <w:r w:rsidRPr="006534CF">
              <w:rPr>
                <w:rStyle w:val="Hyperlink"/>
                <w:noProof/>
              </w:rPr>
              <w:t>Deficiencias de articulación institucional e intersectorial para la toma de decisiones.</w:t>
            </w:r>
            <w:r w:rsidRPr="006534CF">
              <w:rPr>
                <w:noProof/>
                <w:webHidden/>
              </w:rPr>
              <w:tab/>
            </w:r>
            <w:r w:rsidRPr="006534CF">
              <w:rPr>
                <w:noProof/>
                <w:webHidden/>
              </w:rPr>
              <w:fldChar w:fldCharType="begin"/>
            </w:r>
            <w:r w:rsidRPr="006534CF">
              <w:rPr>
                <w:noProof/>
                <w:webHidden/>
              </w:rPr>
              <w:instrText xml:space="preserve"> PAGEREF _Toc210292975 \h </w:instrText>
            </w:r>
            <w:r w:rsidRPr="006534CF">
              <w:rPr>
                <w:noProof/>
                <w:webHidden/>
              </w:rPr>
            </w:r>
            <w:r w:rsidRPr="006534CF">
              <w:rPr>
                <w:noProof/>
                <w:webHidden/>
              </w:rPr>
              <w:fldChar w:fldCharType="separate"/>
            </w:r>
            <w:r w:rsidRPr="006534CF">
              <w:rPr>
                <w:noProof/>
                <w:webHidden/>
              </w:rPr>
              <w:t>34</w:t>
            </w:r>
            <w:r w:rsidRPr="006534CF">
              <w:rPr>
                <w:noProof/>
                <w:webHidden/>
              </w:rPr>
              <w:fldChar w:fldCharType="end"/>
            </w:r>
          </w:hyperlink>
        </w:p>
        <w:p w:rsidRPr="006534CF" w:rsidR="006534CF" w:rsidP="006534CF" w:rsidRDefault="006534CF" w14:paraId="2DE54DB7" w14:textId="5A094766">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76">
            <w:r w:rsidRPr="006534CF">
              <w:rPr>
                <w:rStyle w:val="Hyperlink"/>
                <w:noProof/>
                <w:lang w:val="es-ES"/>
              </w:rPr>
              <w:t>3.</w:t>
            </w:r>
            <w:r w:rsidRPr="006534CF">
              <w:rPr>
                <w:rFonts w:eastAsiaTheme="minorEastAsia"/>
                <w:i w:val="0"/>
                <w:iCs w:val="0"/>
                <w:noProof/>
                <w:sz w:val="24"/>
                <w:szCs w:val="24"/>
                <w:lang w:eastAsia="es-CO"/>
              </w:rPr>
              <w:tab/>
            </w:r>
            <w:r w:rsidRPr="006534CF">
              <w:rPr>
                <w:rStyle w:val="Hyperlink"/>
                <w:noProof/>
              </w:rPr>
              <w:t>Insuficiencia de control y seguimiento minero ambiental.</w:t>
            </w:r>
            <w:r w:rsidRPr="006534CF">
              <w:rPr>
                <w:noProof/>
                <w:webHidden/>
              </w:rPr>
              <w:tab/>
            </w:r>
            <w:r w:rsidRPr="006534CF">
              <w:rPr>
                <w:noProof/>
                <w:webHidden/>
              </w:rPr>
              <w:fldChar w:fldCharType="begin"/>
            </w:r>
            <w:r w:rsidRPr="006534CF">
              <w:rPr>
                <w:noProof/>
                <w:webHidden/>
              </w:rPr>
              <w:instrText xml:space="preserve"> PAGEREF _Toc210292976 \h </w:instrText>
            </w:r>
            <w:r w:rsidRPr="006534CF">
              <w:rPr>
                <w:noProof/>
                <w:webHidden/>
              </w:rPr>
            </w:r>
            <w:r w:rsidRPr="006534CF">
              <w:rPr>
                <w:noProof/>
                <w:webHidden/>
              </w:rPr>
              <w:fldChar w:fldCharType="separate"/>
            </w:r>
            <w:r w:rsidRPr="006534CF">
              <w:rPr>
                <w:noProof/>
                <w:webHidden/>
              </w:rPr>
              <w:t>39</w:t>
            </w:r>
            <w:r w:rsidRPr="006534CF">
              <w:rPr>
                <w:noProof/>
                <w:webHidden/>
              </w:rPr>
              <w:fldChar w:fldCharType="end"/>
            </w:r>
          </w:hyperlink>
        </w:p>
        <w:p w:rsidRPr="006534CF" w:rsidR="006534CF" w:rsidP="006534CF" w:rsidRDefault="006534CF" w14:paraId="50E32757" w14:textId="276EC19D">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77">
            <w:r w:rsidRPr="006534CF">
              <w:rPr>
                <w:rStyle w:val="Hyperlink"/>
                <w:noProof/>
              </w:rPr>
              <w:t>4.</w:t>
            </w:r>
            <w:r w:rsidRPr="006534CF">
              <w:rPr>
                <w:rFonts w:eastAsiaTheme="minorEastAsia"/>
                <w:i w:val="0"/>
                <w:iCs w:val="0"/>
                <w:noProof/>
                <w:sz w:val="24"/>
                <w:szCs w:val="24"/>
                <w:lang w:eastAsia="es-CO"/>
              </w:rPr>
              <w:tab/>
            </w:r>
            <w:r w:rsidRPr="006534CF">
              <w:rPr>
                <w:rStyle w:val="Hyperlink"/>
                <w:noProof/>
              </w:rPr>
              <w:t>Falta de garantías para la participación social efectiva en el desarrollo de la actividad minera.</w:t>
            </w:r>
            <w:r w:rsidRPr="006534CF">
              <w:rPr>
                <w:noProof/>
                <w:webHidden/>
              </w:rPr>
              <w:tab/>
            </w:r>
            <w:r w:rsidRPr="006534CF">
              <w:rPr>
                <w:noProof/>
                <w:webHidden/>
              </w:rPr>
              <w:fldChar w:fldCharType="begin"/>
            </w:r>
            <w:r w:rsidRPr="006534CF">
              <w:rPr>
                <w:noProof/>
                <w:webHidden/>
              </w:rPr>
              <w:instrText xml:space="preserve"> PAGEREF _Toc210292977 \h </w:instrText>
            </w:r>
            <w:r w:rsidRPr="006534CF">
              <w:rPr>
                <w:noProof/>
                <w:webHidden/>
              </w:rPr>
            </w:r>
            <w:r w:rsidRPr="006534CF">
              <w:rPr>
                <w:noProof/>
                <w:webHidden/>
              </w:rPr>
              <w:fldChar w:fldCharType="separate"/>
            </w:r>
            <w:r w:rsidRPr="006534CF">
              <w:rPr>
                <w:noProof/>
                <w:webHidden/>
              </w:rPr>
              <w:t>44</w:t>
            </w:r>
            <w:r w:rsidRPr="006534CF">
              <w:rPr>
                <w:noProof/>
                <w:webHidden/>
              </w:rPr>
              <w:fldChar w:fldCharType="end"/>
            </w:r>
          </w:hyperlink>
        </w:p>
        <w:p w:rsidRPr="006534CF" w:rsidR="006534CF" w:rsidP="006534CF" w:rsidRDefault="006534CF" w14:paraId="356927D9" w14:textId="1263623D">
          <w:pPr>
            <w:pStyle w:val="TOC3"/>
            <w:tabs>
              <w:tab w:val="right" w:leader="dot" w:pos="8686"/>
            </w:tabs>
            <w:spacing w:line="276" w:lineRule="auto"/>
            <w:rPr>
              <w:rFonts w:eastAsiaTheme="minorEastAsia"/>
              <w:noProof/>
              <w:sz w:val="24"/>
              <w:szCs w:val="24"/>
              <w:lang w:eastAsia="es-CO"/>
            </w:rPr>
          </w:pPr>
          <w:hyperlink w:history="1" w:anchor="_Toc210292978">
            <w:r w:rsidRPr="006534CF">
              <w:rPr>
                <w:rStyle w:val="Hyperlink"/>
                <w:noProof/>
                <w:lang w:val="es-ES"/>
              </w:rPr>
              <w:t>4.1. Los territorios y mecanismos de participación</w:t>
            </w:r>
            <w:r w:rsidRPr="006534CF">
              <w:rPr>
                <w:noProof/>
                <w:webHidden/>
              </w:rPr>
              <w:tab/>
            </w:r>
            <w:r w:rsidRPr="006534CF">
              <w:rPr>
                <w:noProof/>
                <w:webHidden/>
              </w:rPr>
              <w:fldChar w:fldCharType="begin"/>
            </w:r>
            <w:r w:rsidRPr="006534CF">
              <w:rPr>
                <w:noProof/>
                <w:webHidden/>
              </w:rPr>
              <w:instrText xml:space="preserve"> PAGEREF _Toc210292978 \h </w:instrText>
            </w:r>
            <w:r w:rsidRPr="006534CF">
              <w:rPr>
                <w:noProof/>
                <w:webHidden/>
              </w:rPr>
            </w:r>
            <w:r w:rsidRPr="006534CF">
              <w:rPr>
                <w:noProof/>
                <w:webHidden/>
              </w:rPr>
              <w:fldChar w:fldCharType="separate"/>
            </w:r>
            <w:r w:rsidRPr="006534CF">
              <w:rPr>
                <w:noProof/>
                <w:webHidden/>
              </w:rPr>
              <w:t>44</w:t>
            </w:r>
            <w:r w:rsidRPr="006534CF">
              <w:rPr>
                <w:noProof/>
                <w:webHidden/>
              </w:rPr>
              <w:fldChar w:fldCharType="end"/>
            </w:r>
          </w:hyperlink>
        </w:p>
        <w:p w:rsidRPr="006534CF" w:rsidR="006534CF" w:rsidP="006534CF" w:rsidRDefault="006534CF" w14:paraId="1E2A713F" w14:textId="1D5D6C05">
          <w:pPr>
            <w:pStyle w:val="TOC3"/>
            <w:tabs>
              <w:tab w:val="right" w:leader="dot" w:pos="8686"/>
            </w:tabs>
            <w:spacing w:line="276" w:lineRule="auto"/>
            <w:rPr>
              <w:rFonts w:eastAsiaTheme="minorEastAsia"/>
              <w:noProof/>
              <w:sz w:val="24"/>
              <w:szCs w:val="24"/>
              <w:lang w:eastAsia="es-CO"/>
            </w:rPr>
          </w:pPr>
          <w:hyperlink w:history="1" w:anchor="_Toc210292979">
            <w:r w:rsidRPr="006534CF">
              <w:rPr>
                <w:rStyle w:val="Hyperlink"/>
                <w:noProof/>
                <w:lang w:val="es-ES"/>
              </w:rPr>
              <w:t>4.2. Comunidades étnicas y su relacionamiento con la actividad minera</w:t>
            </w:r>
            <w:r w:rsidRPr="006534CF">
              <w:rPr>
                <w:noProof/>
                <w:webHidden/>
              </w:rPr>
              <w:tab/>
            </w:r>
            <w:r w:rsidRPr="006534CF">
              <w:rPr>
                <w:noProof/>
                <w:webHidden/>
              </w:rPr>
              <w:fldChar w:fldCharType="begin"/>
            </w:r>
            <w:r w:rsidRPr="006534CF">
              <w:rPr>
                <w:noProof/>
                <w:webHidden/>
              </w:rPr>
              <w:instrText xml:space="preserve"> PAGEREF _Toc210292979 \h </w:instrText>
            </w:r>
            <w:r w:rsidRPr="006534CF">
              <w:rPr>
                <w:noProof/>
                <w:webHidden/>
              </w:rPr>
            </w:r>
            <w:r w:rsidRPr="006534CF">
              <w:rPr>
                <w:noProof/>
                <w:webHidden/>
              </w:rPr>
              <w:fldChar w:fldCharType="separate"/>
            </w:r>
            <w:r w:rsidRPr="006534CF">
              <w:rPr>
                <w:noProof/>
                <w:webHidden/>
              </w:rPr>
              <w:t>47</w:t>
            </w:r>
            <w:r w:rsidRPr="006534CF">
              <w:rPr>
                <w:noProof/>
                <w:webHidden/>
              </w:rPr>
              <w:fldChar w:fldCharType="end"/>
            </w:r>
          </w:hyperlink>
        </w:p>
        <w:p w:rsidRPr="006534CF" w:rsidR="006534CF" w:rsidP="006534CF" w:rsidRDefault="006534CF" w14:paraId="5D474751" w14:textId="09AF7B96">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80">
            <w:r w:rsidRPr="006534CF">
              <w:rPr>
                <w:rStyle w:val="Hyperlink"/>
                <w:noProof/>
              </w:rPr>
              <w:t>5.</w:t>
            </w:r>
            <w:r w:rsidRPr="006534CF">
              <w:rPr>
                <w:rFonts w:eastAsiaTheme="minorEastAsia"/>
                <w:i w:val="0"/>
                <w:iCs w:val="0"/>
                <w:noProof/>
                <w:sz w:val="24"/>
                <w:szCs w:val="24"/>
                <w:lang w:eastAsia="es-CO"/>
              </w:rPr>
              <w:tab/>
            </w:r>
            <w:r w:rsidRPr="006534CF">
              <w:rPr>
                <w:rStyle w:val="Hyperlink"/>
                <w:noProof/>
              </w:rPr>
              <w:t>Alta tasa de informalidad y bajo nivel de desarrollo empresarial en las actividades de la pequeña minería.</w:t>
            </w:r>
            <w:r w:rsidRPr="006534CF">
              <w:rPr>
                <w:noProof/>
                <w:webHidden/>
              </w:rPr>
              <w:tab/>
            </w:r>
            <w:r w:rsidRPr="006534CF">
              <w:rPr>
                <w:noProof/>
                <w:webHidden/>
              </w:rPr>
              <w:fldChar w:fldCharType="begin"/>
            </w:r>
            <w:r w:rsidRPr="006534CF">
              <w:rPr>
                <w:noProof/>
                <w:webHidden/>
              </w:rPr>
              <w:instrText xml:space="preserve"> PAGEREF _Toc210292980 \h </w:instrText>
            </w:r>
            <w:r w:rsidRPr="006534CF">
              <w:rPr>
                <w:noProof/>
                <w:webHidden/>
              </w:rPr>
            </w:r>
            <w:r w:rsidRPr="006534CF">
              <w:rPr>
                <w:noProof/>
                <w:webHidden/>
              </w:rPr>
              <w:fldChar w:fldCharType="separate"/>
            </w:r>
            <w:r w:rsidRPr="006534CF">
              <w:rPr>
                <w:noProof/>
                <w:webHidden/>
              </w:rPr>
              <w:t>52</w:t>
            </w:r>
            <w:r w:rsidRPr="006534CF">
              <w:rPr>
                <w:noProof/>
                <w:webHidden/>
              </w:rPr>
              <w:fldChar w:fldCharType="end"/>
            </w:r>
          </w:hyperlink>
        </w:p>
        <w:p w:rsidRPr="006534CF" w:rsidR="006534CF" w:rsidP="006534CF" w:rsidRDefault="006534CF" w14:paraId="1287C891" w14:textId="1BA89A01">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81">
            <w:r w:rsidRPr="006534CF">
              <w:rPr>
                <w:rStyle w:val="Hyperlink"/>
                <w:noProof/>
              </w:rPr>
              <w:t>6.</w:t>
            </w:r>
            <w:r w:rsidRPr="006534CF">
              <w:rPr>
                <w:rFonts w:eastAsiaTheme="minorEastAsia"/>
                <w:i w:val="0"/>
                <w:iCs w:val="0"/>
                <w:noProof/>
                <w:sz w:val="24"/>
                <w:szCs w:val="24"/>
                <w:lang w:eastAsia="es-CO"/>
              </w:rPr>
              <w:tab/>
            </w:r>
            <w:r w:rsidRPr="006534CF">
              <w:rPr>
                <w:rStyle w:val="Hyperlink"/>
                <w:noProof/>
              </w:rPr>
              <w:t>Insuficiente conocimiento geocientífico nacional de los recursos del subsuelo.</w:t>
            </w:r>
            <w:r w:rsidRPr="006534CF">
              <w:rPr>
                <w:noProof/>
                <w:webHidden/>
              </w:rPr>
              <w:tab/>
            </w:r>
            <w:r w:rsidRPr="006534CF">
              <w:rPr>
                <w:noProof/>
                <w:webHidden/>
              </w:rPr>
              <w:fldChar w:fldCharType="begin"/>
            </w:r>
            <w:r w:rsidRPr="006534CF">
              <w:rPr>
                <w:noProof/>
                <w:webHidden/>
              </w:rPr>
              <w:instrText xml:space="preserve"> PAGEREF _Toc210292981 \h </w:instrText>
            </w:r>
            <w:r w:rsidRPr="006534CF">
              <w:rPr>
                <w:noProof/>
                <w:webHidden/>
              </w:rPr>
            </w:r>
            <w:r w:rsidRPr="006534CF">
              <w:rPr>
                <w:noProof/>
                <w:webHidden/>
              </w:rPr>
              <w:fldChar w:fldCharType="separate"/>
            </w:r>
            <w:r w:rsidRPr="006534CF">
              <w:rPr>
                <w:noProof/>
                <w:webHidden/>
              </w:rPr>
              <w:t>56</w:t>
            </w:r>
            <w:r w:rsidRPr="006534CF">
              <w:rPr>
                <w:noProof/>
                <w:webHidden/>
              </w:rPr>
              <w:fldChar w:fldCharType="end"/>
            </w:r>
          </w:hyperlink>
        </w:p>
        <w:p w:rsidRPr="006534CF" w:rsidR="006534CF" w:rsidP="006534CF" w:rsidRDefault="006534CF" w14:paraId="7E2629DB" w14:textId="6EE71FDA">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82">
            <w:r w:rsidRPr="006534CF">
              <w:rPr>
                <w:rStyle w:val="Hyperlink"/>
                <w:noProof/>
              </w:rPr>
              <w:t>7.</w:t>
            </w:r>
            <w:r w:rsidRPr="006534CF">
              <w:rPr>
                <w:rFonts w:eastAsiaTheme="minorEastAsia"/>
                <w:i w:val="0"/>
                <w:iCs w:val="0"/>
                <w:noProof/>
                <w:sz w:val="24"/>
                <w:szCs w:val="24"/>
                <w:lang w:eastAsia="es-CO"/>
              </w:rPr>
              <w:tab/>
            </w:r>
            <w:r w:rsidRPr="006534CF">
              <w:rPr>
                <w:rStyle w:val="Hyperlink"/>
                <w:noProof/>
              </w:rPr>
              <w:t>Bajo nivel de desarrollo empresarial y de cadenas de valor en la industria minera.</w:t>
            </w:r>
            <w:r w:rsidRPr="006534CF">
              <w:rPr>
                <w:noProof/>
                <w:webHidden/>
              </w:rPr>
              <w:tab/>
            </w:r>
            <w:r w:rsidRPr="006534CF">
              <w:rPr>
                <w:noProof/>
                <w:webHidden/>
              </w:rPr>
              <w:fldChar w:fldCharType="begin"/>
            </w:r>
            <w:r w:rsidRPr="006534CF">
              <w:rPr>
                <w:noProof/>
                <w:webHidden/>
              </w:rPr>
              <w:instrText xml:space="preserve"> PAGEREF _Toc210292982 \h </w:instrText>
            </w:r>
            <w:r w:rsidRPr="006534CF">
              <w:rPr>
                <w:noProof/>
                <w:webHidden/>
              </w:rPr>
            </w:r>
            <w:r w:rsidRPr="006534CF">
              <w:rPr>
                <w:noProof/>
                <w:webHidden/>
              </w:rPr>
              <w:fldChar w:fldCharType="separate"/>
            </w:r>
            <w:r w:rsidRPr="006534CF">
              <w:rPr>
                <w:noProof/>
                <w:webHidden/>
              </w:rPr>
              <w:t>60</w:t>
            </w:r>
            <w:r w:rsidRPr="006534CF">
              <w:rPr>
                <w:noProof/>
                <w:webHidden/>
              </w:rPr>
              <w:fldChar w:fldCharType="end"/>
            </w:r>
          </w:hyperlink>
        </w:p>
        <w:p w:rsidRPr="006534CF" w:rsidR="006534CF" w:rsidP="006534CF" w:rsidRDefault="006534CF" w14:paraId="1920A5D4" w14:textId="15FFCCF1">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83">
            <w:r w:rsidRPr="006534CF">
              <w:rPr>
                <w:rStyle w:val="Hyperlink"/>
                <w:noProof/>
                <w:lang w:val="es-ES"/>
              </w:rPr>
              <w:t>8.</w:t>
            </w:r>
            <w:r w:rsidRPr="006534CF">
              <w:rPr>
                <w:rFonts w:eastAsiaTheme="minorEastAsia"/>
                <w:i w:val="0"/>
                <w:iCs w:val="0"/>
                <w:noProof/>
                <w:sz w:val="24"/>
                <w:szCs w:val="24"/>
                <w:lang w:eastAsia="es-CO"/>
              </w:rPr>
              <w:tab/>
            </w:r>
            <w:r w:rsidRPr="006534CF">
              <w:rPr>
                <w:rStyle w:val="Hyperlink"/>
                <w:noProof/>
              </w:rPr>
              <w:t>Falta de implementación de buenas prácticas en las actividades minera</w:t>
            </w:r>
            <w:r w:rsidRPr="006534CF">
              <w:rPr>
                <w:rStyle w:val="Hyperlink"/>
                <w:noProof/>
                <w:lang w:val="es-ES"/>
              </w:rPr>
              <w:t>.</w:t>
            </w:r>
            <w:r w:rsidRPr="006534CF">
              <w:rPr>
                <w:noProof/>
                <w:webHidden/>
              </w:rPr>
              <w:tab/>
            </w:r>
            <w:r w:rsidRPr="006534CF">
              <w:rPr>
                <w:noProof/>
                <w:webHidden/>
              </w:rPr>
              <w:fldChar w:fldCharType="begin"/>
            </w:r>
            <w:r w:rsidRPr="006534CF">
              <w:rPr>
                <w:noProof/>
                <w:webHidden/>
              </w:rPr>
              <w:instrText xml:space="preserve"> PAGEREF _Toc210292983 \h </w:instrText>
            </w:r>
            <w:r w:rsidRPr="006534CF">
              <w:rPr>
                <w:noProof/>
                <w:webHidden/>
              </w:rPr>
            </w:r>
            <w:r w:rsidRPr="006534CF">
              <w:rPr>
                <w:noProof/>
                <w:webHidden/>
              </w:rPr>
              <w:fldChar w:fldCharType="separate"/>
            </w:r>
            <w:r w:rsidRPr="006534CF">
              <w:rPr>
                <w:noProof/>
                <w:webHidden/>
              </w:rPr>
              <w:t>73</w:t>
            </w:r>
            <w:r w:rsidRPr="006534CF">
              <w:rPr>
                <w:noProof/>
                <w:webHidden/>
              </w:rPr>
              <w:fldChar w:fldCharType="end"/>
            </w:r>
          </w:hyperlink>
        </w:p>
        <w:p w:rsidRPr="006534CF" w:rsidR="006534CF" w:rsidP="006534CF" w:rsidRDefault="006534CF" w14:paraId="148685D1" w14:textId="12116B60">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84">
            <w:r w:rsidRPr="006534CF">
              <w:rPr>
                <w:rStyle w:val="Hyperlink"/>
                <w:noProof/>
              </w:rPr>
              <w:t>9.</w:t>
            </w:r>
            <w:r w:rsidRPr="006534CF">
              <w:rPr>
                <w:rFonts w:eastAsiaTheme="minorEastAsia"/>
                <w:i w:val="0"/>
                <w:iCs w:val="0"/>
                <w:noProof/>
                <w:sz w:val="24"/>
                <w:szCs w:val="24"/>
                <w:lang w:eastAsia="es-CO"/>
              </w:rPr>
              <w:tab/>
            </w:r>
            <w:r w:rsidRPr="006534CF">
              <w:rPr>
                <w:rStyle w:val="Hyperlink"/>
                <w:noProof/>
              </w:rPr>
              <w:t>Deficiencias en las etapas de cierre y post cierre de minas.</w:t>
            </w:r>
            <w:r w:rsidRPr="006534CF">
              <w:rPr>
                <w:noProof/>
                <w:webHidden/>
              </w:rPr>
              <w:tab/>
            </w:r>
            <w:r w:rsidRPr="006534CF">
              <w:rPr>
                <w:noProof/>
                <w:webHidden/>
              </w:rPr>
              <w:fldChar w:fldCharType="begin"/>
            </w:r>
            <w:r w:rsidRPr="006534CF">
              <w:rPr>
                <w:noProof/>
                <w:webHidden/>
              </w:rPr>
              <w:instrText xml:space="preserve"> PAGEREF _Toc210292984 \h </w:instrText>
            </w:r>
            <w:r w:rsidRPr="006534CF">
              <w:rPr>
                <w:noProof/>
                <w:webHidden/>
              </w:rPr>
            </w:r>
            <w:r w:rsidRPr="006534CF">
              <w:rPr>
                <w:noProof/>
                <w:webHidden/>
              </w:rPr>
              <w:fldChar w:fldCharType="separate"/>
            </w:r>
            <w:r w:rsidRPr="006534CF">
              <w:rPr>
                <w:noProof/>
                <w:webHidden/>
              </w:rPr>
              <w:t>76</w:t>
            </w:r>
            <w:r w:rsidRPr="006534CF">
              <w:rPr>
                <w:noProof/>
                <w:webHidden/>
              </w:rPr>
              <w:fldChar w:fldCharType="end"/>
            </w:r>
          </w:hyperlink>
        </w:p>
        <w:p w:rsidRPr="006534CF" w:rsidR="006534CF" w:rsidP="006534CF" w:rsidRDefault="006534CF" w14:paraId="07C86790" w14:textId="5D2B8979">
          <w:pPr>
            <w:pStyle w:val="TOC2"/>
            <w:tabs>
              <w:tab w:val="left" w:pos="880"/>
              <w:tab w:val="right" w:leader="dot" w:pos="8686"/>
            </w:tabs>
            <w:spacing w:before="0" w:line="276" w:lineRule="auto"/>
            <w:rPr>
              <w:rFonts w:eastAsiaTheme="minorEastAsia"/>
              <w:i w:val="0"/>
              <w:iCs w:val="0"/>
              <w:noProof/>
              <w:sz w:val="24"/>
              <w:szCs w:val="24"/>
              <w:lang w:eastAsia="es-CO"/>
            </w:rPr>
          </w:pPr>
          <w:hyperlink w:history="1" w:anchor="_Toc210292985">
            <w:r w:rsidRPr="006534CF">
              <w:rPr>
                <w:rStyle w:val="Hyperlink"/>
                <w:noProof/>
              </w:rPr>
              <w:t>10.</w:t>
            </w:r>
            <w:r w:rsidRPr="006534CF">
              <w:rPr>
                <w:rFonts w:eastAsiaTheme="minorEastAsia"/>
                <w:i w:val="0"/>
                <w:iCs w:val="0"/>
                <w:noProof/>
                <w:sz w:val="24"/>
                <w:szCs w:val="24"/>
                <w:lang w:eastAsia="es-CO"/>
              </w:rPr>
              <w:tab/>
            </w:r>
            <w:r w:rsidRPr="006534CF">
              <w:rPr>
                <w:rStyle w:val="Hyperlink"/>
                <w:noProof/>
              </w:rPr>
              <w:t>Explotación no autorizada y explotación ilícita de minerales.</w:t>
            </w:r>
            <w:r w:rsidRPr="006534CF">
              <w:rPr>
                <w:noProof/>
                <w:webHidden/>
              </w:rPr>
              <w:tab/>
            </w:r>
            <w:r w:rsidRPr="006534CF">
              <w:rPr>
                <w:noProof/>
                <w:webHidden/>
              </w:rPr>
              <w:fldChar w:fldCharType="begin"/>
            </w:r>
            <w:r w:rsidRPr="006534CF">
              <w:rPr>
                <w:noProof/>
                <w:webHidden/>
              </w:rPr>
              <w:instrText xml:space="preserve"> PAGEREF _Toc210292985 \h </w:instrText>
            </w:r>
            <w:r w:rsidRPr="006534CF">
              <w:rPr>
                <w:noProof/>
                <w:webHidden/>
              </w:rPr>
            </w:r>
            <w:r w:rsidRPr="006534CF">
              <w:rPr>
                <w:noProof/>
                <w:webHidden/>
              </w:rPr>
              <w:fldChar w:fldCharType="separate"/>
            </w:r>
            <w:r w:rsidRPr="006534CF">
              <w:rPr>
                <w:noProof/>
                <w:webHidden/>
              </w:rPr>
              <w:t>80</w:t>
            </w:r>
            <w:r w:rsidRPr="006534CF">
              <w:rPr>
                <w:noProof/>
                <w:webHidden/>
              </w:rPr>
              <w:fldChar w:fldCharType="end"/>
            </w:r>
          </w:hyperlink>
        </w:p>
        <w:p w:rsidRPr="006534CF" w:rsidR="006534CF" w:rsidP="006534CF" w:rsidRDefault="006534CF" w14:paraId="2E39C17A" w14:textId="13F621C6">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86">
            <w:r w:rsidRPr="006534CF">
              <w:rPr>
                <w:rStyle w:val="Hyperlink"/>
                <w:noProof/>
              </w:rPr>
              <w:t>Retos y acciones en el marco de una nueva visión de la política minera en Colombia</w:t>
            </w:r>
            <w:r w:rsidRPr="006534CF">
              <w:rPr>
                <w:noProof/>
                <w:webHidden/>
              </w:rPr>
              <w:tab/>
            </w:r>
            <w:r w:rsidRPr="006534CF">
              <w:rPr>
                <w:noProof/>
                <w:webHidden/>
              </w:rPr>
              <w:fldChar w:fldCharType="begin"/>
            </w:r>
            <w:r w:rsidRPr="006534CF">
              <w:rPr>
                <w:noProof/>
                <w:webHidden/>
              </w:rPr>
              <w:instrText xml:space="preserve"> PAGEREF _Toc210292986 \h </w:instrText>
            </w:r>
            <w:r w:rsidRPr="006534CF">
              <w:rPr>
                <w:noProof/>
                <w:webHidden/>
              </w:rPr>
            </w:r>
            <w:r w:rsidRPr="006534CF">
              <w:rPr>
                <w:noProof/>
                <w:webHidden/>
              </w:rPr>
              <w:fldChar w:fldCharType="separate"/>
            </w:r>
            <w:r w:rsidRPr="006534CF">
              <w:rPr>
                <w:noProof/>
                <w:webHidden/>
              </w:rPr>
              <w:t>86</w:t>
            </w:r>
            <w:r w:rsidRPr="006534CF">
              <w:rPr>
                <w:noProof/>
                <w:webHidden/>
              </w:rPr>
              <w:fldChar w:fldCharType="end"/>
            </w:r>
          </w:hyperlink>
        </w:p>
        <w:p w:rsidRPr="006534CF" w:rsidR="006534CF" w:rsidP="006534CF" w:rsidRDefault="006534CF" w14:paraId="78C027B4" w14:textId="43B3C4EA">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87">
            <w:r w:rsidRPr="006534CF">
              <w:rPr>
                <w:rStyle w:val="Hyperlink"/>
                <w:noProof/>
                <w:lang w:val="es-ES"/>
              </w:rPr>
              <w:t>1.</w:t>
            </w:r>
            <w:r w:rsidRPr="006534CF">
              <w:rPr>
                <w:rFonts w:eastAsiaTheme="minorEastAsia"/>
                <w:i w:val="0"/>
                <w:iCs w:val="0"/>
                <w:noProof/>
                <w:sz w:val="24"/>
                <w:szCs w:val="24"/>
                <w:lang w:eastAsia="es-CO"/>
              </w:rPr>
              <w:tab/>
            </w:r>
            <w:r w:rsidRPr="006534CF">
              <w:rPr>
                <w:rStyle w:val="Hyperlink"/>
                <w:noProof/>
                <w:lang w:val="es-ES"/>
              </w:rPr>
              <w:t>Minería planificada, ordenamiento minero-ambiental alrededor del agua</w:t>
            </w:r>
            <w:r w:rsidRPr="006534CF">
              <w:rPr>
                <w:noProof/>
                <w:webHidden/>
              </w:rPr>
              <w:tab/>
            </w:r>
            <w:r w:rsidRPr="006534CF">
              <w:rPr>
                <w:noProof/>
                <w:webHidden/>
              </w:rPr>
              <w:fldChar w:fldCharType="begin"/>
            </w:r>
            <w:r w:rsidRPr="006534CF">
              <w:rPr>
                <w:noProof/>
                <w:webHidden/>
              </w:rPr>
              <w:instrText xml:space="preserve"> PAGEREF _Toc210292987 \h </w:instrText>
            </w:r>
            <w:r w:rsidRPr="006534CF">
              <w:rPr>
                <w:noProof/>
                <w:webHidden/>
              </w:rPr>
            </w:r>
            <w:r w:rsidRPr="006534CF">
              <w:rPr>
                <w:noProof/>
                <w:webHidden/>
              </w:rPr>
              <w:fldChar w:fldCharType="separate"/>
            </w:r>
            <w:r w:rsidRPr="006534CF">
              <w:rPr>
                <w:noProof/>
                <w:webHidden/>
              </w:rPr>
              <w:t>87</w:t>
            </w:r>
            <w:r w:rsidRPr="006534CF">
              <w:rPr>
                <w:noProof/>
                <w:webHidden/>
              </w:rPr>
              <w:fldChar w:fldCharType="end"/>
            </w:r>
          </w:hyperlink>
        </w:p>
        <w:p w:rsidRPr="006534CF" w:rsidR="006534CF" w:rsidP="006534CF" w:rsidRDefault="006534CF" w14:paraId="7EC0220B" w14:textId="313BFE42">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88">
            <w:r w:rsidRPr="006534CF">
              <w:rPr>
                <w:rStyle w:val="Hyperlink"/>
                <w:noProof/>
                <w:lang w:val="es-ES"/>
              </w:rPr>
              <w:t>2.</w:t>
            </w:r>
            <w:r w:rsidRPr="006534CF">
              <w:rPr>
                <w:rFonts w:eastAsiaTheme="minorEastAsia"/>
                <w:i w:val="0"/>
                <w:iCs w:val="0"/>
                <w:noProof/>
                <w:sz w:val="24"/>
                <w:szCs w:val="24"/>
                <w:lang w:eastAsia="es-CO"/>
              </w:rPr>
              <w:tab/>
            </w:r>
            <w:r w:rsidRPr="006534CF">
              <w:rPr>
                <w:rStyle w:val="Hyperlink"/>
                <w:noProof/>
                <w:lang w:val="es-ES"/>
              </w:rPr>
              <w:t>Institucionalidad articulada y coordinada para la toma de decisiones e implementación de políticas públicas.</w:t>
            </w:r>
            <w:r w:rsidRPr="006534CF">
              <w:rPr>
                <w:noProof/>
                <w:webHidden/>
              </w:rPr>
              <w:tab/>
            </w:r>
            <w:r w:rsidRPr="006534CF">
              <w:rPr>
                <w:noProof/>
                <w:webHidden/>
              </w:rPr>
              <w:fldChar w:fldCharType="begin"/>
            </w:r>
            <w:r w:rsidRPr="006534CF">
              <w:rPr>
                <w:noProof/>
                <w:webHidden/>
              </w:rPr>
              <w:instrText xml:space="preserve"> PAGEREF _Toc210292988 \h </w:instrText>
            </w:r>
            <w:r w:rsidRPr="006534CF">
              <w:rPr>
                <w:noProof/>
                <w:webHidden/>
              </w:rPr>
            </w:r>
            <w:r w:rsidRPr="006534CF">
              <w:rPr>
                <w:noProof/>
                <w:webHidden/>
              </w:rPr>
              <w:fldChar w:fldCharType="separate"/>
            </w:r>
            <w:r w:rsidRPr="006534CF">
              <w:rPr>
                <w:noProof/>
                <w:webHidden/>
              </w:rPr>
              <w:t>89</w:t>
            </w:r>
            <w:r w:rsidRPr="006534CF">
              <w:rPr>
                <w:noProof/>
                <w:webHidden/>
              </w:rPr>
              <w:fldChar w:fldCharType="end"/>
            </w:r>
          </w:hyperlink>
        </w:p>
        <w:p w:rsidRPr="006534CF" w:rsidR="006534CF" w:rsidP="006534CF" w:rsidRDefault="006534CF" w14:paraId="2BE6F15D" w14:textId="474298EB">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89">
            <w:r w:rsidRPr="006534CF">
              <w:rPr>
                <w:rStyle w:val="Hyperlink"/>
                <w:noProof/>
                <w:lang w:val="es-ES"/>
              </w:rPr>
              <w:t>3.</w:t>
            </w:r>
            <w:r w:rsidRPr="006534CF">
              <w:rPr>
                <w:rFonts w:eastAsiaTheme="minorEastAsia"/>
                <w:i w:val="0"/>
                <w:iCs w:val="0"/>
                <w:noProof/>
                <w:sz w:val="24"/>
                <w:szCs w:val="24"/>
                <w:lang w:eastAsia="es-CO"/>
              </w:rPr>
              <w:tab/>
            </w:r>
            <w:r w:rsidRPr="006534CF">
              <w:rPr>
                <w:rStyle w:val="Hyperlink"/>
                <w:noProof/>
                <w:lang w:val="es-ES"/>
              </w:rPr>
              <w:t>Administración del recurso minero. Uso y aprovechamiento de los recursos mineros con responsabilidad.</w:t>
            </w:r>
            <w:r w:rsidRPr="006534CF">
              <w:rPr>
                <w:noProof/>
                <w:webHidden/>
              </w:rPr>
              <w:tab/>
            </w:r>
            <w:r w:rsidRPr="006534CF">
              <w:rPr>
                <w:noProof/>
                <w:webHidden/>
              </w:rPr>
              <w:fldChar w:fldCharType="begin"/>
            </w:r>
            <w:r w:rsidRPr="006534CF">
              <w:rPr>
                <w:noProof/>
                <w:webHidden/>
              </w:rPr>
              <w:instrText xml:space="preserve"> PAGEREF _Toc210292989 \h </w:instrText>
            </w:r>
            <w:r w:rsidRPr="006534CF">
              <w:rPr>
                <w:noProof/>
                <w:webHidden/>
              </w:rPr>
            </w:r>
            <w:r w:rsidRPr="006534CF">
              <w:rPr>
                <w:noProof/>
                <w:webHidden/>
              </w:rPr>
              <w:fldChar w:fldCharType="separate"/>
            </w:r>
            <w:r w:rsidRPr="006534CF">
              <w:rPr>
                <w:noProof/>
                <w:webHidden/>
              </w:rPr>
              <w:t>90</w:t>
            </w:r>
            <w:r w:rsidRPr="006534CF">
              <w:rPr>
                <w:noProof/>
                <w:webHidden/>
              </w:rPr>
              <w:fldChar w:fldCharType="end"/>
            </w:r>
          </w:hyperlink>
        </w:p>
        <w:p w:rsidRPr="006534CF" w:rsidR="006534CF" w:rsidP="006534CF" w:rsidRDefault="006534CF" w14:paraId="55C64FE1" w14:textId="2139A952">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90">
            <w:r w:rsidRPr="006534CF">
              <w:rPr>
                <w:rStyle w:val="Hyperlink"/>
                <w:noProof/>
                <w:lang w:val="es-ES"/>
              </w:rPr>
              <w:t>4.</w:t>
            </w:r>
            <w:r w:rsidRPr="006534CF">
              <w:rPr>
                <w:rFonts w:eastAsiaTheme="minorEastAsia"/>
                <w:i w:val="0"/>
                <w:iCs w:val="0"/>
                <w:noProof/>
                <w:sz w:val="24"/>
                <w:szCs w:val="24"/>
                <w:lang w:eastAsia="es-CO"/>
              </w:rPr>
              <w:tab/>
            </w:r>
            <w:r w:rsidRPr="006534CF">
              <w:rPr>
                <w:rStyle w:val="Hyperlink"/>
                <w:noProof/>
                <w:lang w:val="es-ES"/>
              </w:rPr>
              <w:t>Participación social efectiva e inclusión de los territorios</w:t>
            </w:r>
            <w:r w:rsidRPr="006534CF">
              <w:rPr>
                <w:noProof/>
                <w:webHidden/>
              </w:rPr>
              <w:tab/>
            </w:r>
            <w:r w:rsidRPr="006534CF">
              <w:rPr>
                <w:noProof/>
                <w:webHidden/>
              </w:rPr>
              <w:fldChar w:fldCharType="begin"/>
            </w:r>
            <w:r w:rsidRPr="006534CF">
              <w:rPr>
                <w:noProof/>
                <w:webHidden/>
              </w:rPr>
              <w:instrText xml:space="preserve"> PAGEREF _Toc210292990 \h </w:instrText>
            </w:r>
            <w:r w:rsidRPr="006534CF">
              <w:rPr>
                <w:noProof/>
                <w:webHidden/>
              </w:rPr>
            </w:r>
            <w:r w:rsidRPr="006534CF">
              <w:rPr>
                <w:noProof/>
                <w:webHidden/>
              </w:rPr>
              <w:fldChar w:fldCharType="separate"/>
            </w:r>
            <w:r w:rsidRPr="006534CF">
              <w:rPr>
                <w:noProof/>
                <w:webHidden/>
              </w:rPr>
              <w:t>93</w:t>
            </w:r>
            <w:r w:rsidRPr="006534CF">
              <w:rPr>
                <w:noProof/>
                <w:webHidden/>
              </w:rPr>
              <w:fldChar w:fldCharType="end"/>
            </w:r>
          </w:hyperlink>
        </w:p>
        <w:p w:rsidRPr="006534CF" w:rsidR="006534CF" w:rsidP="006534CF" w:rsidRDefault="006534CF" w14:paraId="33F35570" w14:textId="6A4A5F46">
          <w:pPr>
            <w:pStyle w:val="TOC2"/>
            <w:tabs>
              <w:tab w:val="left" w:pos="660"/>
              <w:tab w:val="right" w:leader="dot" w:pos="8686"/>
            </w:tabs>
            <w:spacing w:before="0" w:line="276" w:lineRule="auto"/>
            <w:rPr>
              <w:rFonts w:eastAsiaTheme="minorEastAsia"/>
              <w:i w:val="0"/>
              <w:iCs w:val="0"/>
              <w:noProof/>
              <w:sz w:val="24"/>
              <w:szCs w:val="24"/>
              <w:lang w:eastAsia="es-CO"/>
            </w:rPr>
          </w:pPr>
          <w:hyperlink w:history="1" w:anchor="_Toc210292991">
            <w:r w:rsidRPr="006534CF">
              <w:rPr>
                <w:rStyle w:val="Hyperlink"/>
                <w:noProof/>
                <w:lang w:val="es-ES"/>
              </w:rPr>
              <w:t>5.</w:t>
            </w:r>
            <w:r w:rsidRPr="006534CF">
              <w:rPr>
                <w:rFonts w:eastAsiaTheme="minorEastAsia"/>
                <w:i w:val="0"/>
                <w:iCs w:val="0"/>
                <w:noProof/>
                <w:sz w:val="24"/>
                <w:szCs w:val="24"/>
                <w:lang w:eastAsia="es-CO"/>
              </w:rPr>
              <w:tab/>
            </w:r>
            <w:r w:rsidRPr="006534CF">
              <w:rPr>
                <w:rStyle w:val="Hyperlink"/>
                <w:noProof/>
                <w:lang w:val="es-ES"/>
              </w:rPr>
              <w:t>Minería en el territorio y para el territorio con estrategias para el fomento, la formalización, la reconversión y la diversificación productiva.</w:t>
            </w:r>
            <w:r w:rsidRPr="006534CF">
              <w:rPr>
                <w:noProof/>
                <w:webHidden/>
              </w:rPr>
              <w:tab/>
            </w:r>
            <w:r w:rsidRPr="006534CF">
              <w:rPr>
                <w:noProof/>
                <w:webHidden/>
              </w:rPr>
              <w:fldChar w:fldCharType="begin"/>
            </w:r>
            <w:r w:rsidRPr="006534CF">
              <w:rPr>
                <w:noProof/>
                <w:webHidden/>
              </w:rPr>
              <w:instrText xml:space="preserve"> PAGEREF _Toc210292991 \h </w:instrText>
            </w:r>
            <w:r w:rsidRPr="006534CF">
              <w:rPr>
                <w:noProof/>
                <w:webHidden/>
              </w:rPr>
            </w:r>
            <w:r w:rsidRPr="006534CF">
              <w:rPr>
                <w:noProof/>
                <w:webHidden/>
              </w:rPr>
              <w:fldChar w:fldCharType="separate"/>
            </w:r>
            <w:r w:rsidRPr="006534CF">
              <w:rPr>
                <w:noProof/>
                <w:webHidden/>
              </w:rPr>
              <w:t>99</w:t>
            </w:r>
            <w:r w:rsidRPr="006534CF">
              <w:rPr>
                <w:noProof/>
                <w:webHidden/>
              </w:rPr>
              <w:fldChar w:fldCharType="end"/>
            </w:r>
          </w:hyperlink>
        </w:p>
        <w:p w:rsidRPr="006534CF" w:rsidR="006534CF" w:rsidP="006534CF" w:rsidRDefault="006534CF" w14:paraId="19217658" w14:textId="2BB7C48D">
          <w:pPr>
            <w:pStyle w:val="TOC2"/>
            <w:tabs>
              <w:tab w:val="right" w:leader="dot" w:pos="8686"/>
            </w:tabs>
            <w:spacing w:before="0" w:line="276" w:lineRule="auto"/>
            <w:rPr>
              <w:rFonts w:eastAsiaTheme="minorEastAsia"/>
              <w:i w:val="0"/>
              <w:iCs w:val="0"/>
              <w:noProof/>
              <w:sz w:val="24"/>
              <w:szCs w:val="24"/>
              <w:lang w:eastAsia="es-CO"/>
            </w:rPr>
          </w:pPr>
          <w:hyperlink w:history="1" w:anchor="_Toc210292992">
            <w:r w:rsidRPr="006534CF">
              <w:rPr>
                <w:rStyle w:val="Hyperlink"/>
                <w:noProof/>
                <w:lang w:val="es-ES"/>
              </w:rPr>
              <w:t>6. Incremento del conocimiento geocientífico nacional para la planificación y la administración de los recursos del subsuelo.</w:t>
            </w:r>
            <w:r w:rsidRPr="006534CF">
              <w:rPr>
                <w:noProof/>
                <w:webHidden/>
              </w:rPr>
              <w:tab/>
            </w:r>
            <w:r w:rsidRPr="006534CF">
              <w:rPr>
                <w:noProof/>
                <w:webHidden/>
              </w:rPr>
              <w:fldChar w:fldCharType="begin"/>
            </w:r>
            <w:r w:rsidRPr="006534CF">
              <w:rPr>
                <w:noProof/>
                <w:webHidden/>
              </w:rPr>
              <w:instrText xml:space="preserve"> PAGEREF _Toc210292992 \h </w:instrText>
            </w:r>
            <w:r w:rsidRPr="006534CF">
              <w:rPr>
                <w:noProof/>
                <w:webHidden/>
              </w:rPr>
            </w:r>
            <w:r w:rsidRPr="006534CF">
              <w:rPr>
                <w:noProof/>
                <w:webHidden/>
              </w:rPr>
              <w:fldChar w:fldCharType="separate"/>
            </w:r>
            <w:r w:rsidRPr="006534CF">
              <w:rPr>
                <w:noProof/>
                <w:webHidden/>
              </w:rPr>
              <w:t>102</w:t>
            </w:r>
            <w:r w:rsidRPr="006534CF">
              <w:rPr>
                <w:noProof/>
                <w:webHidden/>
              </w:rPr>
              <w:fldChar w:fldCharType="end"/>
            </w:r>
          </w:hyperlink>
        </w:p>
        <w:p w:rsidRPr="006534CF" w:rsidR="006534CF" w:rsidP="006534CF" w:rsidRDefault="006534CF" w14:paraId="33C5BA7A" w14:textId="3C86ABE8">
          <w:pPr>
            <w:pStyle w:val="TOC2"/>
            <w:tabs>
              <w:tab w:val="right" w:leader="dot" w:pos="8686"/>
            </w:tabs>
            <w:spacing w:before="0" w:line="276" w:lineRule="auto"/>
            <w:rPr>
              <w:rFonts w:eastAsiaTheme="minorEastAsia"/>
              <w:i w:val="0"/>
              <w:iCs w:val="0"/>
              <w:noProof/>
              <w:sz w:val="24"/>
              <w:szCs w:val="24"/>
              <w:lang w:eastAsia="es-CO"/>
            </w:rPr>
          </w:pPr>
          <w:hyperlink w:history="1" w:anchor="_Toc210292993">
            <w:r w:rsidRPr="006534CF">
              <w:rPr>
                <w:rStyle w:val="Hyperlink"/>
                <w:noProof/>
                <w:lang w:val="es-ES"/>
              </w:rPr>
              <w:t>7. Reindustrialización de los productos mineros</w:t>
            </w:r>
            <w:r w:rsidRPr="006534CF">
              <w:rPr>
                <w:rStyle w:val="Hyperlink"/>
                <w:noProof/>
              </w:rPr>
              <w:t xml:space="preserve"> </w:t>
            </w:r>
            <w:r w:rsidRPr="006534CF">
              <w:rPr>
                <w:rStyle w:val="Hyperlink"/>
                <w:noProof/>
                <w:lang w:val="es-ES"/>
              </w:rPr>
              <w:t>transformación y generación de valor agregado en el sector minero</w:t>
            </w:r>
            <w:r w:rsidRPr="006534CF">
              <w:rPr>
                <w:noProof/>
                <w:webHidden/>
              </w:rPr>
              <w:tab/>
            </w:r>
            <w:r w:rsidRPr="006534CF">
              <w:rPr>
                <w:noProof/>
                <w:webHidden/>
              </w:rPr>
              <w:fldChar w:fldCharType="begin"/>
            </w:r>
            <w:r w:rsidRPr="006534CF">
              <w:rPr>
                <w:noProof/>
                <w:webHidden/>
              </w:rPr>
              <w:instrText xml:space="preserve"> PAGEREF _Toc210292993 \h </w:instrText>
            </w:r>
            <w:r w:rsidRPr="006534CF">
              <w:rPr>
                <w:noProof/>
                <w:webHidden/>
              </w:rPr>
            </w:r>
            <w:r w:rsidRPr="006534CF">
              <w:rPr>
                <w:noProof/>
                <w:webHidden/>
              </w:rPr>
              <w:fldChar w:fldCharType="separate"/>
            </w:r>
            <w:r w:rsidRPr="006534CF">
              <w:rPr>
                <w:noProof/>
                <w:webHidden/>
              </w:rPr>
              <w:t>103</w:t>
            </w:r>
            <w:r w:rsidRPr="006534CF">
              <w:rPr>
                <w:noProof/>
                <w:webHidden/>
              </w:rPr>
              <w:fldChar w:fldCharType="end"/>
            </w:r>
          </w:hyperlink>
        </w:p>
        <w:p w:rsidRPr="006534CF" w:rsidR="006534CF" w:rsidP="006534CF" w:rsidRDefault="006534CF" w14:paraId="438FB01D" w14:textId="14C734AF">
          <w:pPr>
            <w:pStyle w:val="TOC2"/>
            <w:tabs>
              <w:tab w:val="right" w:leader="dot" w:pos="8686"/>
            </w:tabs>
            <w:spacing w:before="0" w:line="276" w:lineRule="auto"/>
            <w:rPr>
              <w:rFonts w:eastAsiaTheme="minorEastAsia"/>
              <w:i w:val="0"/>
              <w:iCs w:val="0"/>
              <w:noProof/>
              <w:sz w:val="24"/>
              <w:szCs w:val="24"/>
              <w:lang w:eastAsia="es-CO"/>
            </w:rPr>
          </w:pPr>
          <w:hyperlink w:history="1" w:anchor="_Toc210292994">
            <w:r w:rsidRPr="006534CF">
              <w:rPr>
                <w:rStyle w:val="Hyperlink"/>
                <w:noProof/>
                <w:lang w:val="es-ES"/>
              </w:rPr>
              <w:t>8. Las buenas prácticas mineras, con énfasis en economía circular y uso eficiente del agua.</w:t>
            </w:r>
            <w:r w:rsidRPr="006534CF">
              <w:rPr>
                <w:noProof/>
                <w:webHidden/>
              </w:rPr>
              <w:tab/>
            </w:r>
            <w:r w:rsidRPr="006534CF">
              <w:rPr>
                <w:noProof/>
                <w:webHidden/>
              </w:rPr>
              <w:fldChar w:fldCharType="begin"/>
            </w:r>
            <w:r w:rsidRPr="006534CF">
              <w:rPr>
                <w:noProof/>
                <w:webHidden/>
              </w:rPr>
              <w:instrText xml:space="preserve"> PAGEREF _Toc210292994 \h </w:instrText>
            </w:r>
            <w:r w:rsidRPr="006534CF">
              <w:rPr>
                <w:noProof/>
                <w:webHidden/>
              </w:rPr>
            </w:r>
            <w:r w:rsidRPr="006534CF">
              <w:rPr>
                <w:noProof/>
                <w:webHidden/>
              </w:rPr>
              <w:fldChar w:fldCharType="separate"/>
            </w:r>
            <w:r w:rsidRPr="006534CF">
              <w:rPr>
                <w:noProof/>
                <w:webHidden/>
              </w:rPr>
              <w:t>110</w:t>
            </w:r>
            <w:r w:rsidRPr="006534CF">
              <w:rPr>
                <w:noProof/>
                <w:webHidden/>
              </w:rPr>
              <w:fldChar w:fldCharType="end"/>
            </w:r>
          </w:hyperlink>
        </w:p>
        <w:p w:rsidRPr="006534CF" w:rsidR="006534CF" w:rsidP="006534CF" w:rsidRDefault="006534CF" w14:paraId="7A64218C" w14:textId="70DE66D8">
          <w:pPr>
            <w:pStyle w:val="TOC2"/>
            <w:tabs>
              <w:tab w:val="right" w:leader="dot" w:pos="8686"/>
            </w:tabs>
            <w:spacing w:before="0" w:line="276" w:lineRule="auto"/>
            <w:rPr>
              <w:rFonts w:eastAsiaTheme="minorEastAsia"/>
              <w:i w:val="0"/>
              <w:iCs w:val="0"/>
              <w:noProof/>
              <w:sz w:val="24"/>
              <w:szCs w:val="24"/>
              <w:lang w:eastAsia="es-CO"/>
            </w:rPr>
          </w:pPr>
          <w:hyperlink w:history="1" w:anchor="_Toc210292995">
            <w:r w:rsidRPr="006534CF">
              <w:rPr>
                <w:rStyle w:val="Hyperlink"/>
                <w:noProof/>
                <w:lang w:val="es-ES"/>
              </w:rPr>
              <w:t>9. Cierre minero integral y responsable.</w:t>
            </w:r>
            <w:r w:rsidRPr="006534CF">
              <w:rPr>
                <w:noProof/>
                <w:webHidden/>
              </w:rPr>
              <w:tab/>
            </w:r>
            <w:r w:rsidRPr="006534CF">
              <w:rPr>
                <w:noProof/>
                <w:webHidden/>
              </w:rPr>
              <w:fldChar w:fldCharType="begin"/>
            </w:r>
            <w:r w:rsidRPr="006534CF">
              <w:rPr>
                <w:noProof/>
                <w:webHidden/>
              </w:rPr>
              <w:instrText xml:space="preserve"> PAGEREF _Toc210292995 \h </w:instrText>
            </w:r>
            <w:r w:rsidRPr="006534CF">
              <w:rPr>
                <w:noProof/>
                <w:webHidden/>
              </w:rPr>
            </w:r>
            <w:r w:rsidRPr="006534CF">
              <w:rPr>
                <w:noProof/>
                <w:webHidden/>
              </w:rPr>
              <w:fldChar w:fldCharType="separate"/>
            </w:r>
            <w:r w:rsidRPr="006534CF">
              <w:rPr>
                <w:noProof/>
                <w:webHidden/>
              </w:rPr>
              <w:t>112</w:t>
            </w:r>
            <w:r w:rsidRPr="006534CF">
              <w:rPr>
                <w:noProof/>
                <w:webHidden/>
              </w:rPr>
              <w:fldChar w:fldCharType="end"/>
            </w:r>
          </w:hyperlink>
        </w:p>
        <w:p w:rsidRPr="006534CF" w:rsidR="006534CF" w:rsidP="006534CF" w:rsidRDefault="006534CF" w14:paraId="6E67EFF8" w14:textId="1E798BB7">
          <w:pPr>
            <w:pStyle w:val="TOC2"/>
            <w:tabs>
              <w:tab w:val="right" w:leader="dot" w:pos="8686"/>
            </w:tabs>
            <w:spacing w:before="0" w:line="276" w:lineRule="auto"/>
            <w:rPr>
              <w:rFonts w:eastAsiaTheme="minorEastAsia"/>
              <w:i w:val="0"/>
              <w:iCs w:val="0"/>
              <w:noProof/>
              <w:sz w:val="24"/>
              <w:szCs w:val="24"/>
              <w:lang w:eastAsia="es-CO"/>
            </w:rPr>
          </w:pPr>
          <w:hyperlink w:history="1" w:anchor="_Toc210292996">
            <w:r w:rsidRPr="006534CF">
              <w:rPr>
                <w:rStyle w:val="Hyperlink"/>
                <w:noProof/>
                <w:lang w:val="es-ES"/>
              </w:rPr>
              <w:t>10. Prevención y apoyo a las acciones contra la explotación no autorizada y la explotación ilícita de minerales.</w:t>
            </w:r>
            <w:r w:rsidRPr="006534CF">
              <w:rPr>
                <w:noProof/>
                <w:webHidden/>
              </w:rPr>
              <w:tab/>
            </w:r>
            <w:r w:rsidRPr="006534CF">
              <w:rPr>
                <w:noProof/>
                <w:webHidden/>
              </w:rPr>
              <w:fldChar w:fldCharType="begin"/>
            </w:r>
            <w:r w:rsidRPr="006534CF">
              <w:rPr>
                <w:noProof/>
                <w:webHidden/>
              </w:rPr>
              <w:instrText xml:space="preserve"> PAGEREF _Toc210292996 \h </w:instrText>
            </w:r>
            <w:r w:rsidRPr="006534CF">
              <w:rPr>
                <w:noProof/>
                <w:webHidden/>
              </w:rPr>
            </w:r>
            <w:r w:rsidRPr="006534CF">
              <w:rPr>
                <w:noProof/>
                <w:webHidden/>
              </w:rPr>
              <w:fldChar w:fldCharType="separate"/>
            </w:r>
            <w:r w:rsidRPr="006534CF">
              <w:rPr>
                <w:noProof/>
                <w:webHidden/>
              </w:rPr>
              <w:t>114</w:t>
            </w:r>
            <w:r w:rsidRPr="006534CF">
              <w:rPr>
                <w:noProof/>
                <w:webHidden/>
              </w:rPr>
              <w:fldChar w:fldCharType="end"/>
            </w:r>
          </w:hyperlink>
        </w:p>
        <w:p w:rsidRPr="006534CF" w:rsidR="006534CF" w:rsidP="006534CF" w:rsidRDefault="006534CF" w14:paraId="246DDD87" w14:textId="4FFDDA0A">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97">
            <w:r w:rsidRPr="006534CF">
              <w:rPr>
                <w:rStyle w:val="Hyperlink"/>
                <w:noProof/>
              </w:rPr>
              <w:t>Seguimiento y Monitoreo de la Política</w:t>
            </w:r>
            <w:r w:rsidRPr="006534CF">
              <w:rPr>
                <w:noProof/>
                <w:webHidden/>
              </w:rPr>
              <w:tab/>
            </w:r>
            <w:r w:rsidRPr="006534CF">
              <w:rPr>
                <w:noProof/>
                <w:webHidden/>
              </w:rPr>
              <w:fldChar w:fldCharType="begin"/>
            </w:r>
            <w:r w:rsidRPr="006534CF">
              <w:rPr>
                <w:noProof/>
                <w:webHidden/>
              </w:rPr>
              <w:instrText xml:space="preserve"> PAGEREF _Toc210292997 \h </w:instrText>
            </w:r>
            <w:r w:rsidRPr="006534CF">
              <w:rPr>
                <w:noProof/>
                <w:webHidden/>
              </w:rPr>
            </w:r>
            <w:r w:rsidRPr="006534CF">
              <w:rPr>
                <w:noProof/>
                <w:webHidden/>
              </w:rPr>
              <w:fldChar w:fldCharType="separate"/>
            </w:r>
            <w:r w:rsidRPr="006534CF">
              <w:rPr>
                <w:noProof/>
                <w:webHidden/>
              </w:rPr>
              <w:t>115</w:t>
            </w:r>
            <w:r w:rsidRPr="006534CF">
              <w:rPr>
                <w:noProof/>
                <w:webHidden/>
              </w:rPr>
              <w:fldChar w:fldCharType="end"/>
            </w:r>
          </w:hyperlink>
        </w:p>
        <w:p w:rsidRPr="006534CF" w:rsidR="006534CF" w:rsidP="006534CF" w:rsidRDefault="006534CF" w14:paraId="25D85531" w14:textId="705740E9">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98">
            <w:r w:rsidRPr="006534CF">
              <w:rPr>
                <w:rStyle w:val="Hyperlink"/>
                <w:noProof/>
                <w:lang w:val="es-ES"/>
              </w:rPr>
              <w:t>Financiación</w:t>
            </w:r>
            <w:r w:rsidRPr="006534CF">
              <w:rPr>
                <w:noProof/>
                <w:webHidden/>
              </w:rPr>
              <w:tab/>
            </w:r>
            <w:r w:rsidRPr="006534CF">
              <w:rPr>
                <w:noProof/>
                <w:webHidden/>
              </w:rPr>
              <w:fldChar w:fldCharType="begin"/>
            </w:r>
            <w:r w:rsidRPr="006534CF">
              <w:rPr>
                <w:noProof/>
                <w:webHidden/>
              </w:rPr>
              <w:instrText xml:space="preserve"> PAGEREF _Toc210292998 \h </w:instrText>
            </w:r>
            <w:r w:rsidRPr="006534CF">
              <w:rPr>
                <w:noProof/>
                <w:webHidden/>
              </w:rPr>
            </w:r>
            <w:r w:rsidRPr="006534CF">
              <w:rPr>
                <w:noProof/>
                <w:webHidden/>
              </w:rPr>
              <w:fldChar w:fldCharType="separate"/>
            </w:r>
            <w:r w:rsidRPr="006534CF">
              <w:rPr>
                <w:noProof/>
                <w:webHidden/>
              </w:rPr>
              <w:t>117</w:t>
            </w:r>
            <w:r w:rsidRPr="006534CF">
              <w:rPr>
                <w:noProof/>
                <w:webHidden/>
              </w:rPr>
              <w:fldChar w:fldCharType="end"/>
            </w:r>
          </w:hyperlink>
        </w:p>
        <w:p w:rsidRPr="006534CF" w:rsidR="006534CF" w:rsidP="006534CF" w:rsidRDefault="006534CF" w14:paraId="774907C6" w14:textId="72E268E4">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2999">
            <w:r w:rsidRPr="006534CF">
              <w:rPr>
                <w:rStyle w:val="Hyperlink"/>
                <w:noProof/>
                <w:lang w:val="es-ES"/>
              </w:rPr>
              <w:t>Bibliografía</w:t>
            </w:r>
            <w:r w:rsidRPr="006534CF">
              <w:rPr>
                <w:noProof/>
                <w:webHidden/>
              </w:rPr>
              <w:tab/>
            </w:r>
            <w:r w:rsidRPr="006534CF">
              <w:rPr>
                <w:noProof/>
                <w:webHidden/>
              </w:rPr>
              <w:fldChar w:fldCharType="begin"/>
            </w:r>
            <w:r w:rsidRPr="006534CF">
              <w:rPr>
                <w:noProof/>
                <w:webHidden/>
              </w:rPr>
              <w:instrText xml:space="preserve"> PAGEREF _Toc210292999 \h </w:instrText>
            </w:r>
            <w:r w:rsidRPr="006534CF">
              <w:rPr>
                <w:noProof/>
                <w:webHidden/>
              </w:rPr>
            </w:r>
            <w:r w:rsidRPr="006534CF">
              <w:rPr>
                <w:noProof/>
                <w:webHidden/>
              </w:rPr>
              <w:fldChar w:fldCharType="separate"/>
            </w:r>
            <w:r w:rsidRPr="006534CF">
              <w:rPr>
                <w:noProof/>
                <w:webHidden/>
              </w:rPr>
              <w:t>119</w:t>
            </w:r>
            <w:r w:rsidRPr="006534CF">
              <w:rPr>
                <w:noProof/>
                <w:webHidden/>
              </w:rPr>
              <w:fldChar w:fldCharType="end"/>
            </w:r>
          </w:hyperlink>
        </w:p>
        <w:p w:rsidRPr="006534CF" w:rsidR="006534CF" w:rsidP="006534CF" w:rsidRDefault="006534CF" w14:paraId="47BC2201" w14:textId="6AC89223">
          <w:pPr>
            <w:pStyle w:val="TOC1"/>
            <w:tabs>
              <w:tab w:val="right" w:leader="dot" w:pos="8686"/>
            </w:tabs>
            <w:spacing w:before="0" w:after="0" w:line="276" w:lineRule="auto"/>
            <w:rPr>
              <w:rFonts w:eastAsiaTheme="minorEastAsia"/>
              <w:b w:val="0"/>
              <w:bCs w:val="0"/>
              <w:noProof/>
              <w:sz w:val="24"/>
              <w:szCs w:val="24"/>
              <w:lang w:eastAsia="es-CO"/>
            </w:rPr>
          </w:pPr>
          <w:hyperlink w:history="1" w:anchor="_Toc210293000">
            <w:r w:rsidRPr="006534CF">
              <w:rPr>
                <w:rStyle w:val="Hyperlink"/>
                <w:noProof/>
              </w:rPr>
              <w:t>Lista de Anexos</w:t>
            </w:r>
            <w:r w:rsidRPr="006534CF">
              <w:rPr>
                <w:noProof/>
                <w:webHidden/>
              </w:rPr>
              <w:tab/>
            </w:r>
            <w:r w:rsidRPr="006534CF">
              <w:rPr>
                <w:noProof/>
                <w:webHidden/>
              </w:rPr>
              <w:fldChar w:fldCharType="begin"/>
            </w:r>
            <w:r w:rsidRPr="006534CF">
              <w:rPr>
                <w:noProof/>
                <w:webHidden/>
              </w:rPr>
              <w:instrText xml:space="preserve"> PAGEREF _Toc210293000 \h </w:instrText>
            </w:r>
            <w:r w:rsidRPr="006534CF">
              <w:rPr>
                <w:noProof/>
                <w:webHidden/>
              </w:rPr>
            </w:r>
            <w:r w:rsidRPr="006534CF">
              <w:rPr>
                <w:noProof/>
                <w:webHidden/>
              </w:rPr>
              <w:fldChar w:fldCharType="separate"/>
            </w:r>
            <w:r w:rsidRPr="006534CF">
              <w:rPr>
                <w:noProof/>
                <w:webHidden/>
              </w:rPr>
              <w:t>122</w:t>
            </w:r>
            <w:r w:rsidRPr="006534CF">
              <w:rPr>
                <w:noProof/>
                <w:webHidden/>
              </w:rPr>
              <w:fldChar w:fldCharType="end"/>
            </w:r>
          </w:hyperlink>
        </w:p>
        <w:p w:rsidRPr="006534CF" w:rsidR="006534CF" w:rsidP="006534CF" w:rsidRDefault="0076250F" w14:paraId="1F9A7269" w14:textId="57870D77">
          <w:pPr>
            <w:spacing w:after="0" w:line="276" w:lineRule="auto"/>
            <w:rPr>
              <w:rFonts w:eastAsiaTheme="minorEastAsia"/>
            </w:rPr>
          </w:pPr>
          <w:r w:rsidRPr="006534CF">
            <w:rPr>
              <w:rStyle w:val="Hyperlink"/>
              <w:rFonts w:eastAsiaTheme="minorEastAsia"/>
              <w:color w:val="auto"/>
              <w:u w:val="none"/>
            </w:rPr>
            <w:fldChar w:fldCharType="end"/>
          </w:r>
        </w:p>
      </w:sdtContent>
    </w:sdt>
    <w:bookmarkStart w:name="_Toc210292948" w:displacedByCustomXml="prev" w:id="1"/>
    <w:p w:rsidR="006534CF" w:rsidP="006534CF" w:rsidRDefault="006534CF" w14:paraId="15B8E863" w14:textId="77777777"/>
    <w:p w:rsidR="006534CF" w:rsidP="006534CF" w:rsidRDefault="006534CF" w14:paraId="364F092E" w14:textId="77777777"/>
    <w:p w:rsidR="006534CF" w:rsidP="006534CF" w:rsidRDefault="006534CF" w14:paraId="137D122D" w14:textId="77777777"/>
    <w:p w:rsidR="006534CF" w:rsidP="006534CF" w:rsidRDefault="006534CF" w14:paraId="64B66860" w14:textId="77777777"/>
    <w:p w:rsidR="006534CF" w:rsidP="006534CF" w:rsidRDefault="006534CF" w14:paraId="57E01087" w14:textId="77777777"/>
    <w:p w:rsidR="006534CF" w:rsidP="006534CF" w:rsidRDefault="006534CF" w14:paraId="3A3DBFE5" w14:textId="77777777"/>
    <w:p w:rsidR="006534CF" w:rsidP="006534CF" w:rsidRDefault="006534CF" w14:paraId="4BB7AA19" w14:textId="77777777"/>
    <w:p w:rsidR="006534CF" w:rsidP="006534CF" w:rsidRDefault="006534CF" w14:paraId="47D1692A" w14:textId="77777777"/>
    <w:p w:rsidR="006534CF" w:rsidP="006534CF" w:rsidRDefault="006534CF" w14:paraId="1FF1960C" w14:textId="77777777"/>
    <w:p w:rsidR="006534CF" w:rsidP="006534CF" w:rsidRDefault="006534CF" w14:paraId="7186C31A" w14:textId="77777777"/>
    <w:p w:rsidR="006534CF" w:rsidP="006534CF" w:rsidRDefault="006534CF" w14:paraId="0BC2EF75" w14:textId="77777777"/>
    <w:p w:rsidRPr="006534CF" w:rsidR="006534CF" w:rsidP="006534CF" w:rsidRDefault="006534CF" w14:paraId="6A9E5746" w14:textId="77777777"/>
    <w:p w:rsidR="12E97506" w:rsidP="287A971D" w:rsidRDefault="12E97506" w14:paraId="6FA1B7CC" w14:textId="53EBFECA">
      <w:pPr>
        <w:pStyle w:val="Heading1"/>
      </w:pPr>
      <w:r>
        <w:t>Lista de ilustraciones</w:t>
      </w:r>
      <w:bookmarkEnd w:id="1"/>
    </w:p>
    <w:p w:rsidR="287A971D" w:rsidP="287A971D" w:rsidRDefault="287A971D" w14:paraId="4DA1DEEB" w14:textId="3498A038"/>
    <w:p w:rsidRPr="0076250F" w:rsidR="0076250F" w:rsidRDefault="000D1124" w14:paraId="6EABD9BC" w14:textId="314A4C65">
      <w:pPr>
        <w:pStyle w:val="TableofFigures"/>
        <w:tabs>
          <w:tab w:val="right" w:leader="dot" w:pos="8686"/>
        </w:tabs>
        <w:rPr>
          <w:rFonts w:asciiTheme="minorHAnsi" w:hAnsiTheme="minorHAnsi" w:eastAsiaTheme="minorEastAsia"/>
          <w:noProof/>
          <w:kern w:val="2"/>
          <w:sz w:val="22"/>
          <w:lang w:eastAsia="es-CO"/>
          <w14:ligatures w14:val="standardContextual"/>
        </w:rPr>
      </w:pPr>
      <w:r w:rsidRPr="0076250F">
        <w:rPr>
          <w:rFonts w:asciiTheme="minorHAnsi" w:hAnsiTheme="minorHAnsi"/>
          <w:color w:val="2B579A"/>
          <w:sz w:val="22"/>
          <w:lang w:val="es-ES"/>
        </w:rPr>
        <w:fldChar w:fldCharType="begin"/>
      </w:r>
      <w:r w:rsidRPr="0076250F" w:rsidR="00C97329">
        <w:rPr>
          <w:rFonts w:asciiTheme="minorHAnsi" w:hAnsiTheme="minorHAnsi"/>
          <w:color w:val="2B579A"/>
          <w:sz w:val="22"/>
          <w:lang w:val="es-ES"/>
        </w:rPr>
        <w:instrText xml:space="preserve"> TOC \h \z \c "Ilustración" </w:instrText>
      </w:r>
      <w:r w:rsidRPr="0076250F">
        <w:rPr>
          <w:rFonts w:asciiTheme="minorHAnsi" w:hAnsiTheme="minorHAnsi"/>
          <w:color w:val="2B579A"/>
          <w:sz w:val="22"/>
          <w:lang w:val="es-ES"/>
        </w:rPr>
        <w:fldChar w:fldCharType="separate"/>
      </w:r>
      <w:hyperlink w:history="1" w:anchor="_Toc210292701">
        <w:r w:rsidRPr="0076250F" w:rsidR="0076250F">
          <w:rPr>
            <w:rStyle w:val="Hyperlink"/>
            <w:rFonts w:asciiTheme="minorHAnsi" w:hAnsiTheme="minorHAnsi"/>
            <w:noProof/>
            <w:sz w:val="22"/>
          </w:rPr>
          <w:t>Ilustración 1. Problemáticas asociadas a las actividades mineras.</w:t>
        </w:r>
        <w:r w:rsidRPr="0076250F" w:rsidR="0076250F">
          <w:rPr>
            <w:rFonts w:asciiTheme="minorHAnsi" w:hAnsiTheme="minorHAnsi"/>
            <w:noProof/>
            <w:webHidden/>
            <w:sz w:val="22"/>
          </w:rPr>
          <w:tab/>
        </w:r>
        <w:r w:rsidRPr="0076250F" w:rsidR="0076250F">
          <w:rPr>
            <w:rFonts w:asciiTheme="minorHAnsi" w:hAnsiTheme="minorHAnsi"/>
            <w:noProof/>
            <w:webHidden/>
            <w:sz w:val="22"/>
          </w:rPr>
          <w:fldChar w:fldCharType="begin"/>
        </w:r>
        <w:r w:rsidRPr="0076250F" w:rsidR="0076250F">
          <w:rPr>
            <w:rFonts w:asciiTheme="minorHAnsi" w:hAnsiTheme="minorHAnsi"/>
            <w:noProof/>
            <w:webHidden/>
            <w:sz w:val="22"/>
          </w:rPr>
          <w:instrText xml:space="preserve"> PAGEREF _Toc210292701 \h </w:instrText>
        </w:r>
        <w:r w:rsidRPr="0076250F" w:rsidR="0076250F">
          <w:rPr>
            <w:rFonts w:asciiTheme="minorHAnsi" w:hAnsiTheme="minorHAnsi"/>
            <w:noProof/>
            <w:webHidden/>
            <w:sz w:val="22"/>
          </w:rPr>
        </w:r>
        <w:r w:rsidRPr="0076250F" w:rsidR="0076250F">
          <w:rPr>
            <w:rFonts w:asciiTheme="minorHAnsi" w:hAnsiTheme="minorHAnsi"/>
            <w:noProof/>
            <w:webHidden/>
            <w:sz w:val="22"/>
          </w:rPr>
          <w:fldChar w:fldCharType="separate"/>
        </w:r>
        <w:r w:rsidRPr="0076250F" w:rsidR="0076250F">
          <w:rPr>
            <w:rFonts w:asciiTheme="minorHAnsi" w:hAnsiTheme="minorHAnsi"/>
            <w:noProof/>
            <w:webHidden/>
            <w:sz w:val="22"/>
          </w:rPr>
          <w:t>29</w:t>
        </w:r>
        <w:r w:rsidRPr="0076250F" w:rsidR="0076250F">
          <w:rPr>
            <w:rFonts w:asciiTheme="minorHAnsi" w:hAnsiTheme="minorHAnsi"/>
            <w:noProof/>
            <w:webHidden/>
            <w:sz w:val="22"/>
          </w:rPr>
          <w:fldChar w:fldCharType="end"/>
        </w:r>
      </w:hyperlink>
    </w:p>
    <w:p w:rsidRPr="0076250F" w:rsidR="0076250F" w:rsidRDefault="0076250F" w14:paraId="51CCFE34" w14:textId="5C17373C">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02">
        <w:r w:rsidRPr="0076250F">
          <w:rPr>
            <w:rStyle w:val="Hyperlink"/>
            <w:rFonts w:asciiTheme="minorHAnsi" w:hAnsiTheme="minorHAnsi"/>
            <w:noProof/>
            <w:sz w:val="22"/>
          </w:rPr>
          <w:t>Ilustración 2. Títulos Mineros Vigentes y áreas de especial importancia ambiental.</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_Toc210292702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30</w:t>
        </w:r>
        <w:r w:rsidRPr="0076250F">
          <w:rPr>
            <w:rFonts w:asciiTheme="minorHAnsi" w:hAnsiTheme="minorHAnsi"/>
            <w:noProof/>
            <w:webHidden/>
            <w:sz w:val="22"/>
          </w:rPr>
          <w:fldChar w:fldCharType="end"/>
        </w:r>
      </w:hyperlink>
    </w:p>
    <w:p w:rsidRPr="0076250F" w:rsidR="0076250F" w:rsidRDefault="0076250F" w14:paraId="4040E2F0" w14:textId="2B520333">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03">
        <w:r w:rsidRPr="0076250F">
          <w:rPr>
            <w:rStyle w:val="Hyperlink"/>
            <w:rFonts w:asciiTheme="minorHAnsi" w:hAnsiTheme="minorHAnsi"/>
            <w:noProof/>
            <w:sz w:val="22"/>
          </w:rPr>
          <w:t>Ilustración 3. La institucionalidad en la actividad minera</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_Toc210292703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34</w:t>
        </w:r>
        <w:r w:rsidRPr="0076250F">
          <w:rPr>
            <w:rFonts w:asciiTheme="minorHAnsi" w:hAnsiTheme="minorHAnsi"/>
            <w:noProof/>
            <w:webHidden/>
            <w:sz w:val="22"/>
          </w:rPr>
          <w:fldChar w:fldCharType="end"/>
        </w:r>
      </w:hyperlink>
    </w:p>
    <w:p w:rsidRPr="0076250F" w:rsidR="0076250F" w:rsidRDefault="0076250F" w14:paraId="144EE70F" w14:textId="449D90B5">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04">
        <w:r w:rsidRPr="0076250F">
          <w:rPr>
            <w:rStyle w:val="Hyperlink"/>
            <w:rFonts w:asciiTheme="minorHAnsi" w:hAnsiTheme="minorHAnsi"/>
            <w:noProof/>
            <w:sz w:val="22"/>
          </w:rPr>
          <w:t>Ilustración 4. Principales características de la titularidad minera</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_Toc210292704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40</w:t>
        </w:r>
        <w:r w:rsidRPr="0076250F">
          <w:rPr>
            <w:rFonts w:asciiTheme="minorHAnsi" w:hAnsiTheme="minorHAnsi"/>
            <w:noProof/>
            <w:webHidden/>
            <w:sz w:val="22"/>
          </w:rPr>
          <w:fldChar w:fldCharType="end"/>
        </w:r>
      </w:hyperlink>
    </w:p>
    <w:p w:rsidRPr="0076250F" w:rsidR="0076250F" w:rsidRDefault="0076250F" w14:paraId="3202E412" w14:textId="0CB3263A">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05">
        <w:r w:rsidRPr="0076250F">
          <w:rPr>
            <w:rStyle w:val="Hyperlink"/>
            <w:rFonts w:asciiTheme="minorHAnsi" w:hAnsiTheme="minorHAnsi"/>
            <w:noProof/>
            <w:sz w:val="22"/>
          </w:rPr>
          <w:t>Ilustración 5. Situación de comunidades indígenas y negras respecto a la minería</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_Toc210292705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48</w:t>
        </w:r>
        <w:r w:rsidRPr="0076250F">
          <w:rPr>
            <w:rFonts w:asciiTheme="minorHAnsi" w:hAnsiTheme="minorHAnsi"/>
            <w:noProof/>
            <w:webHidden/>
            <w:sz w:val="22"/>
          </w:rPr>
          <w:fldChar w:fldCharType="end"/>
        </w:r>
      </w:hyperlink>
    </w:p>
    <w:p w:rsidRPr="0076250F" w:rsidR="0076250F" w:rsidRDefault="0076250F" w14:paraId="33F4542A" w14:textId="365EA08C">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06">
        <w:r w:rsidRPr="0076250F">
          <w:rPr>
            <w:rStyle w:val="Hyperlink"/>
            <w:rFonts w:asciiTheme="minorHAnsi" w:hAnsiTheme="minorHAnsi"/>
            <w:noProof/>
            <w:sz w:val="22"/>
          </w:rPr>
          <w:t>Ilustración 6. Traslape entre títulos mineros y territorios colectivos indígenas</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_Toc210292706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50</w:t>
        </w:r>
        <w:r w:rsidRPr="0076250F">
          <w:rPr>
            <w:rFonts w:asciiTheme="minorHAnsi" w:hAnsiTheme="minorHAnsi"/>
            <w:noProof/>
            <w:webHidden/>
            <w:sz w:val="22"/>
          </w:rPr>
          <w:fldChar w:fldCharType="end"/>
        </w:r>
      </w:hyperlink>
    </w:p>
    <w:p w:rsidRPr="0076250F" w:rsidR="0076250F" w:rsidRDefault="0076250F" w14:paraId="3F4DAFFE" w14:textId="66C2DACE">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07">
        <w:r w:rsidRPr="0076250F">
          <w:rPr>
            <w:rStyle w:val="Hyperlink"/>
            <w:rFonts w:asciiTheme="minorHAnsi" w:hAnsiTheme="minorHAnsi"/>
            <w:noProof/>
            <w:sz w:val="22"/>
          </w:rPr>
          <w:t>Ilustración 7. Traslape entre títulos mineros y territorios colectivos comunidades negras</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_Toc210292707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50</w:t>
        </w:r>
        <w:r w:rsidRPr="0076250F">
          <w:rPr>
            <w:rFonts w:asciiTheme="minorHAnsi" w:hAnsiTheme="minorHAnsi"/>
            <w:noProof/>
            <w:webHidden/>
            <w:sz w:val="22"/>
          </w:rPr>
          <w:fldChar w:fldCharType="end"/>
        </w:r>
      </w:hyperlink>
    </w:p>
    <w:p w:rsidRPr="0076250F" w:rsidR="0076250F" w:rsidRDefault="0076250F" w14:paraId="226569DC" w14:textId="276FFEB6">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08">
        <w:r w:rsidRPr="0076250F">
          <w:rPr>
            <w:rStyle w:val="Hyperlink"/>
            <w:rFonts w:asciiTheme="minorHAnsi" w:hAnsiTheme="minorHAnsi"/>
            <w:noProof/>
            <w:sz w:val="22"/>
          </w:rPr>
          <w:t>Ilustración 8. Mapa metalogénico de Colombia - versión año 2020</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_Toc210292708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58</w:t>
        </w:r>
        <w:r w:rsidRPr="0076250F">
          <w:rPr>
            <w:rFonts w:asciiTheme="minorHAnsi" w:hAnsiTheme="minorHAnsi"/>
            <w:noProof/>
            <w:webHidden/>
            <w:sz w:val="22"/>
          </w:rPr>
          <w:fldChar w:fldCharType="end"/>
        </w:r>
      </w:hyperlink>
    </w:p>
    <w:p w:rsidRPr="0076250F" w:rsidR="0076250F" w:rsidRDefault="0076250F" w14:paraId="279AD472" w14:textId="11DC5BD2">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09">
        <w:r w:rsidRPr="0076250F">
          <w:rPr>
            <w:rStyle w:val="Hyperlink"/>
            <w:rFonts w:asciiTheme="minorHAnsi" w:hAnsiTheme="minorHAnsi"/>
            <w:noProof/>
            <w:sz w:val="22"/>
          </w:rPr>
          <w:t>Ilustración 9. Ubicación de títulos mineros en el país.</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_Toc210292709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59</w:t>
        </w:r>
        <w:r w:rsidRPr="0076250F">
          <w:rPr>
            <w:rFonts w:asciiTheme="minorHAnsi" w:hAnsiTheme="minorHAnsi"/>
            <w:noProof/>
            <w:webHidden/>
            <w:sz w:val="22"/>
          </w:rPr>
          <w:fldChar w:fldCharType="end"/>
        </w:r>
      </w:hyperlink>
    </w:p>
    <w:p w:rsidRPr="0076250F" w:rsidR="0076250F" w:rsidRDefault="0076250F" w14:paraId="79D4E3BD" w14:textId="24C9EBDB">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10">
        <w:r w:rsidRPr="0076250F">
          <w:rPr>
            <w:rStyle w:val="Hyperlink"/>
            <w:rFonts w:asciiTheme="minorHAnsi" w:hAnsiTheme="minorHAnsi"/>
            <w:noProof/>
            <w:sz w:val="22"/>
          </w:rPr>
          <w:t>Ilustración 10. Minerales más representativos por volúmenes de producción.</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_Toc210292710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61</w:t>
        </w:r>
        <w:r w:rsidRPr="0076250F">
          <w:rPr>
            <w:rFonts w:asciiTheme="minorHAnsi" w:hAnsiTheme="minorHAnsi"/>
            <w:noProof/>
            <w:webHidden/>
            <w:sz w:val="22"/>
          </w:rPr>
          <w:fldChar w:fldCharType="end"/>
        </w:r>
      </w:hyperlink>
    </w:p>
    <w:p w:rsidRPr="0076250F" w:rsidR="0076250F" w:rsidRDefault="0076250F" w14:paraId="7731D10D" w14:textId="0B5A4586">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11">
        <w:r w:rsidRPr="0076250F">
          <w:rPr>
            <w:rStyle w:val="Hyperlink"/>
            <w:rFonts w:asciiTheme="minorHAnsi" w:hAnsiTheme="minorHAnsi"/>
            <w:noProof/>
            <w:sz w:val="22"/>
          </w:rPr>
          <w:t>Ilustración 11. Producto Interno Bruto (PIB) – Sector Minero.</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_Toc210292711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62</w:t>
        </w:r>
        <w:r w:rsidRPr="0076250F">
          <w:rPr>
            <w:rFonts w:asciiTheme="minorHAnsi" w:hAnsiTheme="minorHAnsi"/>
            <w:noProof/>
            <w:webHidden/>
            <w:sz w:val="22"/>
          </w:rPr>
          <w:fldChar w:fldCharType="end"/>
        </w:r>
      </w:hyperlink>
    </w:p>
    <w:p w:rsidRPr="0076250F" w:rsidR="0076250F" w:rsidRDefault="0076250F" w14:paraId="4D2DE89E" w14:textId="5F31918B">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12">
        <w:r w:rsidRPr="0076250F">
          <w:rPr>
            <w:rStyle w:val="Hyperlink"/>
            <w:rFonts w:asciiTheme="minorHAnsi" w:hAnsiTheme="minorHAnsi"/>
            <w:noProof/>
            <w:sz w:val="22"/>
          </w:rPr>
          <w:t>Ilustración 12. Exportaciones minerales 2010-2022 y enero-octubre 2023 Vs 2024.</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_Toc210292712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63</w:t>
        </w:r>
        <w:r w:rsidRPr="0076250F">
          <w:rPr>
            <w:rFonts w:asciiTheme="minorHAnsi" w:hAnsiTheme="minorHAnsi"/>
            <w:noProof/>
            <w:webHidden/>
            <w:sz w:val="22"/>
          </w:rPr>
          <w:fldChar w:fldCharType="end"/>
        </w:r>
      </w:hyperlink>
    </w:p>
    <w:p w:rsidRPr="0076250F" w:rsidR="0076250F" w:rsidRDefault="0076250F" w14:paraId="7541C9D7" w14:textId="7EED5833">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13">
        <w:r w:rsidRPr="0076250F">
          <w:rPr>
            <w:rStyle w:val="Hyperlink"/>
            <w:rFonts w:asciiTheme="minorHAnsi" w:hAnsiTheme="minorHAnsi"/>
            <w:noProof/>
            <w:sz w:val="22"/>
          </w:rPr>
          <w:t>Ilustración 13. Valor FOB de exportaciones.</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_Toc210292713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64</w:t>
        </w:r>
        <w:r w:rsidRPr="0076250F">
          <w:rPr>
            <w:rFonts w:asciiTheme="minorHAnsi" w:hAnsiTheme="minorHAnsi"/>
            <w:noProof/>
            <w:webHidden/>
            <w:sz w:val="22"/>
          </w:rPr>
          <w:fldChar w:fldCharType="end"/>
        </w:r>
      </w:hyperlink>
    </w:p>
    <w:p w:rsidRPr="0076250F" w:rsidR="0076250F" w:rsidRDefault="0076250F" w14:paraId="77E93224" w14:textId="0A7B18E5">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14">
        <w:r w:rsidRPr="0076250F">
          <w:rPr>
            <w:rStyle w:val="Hyperlink"/>
            <w:rFonts w:asciiTheme="minorHAnsi" w:hAnsiTheme="minorHAnsi"/>
            <w:noProof/>
            <w:sz w:val="22"/>
          </w:rPr>
          <w:t>Ilustración 14. Índice de Producción industrial (% variación respecto al año anterior)</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_Toc210292714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66</w:t>
        </w:r>
        <w:r w:rsidRPr="0076250F">
          <w:rPr>
            <w:rFonts w:asciiTheme="minorHAnsi" w:hAnsiTheme="minorHAnsi"/>
            <w:noProof/>
            <w:webHidden/>
            <w:sz w:val="22"/>
          </w:rPr>
          <w:fldChar w:fldCharType="end"/>
        </w:r>
      </w:hyperlink>
    </w:p>
    <w:p w:rsidRPr="0076250F" w:rsidR="0076250F" w:rsidRDefault="0076250F" w14:paraId="483584CA" w14:textId="77FA4BC2">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15">
        <w:r w:rsidRPr="0076250F">
          <w:rPr>
            <w:rStyle w:val="Hyperlink"/>
            <w:rFonts w:asciiTheme="minorHAnsi" w:hAnsiTheme="minorHAnsi"/>
            <w:noProof/>
            <w:sz w:val="22"/>
          </w:rPr>
          <w:t>Ilustración 16. Demanda total de minerales seleccionados por uso final en el Escenario Net Zero, 2021-2050.</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_Toc210292715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72</w:t>
        </w:r>
        <w:r w:rsidRPr="0076250F">
          <w:rPr>
            <w:rFonts w:asciiTheme="minorHAnsi" w:hAnsiTheme="minorHAnsi"/>
            <w:noProof/>
            <w:webHidden/>
            <w:sz w:val="22"/>
          </w:rPr>
          <w:fldChar w:fldCharType="end"/>
        </w:r>
      </w:hyperlink>
    </w:p>
    <w:p w:rsidRPr="0076250F" w:rsidR="0076250F" w:rsidRDefault="0076250F" w14:paraId="48342102" w14:textId="27A3AD1E">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16">
        <w:r w:rsidRPr="0076250F">
          <w:rPr>
            <w:rStyle w:val="Hyperlink"/>
            <w:rFonts w:asciiTheme="minorHAnsi" w:hAnsiTheme="minorHAnsi"/>
            <w:noProof/>
            <w:sz w:val="22"/>
          </w:rPr>
          <w:t xml:space="preserve">Ilustración 17. </w:t>
        </w:r>
        <w:r w:rsidRPr="0076250F">
          <w:rPr>
            <w:rStyle w:val="Hyperlink"/>
            <w:rFonts w:asciiTheme="minorHAnsi" w:hAnsiTheme="minorHAnsi"/>
            <w:noProof/>
            <w:sz w:val="22"/>
            <w:lang w:val="es-ES"/>
          </w:rPr>
          <w:t>Diagrama de Economía Circular en la minería.</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_Toc210292716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74</w:t>
        </w:r>
        <w:r w:rsidRPr="0076250F">
          <w:rPr>
            <w:rFonts w:asciiTheme="minorHAnsi" w:hAnsiTheme="minorHAnsi"/>
            <w:noProof/>
            <w:webHidden/>
            <w:sz w:val="22"/>
          </w:rPr>
          <w:fldChar w:fldCharType="end"/>
        </w:r>
      </w:hyperlink>
    </w:p>
    <w:p w:rsidRPr="0076250F" w:rsidR="0076250F" w:rsidRDefault="0076250F" w14:paraId="12E32B96" w14:textId="0B326350">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17">
        <w:r w:rsidRPr="0076250F">
          <w:rPr>
            <w:rStyle w:val="Hyperlink"/>
            <w:rFonts w:asciiTheme="minorHAnsi" w:hAnsiTheme="minorHAnsi"/>
            <w:noProof/>
            <w:sz w:val="22"/>
          </w:rPr>
          <w:t>Ilustración 18. Resultados del Informe de “Evidencias de Explotación de oro de aluvión con uso de maquinaria en tierra – EVOA”</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_Toc210292717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82</w:t>
        </w:r>
        <w:r w:rsidRPr="0076250F">
          <w:rPr>
            <w:rFonts w:asciiTheme="minorHAnsi" w:hAnsiTheme="minorHAnsi"/>
            <w:noProof/>
            <w:webHidden/>
            <w:sz w:val="22"/>
          </w:rPr>
          <w:fldChar w:fldCharType="end"/>
        </w:r>
      </w:hyperlink>
    </w:p>
    <w:p w:rsidRPr="0076250F" w:rsidR="0076250F" w:rsidRDefault="0076250F" w14:paraId="300BD583" w14:textId="776A501B">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10292718">
        <w:r w:rsidRPr="0076250F">
          <w:rPr>
            <w:rStyle w:val="Hyperlink"/>
            <w:rFonts w:asciiTheme="minorHAnsi" w:hAnsiTheme="minorHAnsi"/>
            <w:noProof/>
            <w:sz w:val="22"/>
          </w:rPr>
          <w:t>Ilustración 19. Enfoque sistémico integral para el desarrollo de la actividad minera</w:t>
        </w:r>
        <w:r w:rsidRPr="0076250F">
          <w:rPr>
            <w:rFonts w:asciiTheme="minorHAnsi" w:hAnsiTheme="minorHAnsi"/>
            <w:noProof/>
            <w:webHidden/>
            <w:sz w:val="22"/>
          </w:rPr>
          <w:tab/>
        </w:r>
        <w:r w:rsidRPr="0076250F">
          <w:rPr>
            <w:rFonts w:asciiTheme="minorHAnsi" w:hAnsiTheme="minorHAnsi"/>
            <w:noProof/>
            <w:webHidden/>
            <w:sz w:val="22"/>
          </w:rPr>
          <w:fldChar w:fldCharType="begin"/>
        </w:r>
        <w:r w:rsidRPr="0076250F">
          <w:rPr>
            <w:rFonts w:asciiTheme="minorHAnsi" w:hAnsiTheme="minorHAnsi"/>
            <w:noProof/>
            <w:webHidden/>
            <w:sz w:val="22"/>
          </w:rPr>
          <w:instrText xml:space="preserve"> PAGEREF _Toc210292718 \h </w:instrText>
        </w:r>
        <w:r w:rsidRPr="0076250F">
          <w:rPr>
            <w:rFonts w:asciiTheme="minorHAnsi" w:hAnsiTheme="minorHAnsi"/>
            <w:noProof/>
            <w:webHidden/>
            <w:sz w:val="22"/>
          </w:rPr>
        </w:r>
        <w:r w:rsidRPr="0076250F">
          <w:rPr>
            <w:rFonts w:asciiTheme="minorHAnsi" w:hAnsiTheme="minorHAnsi"/>
            <w:noProof/>
            <w:webHidden/>
            <w:sz w:val="22"/>
          </w:rPr>
          <w:fldChar w:fldCharType="separate"/>
        </w:r>
        <w:r w:rsidRPr="0076250F">
          <w:rPr>
            <w:rFonts w:asciiTheme="minorHAnsi" w:hAnsiTheme="minorHAnsi"/>
            <w:noProof/>
            <w:webHidden/>
            <w:sz w:val="22"/>
          </w:rPr>
          <w:t>87</w:t>
        </w:r>
        <w:r w:rsidRPr="0076250F">
          <w:rPr>
            <w:rFonts w:asciiTheme="minorHAnsi" w:hAnsiTheme="minorHAnsi"/>
            <w:noProof/>
            <w:webHidden/>
            <w:sz w:val="22"/>
          </w:rPr>
          <w:fldChar w:fldCharType="end"/>
        </w:r>
      </w:hyperlink>
    </w:p>
    <w:p w:rsidR="0055317F" w:rsidP="287A971D" w:rsidRDefault="000D1124" w14:paraId="7F565C9F" w14:textId="510AC906">
      <w:pPr>
        <w:rPr>
          <w:color w:val="2B579A"/>
          <w:lang w:val="es-ES"/>
        </w:rPr>
      </w:pPr>
      <w:r w:rsidRPr="0076250F">
        <w:rPr>
          <w:color w:val="2B579A"/>
          <w:lang w:val="es-ES"/>
        </w:rPr>
        <w:fldChar w:fldCharType="end"/>
      </w:r>
      <w:bookmarkStart w:name="_Toc130810241" w:id="2"/>
      <w:bookmarkStart w:name="_Toc135903106" w:id="3"/>
    </w:p>
    <w:p w:rsidR="00DD6760" w:rsidP="00DD6760" w:rsidRDefault="00DD6760" w14:paraId="11E48A7A" w14:textId="7D751ED5">
      <w:pPr>
        <w:pStyle w:val="Heading1"/>
        <w:rPr>
          <w:lang w:val="es-ES"/>
        </w:rPr>
      </w:pPr>
      <w:bookmarkStart w:name="_Toc210292949" w:id="4"/>
      <w:r>
        <w:rPr>
          <w:lang w:val="es-ES"/>
        </w:rPr>
        <w:t>Lista de Tablas</w:t>
      </w:r>
      <w:bookmarkEnd w:id="4"/>
    </w:p>
    <w:p w:rsidRPr="00DD6760" w:rsidR="00DD6760" w:rsidP="00DD6760" w:rsidRDefault="00DD6760" w14:paraId="52EC0DB4" w14:textId="77777777">
      <w:pPr>
        <w:rPr>
          <w:lang w:val="es-ES"/>
        </w:rPr>
      </w:pPr>
    </w:p>
    <w:p w:rsidRPr="00DD6760" w:rsidR="00DD6760" w:rsidRDefault="00DD6760" w14:paraId="692F6310" w14:textId="2FB9FC68">
      <w:pPr>
        <w:pStyle w:val="TableofFigures"/>
        <w:tabs>
          <w:tab w:val="right" w:leader="dot" w:pos="8686"/>
        </w:tabs>
        <w:rPr>
          <w:rFonts w:asciiTheme="minorHAnsi" w:hAnsiTheme="minorHAnsi" w:eastAsiaTheme="minorEastAsia"/>
          <w:noProof/>
          <w:kern w:val="2"/>
          <w:sz w:val="22"/>
          <w:lang w:eastAsia="es-CO"/>
          <w14:ligatures w14:val="standardContextual"/>
        </w:rPr>
      </w:pPr>
      <w:r>
        <w:rPr>
          <w:lang w:val="es-ES"/>
        </w:rPr>
        <w:fldChar w:fldCharType="begin"/>
      </w:r>
      <w:r>
        <w:rPr>
          <w:lang w:val="es-ES"/>
        </w:rPr>
        <w:instrText xml:space="preserve"> TOC \h \z \c "Tabla" </w:instrText>
      </w:r>
      <w:r>
        <w:rPr>
          <w:lang w:val="es-ES"/>
        </w:rPr>
        <w:fldChar w:fldCharType="separate"/>
      </w:r>
      <w:hyperlink w:history="1" w:anchor="_Toc209191830">
        <w:r w:rsidRPr="00DD6760">
          <w:rPr>
            <w:rStyle w:val="Hyperlink"/>
            <w:rFonts w:asciiTheme="minorHAnsi" w:hAnsiTheme="minorHAnsi"/>
            <w:noProof/>
            <w:sz w:val="22"/>
            <w:szCs w:val="20"/>
          </w:rPr>
          <w:t>Tabla 1. Superposición de áreas mineras con áreas de especial importancia ambienta</w:t>
        </w:r>
        <w:r w:rsidRPr="00DD6760">
          <w:rPr>
            <w:rFonts w:asciiTheme="minorHAnsi" w:hAnsiTheme="minorHAnsi"/>
            <w:noProof/>
            <w:webHidden/>
            <w:sz w:val="22"/>
            <w:szCs w:val="20"/>
          </w:rPr>
          <w:tab/>
        </w:r>
        <w:r w:rsidRPr="00DD6760">
          <w:rPr>
            <w:rFonts w:asciiTheme="minorHAnsi" w:hAnsiTheme="minorHAnsi"/>
            <w:noProof/>
            <w:webHidden/>
            <w:sz w:val="22"/>
            <w:szCs w:val="20"/>
          </w:rPr>
          <w:fldChar w:fldCharType="begin"/>
        </w:r>
        <w:r w:rsidRPr="00DD6760">
          <w:rPr>
            <w:rFonts w:asciiTheme="minorHAnsi" w:hAnsiTheme="minorHAnsi"/>
            <w:noProof/>
            <w:webHidden/>
            <w:sz w:val="22"/>
            <w:szCs w:val="20"/>
          </w:rPr>
          <w:instrText xml:space="preserve"> PAGEREF _Toc209191830 \h </w:instrText>
        </w:r>
        <w:r w:rsidRPr="00DD6760">
          <w:rPr>
            <w:rFonts w:asciiTheme="minorHAnsi" w:hAnsiTheme="minorHAnsi"/>
            <w:noProof/>
            <w:webHidden/>
            <w:sz w:val="22"/>
            <w:szCs w:val="20"/>
          </w:rPr>
        </w:r>
        <w:r w:rsidRPr="00DD6760">
          <w:rPr>
            <w:rFonts w:asciiTheme="minorHAnsi" w:hAnsiTheme="minorHAnsi"/>
            <w:noProof/>
            <w:webHidden/>
            <w:sz w:val="22"/>
            <w:szCs w:val="20"/>
          </w:rPr>
          <w:fldChar w:fldCharType="separate"/>
        </w:r>
        <w:r w:rsidRPr="00DD6760">
          <w:rPr>
            <w:rFonts w:asciiTheme="minorHAnsi" w:hAnsiTheme="minorHAnsi"/>
            <w:noProof/>
            <w:webHidden/>
            <w:sz w:val="22"/>
            <w:szCs w:val="20"/>
          </w:rPr>
          <w:t>33</w:t>
        </w:r>
        <w:r w:rsidRPr="00DD6760">
          <w:rPr>
            <w:rFonts w:asciiTheme="minorHAnsi" w:hAnsiTheme="minorHAnsi"/>
            <w:noProof/>
            <w:webHidden/>
            <w:sz w:val="22"/>
            <w:szCs w:val="20"/>
          </w:rPr>
          <w:fldChar w:fldCharType="end"/>
        </w:r>
      </w:hyperlink>
    </w:p>
    <w:p w:rsidRPr="00DD6760" w:rsidR="00DD6760" w:rsidRDefault="00DD6760" w14:paraId="59F85346" w14:textId="75C15A10">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09191831">
        <w:r w:rsidRPr="00DD6760">
          <w:rPr>
            <w:rStyle w:val="Hyperlink"/>
            <w:rFonts w:asciiTheme="minorHAnsi" w:hAnsiTheme="minorHAnsi"/>
            <w:noProof/>
            <w:sz w:val="22"/>
            <w:szCs w:val="20"/>
          </w:rPr>
          <w:t>Tabla 2. Mecanismos de formalización activos</w:t>
        </w:r>
        <w:r w:rsidRPr="00DD6760">
          <w:rPr>
            <w:rFonts w:asciiTheme="minorHAnsi" w:hAnsiTheme="minorHAnsi"/>
            <w:noProof/>
            <w:webHidden/>
            <w:sz w:val="22"/>
            <w:szCs w:val="20"/>
          </w:rPr>
          <w:tab/>
        </w:r>
        <w:r w:rsidRPr="00DD6760">
          <w:rPr>
            <w:rFonts w:asciiTheme="minorHAnsi" w:hAnsiTheme="minorHAnsi"/>
            <w:noProof/>
            <w:webHidden/>
            <w:sz w:val="22"/>
            <w:szCs w:val="20"/>
          </w:rPr>
          <w:fldChar w:fldCharType="begin"/>
        </w:r>
        <w:r w:rsidRPr="00DD6760">
          <w:rPr>
            <w:rFonts w:asciiTheme="minorHAnsi" w:hAnsiTheme="minorHAnsi"/>
            <w:noProof/>
            <w:webHidden/>
            <w:sz w:val="22"/>
            <w:szCs w:val="20"/>
          </w:rPr>
          <w:instrText xml:space="preserve"> PAGEREF _Toc209191831 \h </w:instrText>
        </w:r>
        <w:r w:rsidRPr="00DD6760">
          <w:rPr>
            <w:rFonts w:asciiTheme="minorHAnsi" w:hAnsiTheme="minorHAnsi"/>
            <w:noProof/>
            <w:webHidden/>
            <w:sz w:val="22"/>
            <w:szCs w:val="20"/>
          </w:rPr>
        </w:r>
        <w:r w:rsidRPr="00DD6760">
          <w:rPr>
            <w:rFonts w:asciiTheme="minorHAnsi" w:hAnsiTheme="minorHAnsi"/>
            <w:noProof/>
            <w:webHidden/>
            <w:sz w:val="22"/>
            <w:szCs w:val="20"/>
          </w:rPr>
          <w:fldChar w:fldCharType="separate"/>
        </w:r>
        <w:r w:rsidRPr="00DD6760">
          <w:rPr>
            <w:rFonts w:asciiTheme="minorHAnsi" w:hAnsiTheme="minorHAnsi"/>
            <w:noProof/>
            <w:webHidden/>
            <w:sz w:val="22"/>
            <w:szCs w:val="20"/>
          </w:rPr>
          <w:t>54</w:t>
        </w:r>
        <w:r w:rsidRPr="00DD6760">
          <w:rPr>
            <w:rFonts w:asciiTheme="minorHAnsi" w:hAnsiTheme="minorHAnsi"/>
            <w:noProof/>
            <w:webHidden/>
            <w:sz w:val="22"/>
            <w:szCs w:val="20"/>
          </w:rPr>
          <w:fldChar w:fldCharType="end"/>
        </w:r>
      </w:hyperlink>
    </w:p>
    <w:p w:rsidRPr="00DD6760" w:rsidR="00DD6760" w:rsidRDefault="00DD6760" w14:paraId="269F84F0" w14:textId="147832DA">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09191832">
        <w:r w:rsidRPr="00DD6760">
          <w:rPr>
            <w:rStyle w:val="Hyperlink"/>
            <w:rFonts w:asciiTheme="minorHAnsi" w:hAnsiTheme="minorHAnsi"/>
            <w:noProof/>
            <w:sz w:val="22"/>
            <w:szCs w:val="20"/>
          </w:rPr>
          <w:t>Tabla 3. Mecanismos de formalización en evaluación</w:t>
        </w:r>
        <w:r w:rsidRPr="00DD6760">
          <w:rPr>
            <w:rFonts w:asciiTheme="minorHAnsi" w:hAnsiTheme="minorHAnsi"/>
            <w:noProof/>
            <w:webHidden/>
            <w:sz w:val="22"/>
            <w:szCs w:val="20"/>
          </w:rPr>
          <w:tab/>
        </w:r>
        <w:r w:rsidRPr="00DD6760">
          <w:rPr>
            <w:rFonts w:asciiTheme="minorHAnsi" w:hAnsiTheme="minorHAnsi"/>
            <w:noProof/>
            <w:webHidden/>
            <w:sz w:val="22"/>
            <w:szCs w:val="20"/>
          </w:rPr>
          <w:fldChar w:fldCharType="begin"/>
        </w:r>
        <w:r w:rsidRPr="00DD6760">
          <w:rPr>
            <w:rFonts w:asciiTheme="minorHAnsi" w:hAnsiTheme="minorHAnsi"/>
            <w:noProof/>
            <w:webHidden/>
            <w:sz w:val="22"/>
            <w:szCs w:val="20"/>
          </w:rPr>
          <w:instrText xml:space="preserve"> PAGEREF _Toc209191832 \h </w:instrText>
        </w:r>
        <w:r w:rsidRPr="00DD6760">
          <w:rPr>
            <w:rFonts w:asciiTheme="minorHAnsi" w:hAnsiTheme="minorHAnsi"/>
            <w:noProof/>
            <w:webHidden/>
            <w:sz w:val="22"/>
            <w:szCs w:val="20"/>
          </w:rPr>
        </w:r>
        <w:r w:rsidRPr="00DD6760">
          <w:rPr>
            <w:rFonts w:asciiTheme="minorHAnsi" w:hAnsiTheme="minorHAnsi"/>
            <w:noProof/>
            <w:webHidden/>
            <w:sz w:val="22"/>
            <w:szCs w:val="20"/>
          </w:rPr>
          <w:fldChar w:fldCharType="separate"/>
        </w:r>
        <w:r w:rsidRPr="00DD6760">
          <w:rPr>
            <w:rFonts w:asciiTheme="minorHAnsi" w:hAnsiTheme="minorHAnsi"/>
            <w:noProof/>
            <w:webHidden/>
            <w:sz w:val="22"/>
            <w:szCs w:val="20"/>
          </w:rPr>
          <w:t>55</w:t>
        </w:r>
        <w:r w:rsidRPr="00DD6760">
          <w:rPr>
            <w:rFonts w:asciiTheme="minorHAnsi" w:hAnsiTheme="minorHAnsi"/>
            <w:noProof/>
            <w:webHidden/>
            <w:sz w:val="22"/>
            <w:szCs w:val="20"/>
          </w:rPr>
          <w:fldChar w:fldCharType="end"/>
        </w:r>
      </w:hyperlink>
    </w:p>
    <w:p w:rsidRPr="00DD6760" w:rsidR="00DD6760" w:rsidRDefault="00DD6760" w14:paraId="50BBC33A" w14:textId="57F27136">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09191833">
        <w:r w:rsidRPr="00DD6760">
          <w:rPr>
            <w:rStyle w:val="Hyperlink"/>
            <w:rFonts w:asciiTheme="minorHAnsi" w:hAnsiTheme="minorHAnsi"/>
            <w:noProof/>
            <w:sz w:val="22"/>
            <w:szCs w:val="20"/>
          </w:rPr>
          <w:t>Tabla 4. Valor agregado por actividad económica.</w:t>
        </w:r>
        <w:r w:rsidRPr="00DD6760">
          <w:rPr>
            <w:rFonts w:asciiTheme="minorHAnsi" w:hAnsiTheme="minorHAnsi"/>
            <w:noProof/>
            <w:webHidden/>
            <w:sz w:val="22"/>
            <w:szCs w:val="20"/>
          </w:rPr>
          <w:tab/>
        </w:r>
        <w:r w:rsidRPr="00DD6760">
          <w:rPr>
            <w:rFonts w:asciiTheme="minorHAnsi" w:hAnsiTheme="minorHAnsi"/>
            <w:noProof/>
            <w:webHidden/>
            <w:sz w:val="22"/>
            <w:szCs w:val="20"/>
          </w:rPr>
          <w:fldChar w:fldCharType="begin"/>
        </w:r>
        <w:r w:rsidRPr="00DD6760">
          <w:rPr>
            <w:rFonts w:asciiTheme="minorHAnsi" w:hAnsiTheme="minorHAnsi"/>
            <w:noProof/>
            <w:webHidden/>
            <w:sz w:val="22"/>
            <w:szCs w:val="20"/>
          </w:rPr>
          <w:instrText xml:space="preserve"> PAGEREF _Toc209191833 \h </w:instrText>
        </w:r>
        <w:r w:rsidRPr="00DD6760">
          <w:rPr>
            <w:rFonts w:asciiTheme="minorHAnsi" w:hAnsiTheme="minorHAnsi"/>
            <w:noProof/>
            <w:webHidden/>
            <w:sz w:val="22"/>
            <w:szCs w:val="20"/>
          </w:rPr>
        </w:r>
        <w:r w:rsidRPr="00DD6760">
          <w:rPr>
            <w:rFonts w:asciiTheme="minorHAnsi" w:hAnsiTheme="minorHAnsi"/>
            <w:noProof/>
            <w:webHidden/>
            <w:sz w:val="22"/>
            <w:szCs w:val="20"/>
          </w:rPr>
          <w:fldChar w:fldCharType="separate"/>
        </w:r>
        <w:r w:rsidRPr="00DD6760">
          <w:rPr>
            <w:rFonts w:asciiTheme="minorHAnsi" w:hAnsiTheme="minorHAnsi"/>
            <w:noProof/>
            <w:webHidden/>
            <w:sz w:val="22"/>
            <w:szCs w:val="20"/>
          </w:rPr>
          <w:t>71</w:t>
        </w:r>
        <w:r w:rsidRPr="00DD6760">
          <w:rPr>
            <w:rFonts w:asciiTheme="minorHAnsi" w:hAnsiTheme="minorHAnsi"/>
            <w:noProof/>
            <w:webHidden/>
            <w:sz w:val="22"/>
            <w:szCs w:val="20"/>
          </w:rPr>
          <w:fldChar w:fldCharType="end"/>
        </w:r>
      </w:hyperlink>
    </w:p>
    <w:p w:rsidRPr="00DD6760" w:rsidR="00DD6760" w:rsidRDefault="00DD6760" w14:paraId="4E3D7251" w14:textId="673F0090">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09191834">
        <w:r w:rsidRPr="00DD6760">
          <w:rPr>
            <w:rStyle w:val="Hyperlink"/>
            <w:rFonts w:asciiTheme="minorHAnsi" w:hAnsiTheme="minorHAnsi"/>
            <w:noProof/>
            <w:sz w:val="22"/>
            <w:szCs w:val="20"/>
          </w:rPr>
          <w:t>Tabla 5. Número de acciones por cada línea estratégica.</w:t>
        </w:r>
        <w:r w:rsidRPr="00DD6760">
          <w:rPr>
            <w:rFonts w:asciiTheme="minorHAnsi" w:hAnsiTheme="minorHAnsi"/>
            <w:noProof/>
            <w:webHidden/>
            <w:sz w:val="22"/>
            <w:szCs w:val="20"/>
          </w:rPr>
          <w:tab/>
        </w:r>
        <w:r w:rsidRPr="00DD6760">
          <w:rPr>
            <w:rFonts w:asciiTheme="minorHAnsi" w:hAnsiTheme="minorHAnsi"/>
            <w:noProof/>
            <w:webHidden/>
            <w:sz w:val="22"/>
            <w:szCs w:val="20"/>
          </w:rPr>
          <w:fldChar w:fldCharType="begin"/>
        </w:r>
        <w:r w:rsidRPr="00DD6760">
          <w:rPr>
            <w:rFonts w:asciiTheme="minorHAnsi" w:hAnsiTheme="minorHAnsi"/>
            <w:noProof/>
            <w:webHidden/>
            <w:sz w:val="22"/>
            <w:szCs w:val="20"/>
          </w:rPr>
          <w:instrText xml:space="preserve"> PAGEREF _Toc209191834 \h </w:instrText>
        </w:r>
        <w:r w:rsidRPr="00DD6760">
          <w:rPr>
            <w:rFonts w:asciiTheme="minorHAnsi" w:hAnsiTheme="minorHAnsi"/>
            <w:noProof/>
            <w:webHidden/>
            <w:sz w:val="22"/>
            <w:szCs w:val="20"/>
          </w:rPr>
        </w:r>
        <w:r w:rsidRPr="00DD6760">
          <w:rPr>
            <w:rFonts w:asciiTheme="minorHAnsi" w:hAnsiTheme="minorHAnsi"/>
            <w:noProof/>
            <w:webHidden/>
            <w:sz w:val="22"/>
            <w:szCs w:val="20"/>
          </w:rPr>
          <w:fldChar w:fldCharType="separate"/>
        </w:r>
        <w:r w:rsidRPr="00DD6760">
          <w:rPr>
            <w:rFonts w:asciiTheme="minorHAnsi" w:hAnsiTheme="minorHAnsi"/>
            <w:noProof/>
            <w:webHidden/>
            <w:sz w:val="22"/>
            <w:szCs w:val="20"/>
          </w:rPr>
          <w:t>116</w:t>
        </w:r>
        <w:r w:rsidRPr="00DD6760">
          <w:rPr>
            <w:rFonts w:asciiTheme="minorHAnsi" w:hAnsiTheme="minorHAnsi"/>
            <w:noProof/>
            <w:webHidden/>
            <w:sz w:val="22"/>
            <w:szCs w:val="20"/>
          </w:rPr>
          <w:fldChar w:fldCharType="end"/>
        </w:r>
      </w:hyperlink>
    </w:p>
    <w:p w:rsidRPr="00DD6760" w:rsidR="00DD6760" w:rsidRDefault="00DD6760" w14:paraId="26577CFF" w14:textId="2828AB47">
      <w:pPr>
        <w:pStyle w:val="TableofFigures"/>
        <w:tabs>
          <w:tab w:val="right" w:leader="dot" w:pos="8686"/>
        </w:tabs>
        <w:rPr>
          <w:rFonts w:asciiTheme="minorHAnsi" w:hAnsiTheme="minorHAnsi" w:eastAsiaTheme="minorEastAsia"/>
          <w:noProof/>
          <w:kern w:val="2"/>
          <w:sz w:val="22"/>
          <w:lang w:eastAsia="es-CO"/>
          <w14:ligatures w14:val="standardContextual"/>
        </w:rPr>
      </w:pPr>
      <w:hyperlink w:history="1" w:anchor="_Toc209191835">
        <w:r w:rsidRPr="00DD6760">
          <w:rPr>
            <w:rStyle w:val="Hyperlink"/>
            <w:rFonts w:asciiTheme="minorHAnsi" w:hAnsiTheme="minorHAnsi"/>
            <w:noProof/>
            <w:sz w:val="22"/>
            <w:szCs w:val="20"/>
          </w:rPr>
          <w:t>Tabla 6. Número de acciones por entidad.</w:t>
        </w:r>
        <w:r w:rsidRPr="00DD6760">
          <w:rPr>
            <w:rFonts w:asciiTheme="minorHAnsi" w:hAnsiTheme="minorHAnsi"/>
            <w:noProof/>
            <w:webHidden/>
            <w:sz w:val="22"/>
            <w:szCs w:val="20"/>
          </w:rPr>
          <w:tab/>
        </w:r>
        <w:r w:rsidRPr="00DD6760">
          <w:rPr>
            <w:rFonts w:asciiTheme="minorHAnsi" w:hAnsiTheme="minorHAnsi"/>
            <w:noProof/>
            <w:webHidden/>
            <w:sz w:val="22"/>
            <w:szCs w:val="20"/>
          </w:rPr>
          <w:fldChar w:fldCharType="begin"/>
        </w:r>
        <w:r w:rsidRPr="00DD6760">
          <w:rPr>
            <w:rFonts w:asciiTheme="minorHAnsi" w:hAnsiTheme="minorHAnsi"/>
            <w:noProof/>
            <w:webHidden/>
            <w:sz w:val="22"/>
            <w:szCs w:val="20"/>
          </w:rPr>
          <w:instrText xml:space="preserve"> PAGEREF _Toc209191835 \h </w:instrText>
        </w:r>
        <w:r w:rsidRPr="00DD6760">
          <w:rPr>
            <w:rFonts w:asciiTheme="minorHAnsi" w:hAnsiTheme="minorHAnsi"/>
            <w:noProof/>
            <w:webHidden/>
            <w:sz w:val="22"/>
            <w:szCs w:val="20"/>
          </w:rPr>
        </w:r>
        <w:r w:rsidRPr="00DD6760">
          <w:rPr>
            <w:rFonts w:asciiTheme="minorHAnsi" w:hAnsiTheme="minorHAnsi"/>
            <w:noProof/>
            <w:webHidden/>
            <w:sz w:val="22"/>
            <w:szCs w:val="20"/>
          </w:rPr>
          <w:fldChar w:fldCharType="separate"/>
        </w:r>
        <w:r w:rsidRPr="00DD6760">
          <w:rPr>
            <w:rFonts w:asciiTheme="minorHAnsi" w:hAnsiTheme="minorHAnsi"/>
            <w:noProof/>
            <w:webHidden/>
            <w:sz w:val="22"/>
            <w:szCs w:val="20"/>
          </w:rPr>
          <w:t>117</w:t>
        </w:r>
        <w:r w:rsidRPr="00DD6760">
          <w:rPr>
            <w:rFonts w:asciiTheme="minorHAnsi" w:hAnsiTheme="minorHAnsi"/>
            <w:noProof/>
            <w:webHidden/>
            <w:sz w:val="22"/>
            <w:szCs w:val="20"/>
          </w:rPr>
          <w:fldChar w:fldCharType="end"/>
        </w:r>
      </w:hyperlink>
    </w:p>
    <w:p w:rsidR="0055317F" w:rsidP="0055317F" w:rsidRDefault="00DD6760" w14:paraId="2F2C39AC" w14:textId="056307E0">
      <w:pPr>
        <w:rPr>
          <w:lang w:val="es-ES"/>
        </w:rPr>
      </w:pPr>
      <w:r>
        <w:rPr>
          <w:lang w:val="es-ES"/>
        </w:rPr>
        <w:fldChar w:fldCharType="end"/>
      </w:r>
      <w:r w:rsidR="0055317F">
        <w:rPr>
          <w:lang w:val="es-ES"/>
        </w:rPr>
        <w:br w:type="page"/>
      </w:r>
    </w:p>
    <w:p w:rsidR="00427AEB" w:rsidP="00427AEB" w:rsidRDefault="6CF93F88" w14:paraId="0CED02A5" w14:textId="15F086D7">
      <w:pPr>
        <w:pStyle w:val="Heading1"/>
      </w:pPr>
      <w:bookmarkStart w:name="_Toc519888072" w:id="5"/>
      <w:bookmarkStart w:name="_Toc2106780267" w:id="6"/>
      <w:bookmarkStart w:name="_Toc213387510" w:id="7"/>
      <w:bookmarkStart w:name="_Toc1495639934" w:id="8"/>
      <w:bookmarkStart w:name="_Toc1188665708" w:id="9"/>
      <w:bookmarkStart w:name="_Toc353573215" w:id="10"/>
      <w:bookmarkStart w:name="_Toc1789989597" w:id="11"/>
      <w:bookmarkStart w:name="_Toc969693504" w:id="12"/>
      <w:bookmarkStart w:name="_Toc1619437963" w:id="13"/>
      <w:bookmarkStart w:name="_Toc575438932" w:id="14"/>
      <w:bookmarkStart w:name="_Toc1934700553" w:id="15"/>
      <w:bookmarkStart w:name="_Toc1038219474" w:id="16"/>
      <w:bookmarkStart w:name="_Toc1560371330" w:id="17"/>
      <w:bookmarkStart w:name="_Toc1718070260" w:id="18"/>
      <w:bookmarkStart w:name="_Toc380857880" w:id="19"/>
      <w:bookmarkStart w:name="_Toc243367725" w:id="20"/>
      <w:bookmarkStart w:name="_Toc1335062675" w:id="21"/>
      <w:bookmarkStart w:name="_Toc127137740" w:id="22"/>
      <w:bookmarkStart w:name="_Toc1619394100" w:id="23"/>
      <w:bookmarkStart w:name="_Toc1141352647" w:id="24"/>
      <w:bookmarkStart w:name="_Toc590241294" w:id="25"/>
      <w:bookmarkStart w:name="_Toc1424651039" w:id="26"/>
      <w:bookmarkStart w:name="_Toc664921411" w:id="27"/>
      <w:bookmarkStart w:name="_Toc48289685" w:id="28"/>
      <w:bookmarkStart w:name="_Toc1883186113" w:id="29"/>
      <w:bookmarkStart w:name="_Toc1883105302" w:id="30"/>
      <w:bookmarkStart w:name="_Toc210292950" w:id="31"/>
      <w:r>
        <w:t>Siglas</w:t>
      </w:r>
      <w:r w:rsidR="46C68268">
        <w:t xml:space="preserve"> y abreviaturas</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rsidRPr="006817F8" w:rsidR="00427AEB" w:rsidP="00427AEB" w:rsidRDefault="00427AEB" w14:paraId="7B8B2444" w14:textId="77777777"/>
    <w:p w:rsidR="00264856" w:rsidP="00427AEB" w:rsidRDefault="00264856" w14:paraId="038A145C" w14:textId="77777777">
      <w:pPr>
        <w:jc w:val="both"/>
      </w:pPr>
      <w:r>
        <w:t>AGC</w:t>
      </w:r>
      <w:r>
        <w:tab/>
      </w:r>
      <w:r>
        <w:tab/>
      </w:r>
      <w:r>
        <w:tab/>
      </w:r>
      <w:r>
        <w:t>Atlas Geoquímico de Colombia</w:t>
      </w:r>
    </w:p>
    <w:p w:rsidR="00264856" w:rsidP="00427AEB" w:rsidRDefault="00264856" w14:paraId="633BC996" w14:textId="77777777">
      <w:pPr>
        <w:jc w:val="both"/>
      </w:pPr>
      <w:r>
        <w:t xml:space="preserve">ANLA </w:t>
      </w:r>
      <w:r>
        <w:tab/>
      </w:r>
      <w:r>
        <w:tab/>
      </w:r>
      <w:r>
        <w:tab/>
      </w:r>
      <w:r>
        <w:t>Autoridad Nacional de Licencias Ambientales</w:t>
      </w:r>
    </w:p>
    <w:p w:rsidR="00264856" w:rsidP="00427AEB" w:rsidRDefault="00264856" w14:paraId="07B17A3A" w14:textId="77777777">
      <w:pPr>
        <w:jc w:val="both"/>
      </w:pPr>
      <w:r>
        <w:t xml:space="preserve">ANM </w:t>
      </w:r>
      <w:r>
        <w:tab/>
      </w:r>
      <w:r>
        <w:tab/>
      </w:r>
      <w:r>
        <w:tab/>
      </w:r>
      <w:r>
        <w:t>Agencia Nacional de Minería</w:t>
      </w:r>
    </w:p>
    <w:p w:rsidR="00264856" w:rsidP="00427AEB" w:rsidRDefault="00264856" w14:paraId="3EAACAC7" w14:textId="77777777">
      <w:pPr>
        <w:jc w:val="both"/>
      </w:pPr>
      <w:r>
        <w:t xml:space="preserve">AREM </w:t>
      </w:r>
      <w:r>
        <w:tab/>
      </w:r>
      <w:r>
        <w:tab/>
      </w:r>
      <w:r>
        <w:tab/>
      </w:r>
      <w:r>
        <w:t>Áreas de Reserva Estratégica Minera</w:t>
      </w:r>
    </w:p>
    <w:p w:rsidR="00264856" w:rsidP="00427AEB" w:rsidRDefault="00264856" w14:paraId="3932079D" w14:textId="77777777">
      <w:pPr>
        <w:jc w:val="both"/>
      </w:pPr>
      <w:r w:rsidRPr="0009681C">
        <w:t xml:space="preserve">BPAS </w:t>
      </w:r>
      <w:r>
        <w:tab/>
      </w:r>
      <w:r>
        <w:tab/>
      </w:r>
      <w:r>
        <w:tab/>
      </w:r>
      <w:r w:rsidRPr="0009681C">
        <w:t>Buenas Prácticas Ambientales</w:t>
      </w:r>
    </w:p>
    <w:p w:rsidRPr="0009681C" w:rsidR="00264856" w:rsidP="00427AEB" w:rsidRDefault="00264856" w14:paraId="4F5AEB46" w14:textId="77777777">
      <w:pPr>
        <w:jc w:val="both"/>
      </w:pPr>
      <w:r>
        <w:t>DANE</w:t>
      </w:r>
      <w:r>
        <w:tab/>
      </w:r>
      <w:r>
        <w:tab/>
      </w:r>
      <w:r>
        <w:tab/>
      </w:r>
      <w:r>
        <w:t>Departamento Administrativo Nacional de Estadística</w:t>
      </w:r>
    </w:p>
    <w:p w:rsidR="00264856" w:rsidP="00427AEB" w:rsidRDefault="00264856" w14:paraId="6E00C314" w14:textId="77777777">
      <w:pPr>
        <w:jc w:val="both"/>
      </w:pPr>
      <w:r>
        <w:t xml:space="preserve">DNP </w:t>
      </w:r>
      <w:r>
        <w:tab/>
      </w:r>
      <w:r>
        <w:tab/>
      </w:r>
      <w:r>
        <w:tab/>
      </w:r>
      <w:r>
        <w:t>Departamento Nacional de Planeación</w:t>
      </w:r>
    </w:p>
    <w:p w:rsidR="00264856" w:rsidP="00427AEB" w:rsidRDefault="00264856" w14:paraId="2E48D0A0" w14:textId="77777777">
      <w:pPr>
        <w:jc w:val="both"/>
      </w:pPr>
      <w:r>
        <w:rPr>
          <w:lang w:val="es-ES"/>
        </w:rPr>
        <w:t>EIA</w:t>
      </w:r>
      <w:r>
        <w:rPr>
          <w:lang w:val="es-ES"/>
        </w:rPr>
        <w:tab/>
      </w:r>
      <w:r>
        <w:rPr>
          <w:lang w:val="es-ES"/>
        </w:rPr>
        <w:tab/>
      </w:r>
      <w:r>
        <w:rPr>
          <w:lang w:val="es-ES"/>
        </w:rPr>
        <w:tab/>
      </w:r>
      <w:r w:rsidRPr="0048354D">
        <w:rPr>
          <w:lang w:val="es-ES"/>
        </w:rPr>
        <w:t>Estudio de Impacto Ambiental</w:t>
      </w:r>
    </w:p>
    <w:p w:rsidR="00264856" w:rsidP="00427AEB" w:rsidRDefault="00264856" w14:paraId="47975E26" w14:textId="6DEA6EA8">
      <w:pPr>
        <w:jc w:val="both"/>
      </w:pPr>
      <w:r>
        <w:t>IEA</w:t>
      </w:r>
      <w:r w:rsidR="01A7190E">
        <w:t xml:space="preserve">                                     Agencia Internacional de Energía (por sus siglas en inglés)</w:t>
      </w:r>
    </w:p>
    <w:p w:rsidR="00264856" w:rsidP="00427AEB" w:rsidRDefault="01A7190E" w14:paraId="6A4AF0FC" w14:textId="3BF28952">
      <w:pPr>
        <w:jc w:val="both"/>
      </w:pPr>
      <w:proofErr w:type="spellStart"/>
      <w:r>
        <w:t>MinAgricultura</w:t>
      </w:r>
      <w:proofErr w:type="spellEnd"/>
      <w:r>
        <w:t xml:space="preserve">                Ministerio de Agricultura</w:t>
      </w:r>
      <w:r w:rsidR="13818008">
        <w:t xml:space="preserve"> y Desarrollo Rural</w:t>
      </w:r>
      <w:r w:rsidR="00264856">
        <w:tab/>
      </w:r>
      <w:r w:rsidR="00264856">
        <w:tab/>
      </w:r>
      <w:r w:rsidR="00264856">
        <w:tab/>
      </w:r>
    </w:p>
    <w:p w:rsidR="00264856" w:rsidP="00427AEB" w:rsidRDefault="00264856" w14:paraId="3572257E" w14:textId="3767B284">
      <w:pPr>
        <w:jc w:val="both"/>
      </w:pPr>
      <w:proofErr w:type="spellStart"/>
      <w:r>
        <w:t>MinAmbiente</w:t>
      </w:r>
      <w:proofErr w:type="spellEnd"/>
      <w:r>
        <w:t xml:space="preserve">     </w:t>
      </w:r>
      <w:r>
        <w:tab/>
      </w:r>
      <w:r>
        <w:t>Ministerio de Ambiente y Desarrollo Sostenible</w:t>
      </w:r>
    </w:p>
    <w:p w:rsidR="64DB722A" w:rsidP="09C2734D" w:rsidRDefault="64DB722A" w14:paraId="761845B2" w14:textId="769545F6">
      <w:pPr>
        <w:jc w:val="both"/>
      </w:pPr>
      <w:proofErr w:type="spellStart"/>
      <w:r>
        <w:t>MinCiencias</w:t>
      </w:r>
      <w:proofErr w:type="spellEnd"/>
      <w:r>
        <w:t xml:space="preserve">                     Ministerio de Ciencia Tecnología e innovación</w:t>
      </w:r>
    </w:p>
    <w:p w:rsidR="00264856" w:rsidP="00427AEB" w:rsidRDefault="00264856" w14:paraId="77152604" w14:textId="77777777">
      <w:pPr>
        <w:jc w:val="both"/>
      </w:pPr>
      <w:proofErr w:type="spellStart"/>
      <w:r>
        <w:t>MinEnergía</w:t>
      </w:r>
      <w:proofErr w:type="spellEnd"/>
      <w:r>
        <w:t xml:space="preserve">                      Ministerio de Minas y Energía</w:t>
      </w:r>
    </w:p>
    <w:p w:rsidR="00264856" w:rsidP="5734DBB2" w:rsidRDefault="00264856" w14:paraId="01606018" w14:textId="09A71A1F">
      <w:pPr>
        <w:rPr>
          <w:rStyle w:val="normaltextrun"/>
          <w:rFonts w:cs="Arial"/>
        </w:rPr>
      </w:pPr>
      <w:r w:rsidRPr="09C2734D">
        <w:rPr>
          <w:rStyle w:val="normaltextrun"/>
          <w:rFonts w:cs="Arial"/>
        </w:rPr>
        <w:t>PND                                   Plan Nacional de Desarrollo</w:t>
      </w:r>
    </w:p>
    <w:p w:rsidR="00264856" w:rsidP="00427AEB" w:rsidRDefault="00264856" w14:paraId="695316EA" w14:textId="77777777">
      <w:pPr>
        <w:jc w:val="both"/>
      </w:pPr>
      <w:r>
        <w:t>PND</w:t>
      </w:r>
      <w:r>
        <w:tab/>
      </w:r>
      <w:r>
        <w:tab/>
      </w:r>
      <w:r>
        <w:tab/>
      </w:r>
      <w:r>
        <w:t>Plan Nacional de Desarrollo</w:t>
      </w:r>
    </w:p>
    <w:p w:rsidR="00264856" w:rsidP="00427AEB" w:rsidRDefault="00264856" w14:paraId="33A2F091" w14:textId="77777777">
      <w:r>
        <w:t>PNDM                               Plan Nacional de Desarrollo Minero</w:t>
      </w:r>
    </w:p>
    <w:p w:rsidR="00264856" w:rsidP="00427AEB" w:rsidRDefault="00264856" w14:paraId="0CF3BCA7" w14:textId="77777777">
      <w:pPr>
        <w:jc w:val="both"/>
        <w:rPr>
          <w:lang w:val="es-ES"/>
        </w:rPr>
      </w:pPr>
      <w:r>
        <w:rPr>
          <w:lang w:val="es-ES"/>
        </w:rPr>
        <w:t>PTO</w:t>
      </w:r>
      <w:r>
        <w:rPr>
          <w:lang w:val="es-ES"/>
        </w:rPr>
        <w:tab/>
      </w:r>
      <w:r>
        <w:rPr>
          <w:lang w:val="es-ES"/>
        </w:rPr>
        <w:tab/>
      </w:r>
      <w:r>
        <w:rPr>
          <w:lang w:val="es-ES"/>
        </w:rPr>
        <w:tab/>
      </w:r>
      <w:r w:rsidRPr="0048354D">
        <w:rPr>
          <w:lang w:val="es-ES"/>
        </w:rPr>
        <w:t>Programa de Trabajos y Obras</w:t>
      </w:r>
    </w:p>
    <w:p w:rsidR="00264856" w:rsidP="00427AEB" w:rsidRDefault="00264856" w14:paraId="7D98FB33" w14:textId="77777777">
      <w:pPr>
        <w:jc w:val="both"/>
      </w:pPr>
      <w:r w:rsidRPr="00C5095C">
        <w:t>RNNR</w:t>
      </w:r>
      <w:r>
        <w:t xml:space="preserve"> </w:t>
      </w:r>
      <w:r>
        <w:tab/>
      </w:r>
      <w:r>
        <w:tab/>
      </w:r>
      <w:r>
        <w:tab/>
      </w:r>
      <w:r>
        <w:t>R</w:t>
      </w:r>
      <w:r w:rsidRPr="00C5095C">
        <w:t xml:space="preserve">ecursos </w:t>
      </w:r>
      <w:r>
        <w:t>N</w:t>
      </w:r>
      <w:r w:rsidRPr="00C5095C">
        <w:t xml:space="preserve">aturales </w:t>
      </w:r>
      <w:r>
        <w:t>N</w:t>
      </w:r>
      <w:r w:rsidRPr="00C5095C">
        <w:t xml:space="preserve">o </w:t>
      </w:r>
      <w:r>
        <w:t>R</w:t>
      </w:r>
      <w:r w:rsidRPr="00C5095C">
        <w:t>enovables</w:t>
      </w:r>
    </w:p>
    <w:p w:rsidR="00264856" w:rsidP="00427AEB" w:rsidRDefault="00264856" w14:paraId="70E9DDFE" w14:textId="77777777">
      <w:pPr>
        <w:jc w:val="both"/>
      </w:pPr>
      <w:r>
        <w:t xml:space="preserve">SGC </w:t>
      </w:r>
      <w:r>
        <w:tab/>
      </w:r>
      <w:r>
        <w:tab/>
      </w:r>
      <w:r>
        <w:tab/>
      </w:r>
      <w:r>
        <w:t>Servicio Geológico Colombiano</w:t>
      </w:r>
    </w:p>
    <w:p w:rsidR="00264856" w:rsidP="17F8AA9B" w:rsidRDefault="00264856" w14:paraId="56F64CE3" w14:textId="77777777">
      <w:pPr>
        <w:jc w:val="both"/>
      </w:pPr>
      <w:r>
        <w:t>SGR                                    Sistema General de Regalías</w:t>
      </w:r>
    </w:p>
    <w:p w:rsidR="00264856" w:rsidP="34D1E0F9" w:rsidRDefault="00264856" w14:paraId="007A23DC" w14:textId="0F8B250F">
      <w:pPr>
        <w:rPr>
          <w:rStyle w:val="normaltextrun"/>
          <w:rFonts w:cs="Arial"/>
        </w:rPr>
      </w:pPr>
      <w:r w:rsidRPr="34D1E0F9">
        <w:rPr>
          <w:rStyle w:val="normaltextrun"/>
          <w:rFonts w:cs="Arial"/>
        </w:rPr>
        <w:t xml:space="preserve">UNODC                             Oficina de las Naciones Unidas contra la Droga y el Delito </w:t>
      </w:r>
      <w:r>
        <w:t xml:space="preserve">(por sus </w:t>
      </w:r>
      <w:r w:rsidR="70783E0E">
        <w:t xml:space="preserve">     </w:t>
      </w:r>
    </w:p>
    <w:p w:rsidR="00264856" w:rsidP="00427AEB" w:rsidRDefault="70783E0E" w14:paraId="41F084CB" w14:noSpellErr="1" w14:textId="5FFA3EAC">
      <w:pPr>
        <w:rPr>
          <w:rStyle w:val="normaltextrun"/>
          <w:rFonts w:cs="Arial"/>
        </w:rPr>
      </w:pPr>
      <w:r w:rsidR="70783E0E">
        <w:rPr/>
        <w:t xml:space="preserve">                                           </w:t>
      </w:r>
      <w:r w:rsidR="014296D4">
        <w:rPr/>
        <w:t>siglas en</w:t>
      </w:r>
      <w:r w:rsidR="1758C009">
        <w:rPr/>
        <w:t xml:space="preserve"> inglés)</w:t>
      </w:r>
    </w:p>
    <w:p w:rsidRPr="00813871" w:rsidR="00264856" w:rsidP="5734DBB2" w:rsidRDefault="00264856" w14:paraId="432341E7" w14:textId="7CFD0533">
      <w:pPr>
        <w:rPr>
          <w:rStyle w:val="normaltextrun"/>
          <w:rFonts w:cs="Arial"/>
        </w:rPr>
      </w:pPr>
      <w:r w:rsidRPr="34D1E0F9">
        <w:rPr>
          <w:rStyle w:val="normaltextrun"/>
          <w:rFonts w:cs="Arial"/>
        </w:rPr>
        <w:t xml:space="preserve">UPME                                Unidad de Planeación </w:t>
      </w:r>
      <w:r w:rsidRPr="34D1E0F9" w:rsidR="6B003A8B">
        <w:rPr>
          <w:rStyle w:val="normaltextrun"/>
          <w:rFonts w:cs="Arial"/>
        </w:rPr>
        <w:t>Minero-Energética</w:t>
      </w:r>
    </w:p>
    <w:p w:rsidR="5734DBB2" w:rsidP="5734DBB2" w:rsidRDefault="5734DBB2" w14:paraId="517FB7BF" w14:textId="00D415F2">
      <w:pPr>
        <w:rPr>
          <w:rStyle w:val="normaltextrun"/>
          <w:rFonts w:cs="Arial"/>
        </w:rPr>
      </w:pPr>
    </w:p>
    <w:p w:rsidR="5734DBB2" w:rsidP="5734DBB2" w:rsidRDefault="5734DBB2" w14:paraId="7ABF85E6" w14:textId="7EB7CB55">
      <w:pPr>
        <w:rPr>
          <w:rStyle w:val="normaltextrun"/>
          <w:rFonts w:cs="Arial"/>
        </w:rPr>
      </w:pPr>
    </w:p>
    <w:p w:rsidR="00D17F09" w:rsidP="00D17F09" w:rsidRDefault="00D17F09" w14:paraId="4BB62B1C" w14:textId="77777777">
      <w:pPr>
        <w:pStyle w:val="Heading1"/>
      </w:pPr>
      <w:bookmarkStart w:name="_Toc1503279908" w:id="32"/>
      <w:bookmarkStart w:name="_Toc1502795542" w:id="33"/>
      <w:bookmarkStart w:name="_Toc1820956208" w:id="34"/>
      <w:bookmarkStart w:name="_Toc2032497441" w:id="35"/>
      <w:bookmarkStart w:name="_Toc1177984833" w:id="36"/>
      <w:bookmarkStart w:name="_Toc1533127529" w:id="37"/>
      <w:bookmarkStart w:name="_Toc547617142" w:id="38"/>
      <w:bookmarkStart w:name="_Toc1285028603" w:id="39"/>
      <w:bookmarkStart w:name="_Toc1347459136" w:id="40"/>
      <w:bookmarkStart w:name="_Toc2287641" w:id="41"/>
      <w:bookmarkStart w:name="_Toc1379820017" w:id="42"/>
      <w:bookmarkStart w:name="_Toc1438253519" w:id="43"/>
      <w:bookmarkStart w:name="_Toc1788087467" w:id="44"/>
      <w:bookmarkStart w:name="_Toc1110488393" w:id="45"/>
      <w:bookmarkStart w:name="_Toc903615530" w:id="46"/>
      <w:bookmarkStart w:name="_Toc1865839638" w:id="47"/>
      <w:bookmarkStart w:name="_Toc340291095" w:id="48"/>
      <w:bookmarkStart w:name="_Toc1959689340" w:id="49"/>
      <w:bookmarkStart w:name="_Toc147553190" w:id="50"/>
      <w:bookmarkStart w:name="_Toc2014391469" w:id="51"/>
      <w:bookmarkStart w:name="_Toc486636112" w:id="52"/>
      <w:bookmarkStart w:name="_Toc461098127" w:id="53"/>
      <w:bookmarkStart w:name="_Toc657234961" w:id="54"/>
      <w:bookmarkStart w:name="_Toc140085221" w:id="55"/>
      <w:bookmarkStart w:name="_Toc703646729" w:id="56"/>
      <w:bookmarkStart w:name="_Toc1068856024" w:id="57"/>
      <w:bookmarkStart w:name="_Toc210292951" w:id="58"/>
      <w:r>
        <w:t>Conceptos clave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rsidR="00D17F09" w:rsidP="00D17F09" w:rsidRDefault="00D17F09" w14:paraId="26A0A984" w14:textId="77777777"/>
    <w:p w:rsidR="00D17F09" w:rsidP="00D17F09" w:rsidRDefault="00D17F09" w14:paraId="2667AE93" w14:textId="77777777">
      <w:pPr>
        <w:spacing w:line="257" w:lineRule="auto"/>
        <w:jc w:val="both"/>
        <w:rPr>
          <w:rFonts w:ascii="Calibri" w:hAnsi="Calibri" w:eastAsia="Calibri" w:cs="Calibri"/>
        </w:rPr>
      </w:pPr>
      <w:r w:rsidRPr="17F8AA9B">
        <w:rPr>
          <w:rFonts w:ascii="Calibri" w:hAnsi="Calibri" w:eastAsia="Calibri" w:cs="Calibri"/>
          <w:b/>
          <w:bCs/>
        </w:rPr>
        <w:t>Aprovechamiento minero sustentable:</w:t>
      </w:r>
      <w:r w:rsidRPr="17F8AA9B">
        <w:rPr>
          <w:rFonts w:ascii="Calibri" w:hAnsi="Calibri" w:eastAsia="Calibri" w:cs="Calibri"/>
        </w:rPr>
        <w:t xml:space="preserve"> </w:t>
      </w:r>
      <w:r>
        <w:rPr>
          <w:rFonts w:ascii="Calibri" w:hAnsi="Calibri" w:eastAsia="Calibri" w:cs="Calibri"/>
        </w:rPr>
        <w:t>s</w:t>
      </w:r>
      <w:r w:rsidRPr="00F20960">
        <w:rPr>
          <w:rFonts w:ascii="Calibri" w:hAnsi="Calibri" w:eastAsia="Calibri" w:cs="Calibri"/>
        </w:rPr>
        <w:t xml:space="preserve">e refiere a la explotación de minerales </w:t>
      </w:r>
      <w:r w:rsidRPr="17F8AA9B">
        <w:rPr>
          <w:rFonts w:ascii="Calibri" w:hAnsi="Calibri" w:eastAsia="Calibri" w:cs="Calibri"/>
        </w:rPr>
        <w:t>al servicio de principios superiores como la protección de los derechos humanos, la soberanía alimentaria, y la preservación de los ecosistemas</w:t>
      </w:r>
      <w:r>
        <w:rPr>
          <w:rFonts w:ascii="Calibri" w:hAnsi="Calibri" w:eastAsia="Calibri" w:cs="Calibri"/>
        </w:rPr>
        <w:t>, así como</w:t>
      </w:r>
      <w:r w:rsidRPr="00F20960">
        <w:rPr>
          <w:rFonts w:ascii="Calibri" w:hAnsi="Calibri" w:eastAsia="Calibri" w:cs="Calibri"/>
        </w:rPr>
        <w:t xml:space="preserve"> la armonización con los instrumentos de ordenamiento ambiental y territorial, con una visión a largo plazo, considerando el agotamiento de los yacimientos</w:t>
      </w:r>
      <w:r>
        <w:rPr>
          <w:rFonts w:ascii="Calibri" w:hAnsi="Calibri" w:eastAsia="Calibri" w:cs="Calibri"/>
        </w:rPr>
        <w:t xml:space="preserve"> </w:t>
      </w:r>
      <w:r w:rsidRPr="17F8AA9B">
        <w:rPr>
          <w:rFonts w:ascii="Calibri" w:hAnsi="Calibri" w:eastAsia="Calibri" w:cs="Calibri"/>
        </w:rPr>
        <w:t>y sin afectar la resiliencia de los territorios ni las formas de vida de las comunidades</w:t>
      </w:r>
      <w:r w:rsidRPr="00F20960">
        <w:rPr>
          <w:rFonts w:ascii="Calibri" w:hAnsi="Calibri" w:eastAsia="Calibri" w:cs="Calibri"/>
        </w:rPr>
        <w:t>.</w:t>
      </w:r>
    </w:p>
    <w:p w:rsidR="00D17F09" w:rsidP="00D17F09" w:rsidRDefault="00D17F09" w14:paraId="72A0F286" w14:textId="77777777">
      <w:pPr>
        <w:jc w:val="both"/>
      </w:pPr>
      <w:r w:rsidRPr="769A4CE5">
        <w:rPr>
          <w:b/>
          <w:bCs/>
        </w:rPr>
        <w:t>Determinantes ambientales:</w:t>
      </w:r>
      <w:r>
        <w:t xml:space="preserve">  son normas y directrices de obligatorio cumplimiento, emitidas por las autoridades ambientales, que condicionan o restringen el uso del suelo y orientan el ordenamiento territorial para garantizar la gestión integral del medio ambiente, la prevención de riesgos, la adaptación al cambio climático y la protección de los recursos naturales. Estas pueden ser previas o posteriores al modelo de ocupación territorial y derivan de instrumentos de gestión ambiental.</w:t>
      </w:r>
    </w:p>
    <w:p w:rsidR="00D17F09" w:rsidP="00D17F09" w:rsidRDefault="00D17F09" w14:paraId="3EF3E421" w14:textId="77777777">
      <w:pPr>
        <w:spacing w:line="257" w:lineRule="auto"/>
        <w:jc w:val="both"/>
        <w:rPr>
          <w:rFonts w:ascii="Calibri" w:hAnsi="Calibri" w:eastAsia="Calibri" w:cs="Calibri"/>
        </w:rPr>
      </w:pPr>
      <w:r w:rsidRPr="75A2181E">
        <w:rPr>
          <w:rFonts w:ascii="Calibri" w:hAnsi="Calibri" w:eastAsia="Calibri" w:cs="Calibri"/>
          <w:b/>
          <w:bCs/>
        </w:rPr>
        <w:t>Fiscalización Minera:</w:t>
      </w:r>
      <w:r w:rsidRPr="75A2181E">
        <w:rPr>
          <w:rFonts w:ascii="Calibri" w:hAnsi="Calibri" w:eastAsia="Calibri" w:cs="Calibri"/>
        </w:rPr>
        <w:t xml:space="preserve"> se refiere al conjunto de acciones que realiza la autoridad minera para asegurar que las actividades </w:t>
      </w:r>
      <w:r>
        <w:rPr>
          <w:rFonts w:ascii="Calibri" w:hAnsi="Calibri" w:eastAsia="Calibri" w:cs="Calibri"/>
        </w:rPr>
        <w:t>mineras</w:t>
      </w:r>
      <w:r w:rsidRPr="75A2181E">
        <w:rPr>
          <w:rFonts w:ascii="Calibri" w:hAnsi="Calibri" w:eastAsia="Calibri" w:cs="Calibri"/>
        </w:rPr>
        <w:t xml:space="preserve"> cumplan con la</w:t>
      </w:r>
      <w:r>
        <w:rPr>
          <w:rFonts w:ascii="Calibri" w:hAnsi="Calibri" w:eastAsia="Calibri" w:cs="Calibri"/>
        </w:rPr>
        <w:t>s</w:t>
      </w:r>
      <w:r w:rsidRPr="75A2181E">
        <w:rPr>
          <w:rFonts w:ascii="Calibri" w:hAnsi="Calibri" w:eastAsia="Calibri" w:cs="Calibri"/>
        </w:rPr>
        <w:t xml:space="preserve"> normatividad</w:t>
      </w:r>
      <w:r>
        <w:rPr>
          <w:rFonts w:ascii="Calibri" w:hAnsi="Calibri" w:eastAsia="Calibri" w:cs="Calibri"/>
        </w:rPr>
        <w:t>es</w:t>
      </w:r>
      <w:r w:rsidRPr="75A2181E">
        <w:rPr>
          <w:rFonts w:ascii="Calibri" w:hAnsi="Calibri" w:eastAsia="Calibri" w:cs="Calibri"/>
        </w:rPr>
        <w:t xml:space="preserve"> técnica</w:t>
      </w:r>
      <w:r>
        <w:rPr>
          <w:rFonts w:ascii="Calibri" w:hAnsi="Calibri" w:eastAsia="Calibri" w:cs="Calibri"/>
        </w:rPr>
        <w:t>s</w:t>
      </w:r>
      <w:r w:rsidRPr="75A2181E">
        <w:rPr>
          <w:rFonts w:ascii="Calibri" w:hAnsi="Calibri" w:eastAsia="Calibri" w:cs="Calibri"/>
        </w:rPr>
        <w:t>, ambiental</w:t>
      </w:r>
      <w:r>
        <w:rPr>
          <w:rFonts w:ascii="Calibri" w:hAnsi="Calibri" w:eastAsia="Calibri" w:cs="Calibri"/>
        </w:rPr>
        <w:t>es</w:t>
      </w:r>
      <w:r w:rsidRPr="75A2181E">
        <w:rPr>
          <w:rFonts w:ascii="Calibri" w:hAnsi="Calibri" w:eastAsia="Calibri" w:cs="Calibri"/>
        </w:rPr>
        <w:t xml:space="preserve"> y contractual</w:t>
      </w:r>
      <w:r>
        <w:rPr>
          <w:rFonts w:ascii="Calibri" w:hAnsi="Calibri" w:eastAsia="Calibri" w:cs="Calibri"/>
        </w:rPr>
        <w:t>es</w:t>
      </w:r>
      <w:r w:rsidRPr="00124875">
        <w:rPr>
          <w:rFonts w:ascii="Calibri" w:hAnsi="Calibri" w:eastAsia="Calibri" w:cs="Calibri"/>
        </w:rPr>
        <w:t xml:space="preserve"> derivadas de los contratos, títulos mineros y demás figuras que por mandato legal permiten la exploración y explotación de recursos naturales no renovables, incluidas las etapas de desmantelamiento, taponamientos, abandono y en general de cierres de operaciones; igualmente incluye la determinación y verificación efectiva de los volúmenes de producción, la aplicación de buenas prácticas de exploración, explotación y producción, el cumplimiento de las normas de seguridad en labores mineras, la verificación y el recaudo de regalías y compensaciones, como base fundamental para el funcionamiento del Sistema General de Regalías. </w:t>
      </w:r>
    </w:p>
    <w:p w:rsidR="00D17F09" w:rsidP="09C2734D" w:rsidRDefault="00D17F09" w14:paraId="2D839C75" w14:textId="126D19C4">
      <w:pPr>
        <w:spacing w:line="257" w:lineRule="auto"/>
        <w:jc w:val="both"/>
        <w:rPr>
          <w:rFonts w:ascii="Calibri" w:hAnsi="Calibri" w:eastAsia="Calibri" w:cs="Calibri"/>
          <w:highlight w:val="yellow"/>
        </w:rPr>
      </w:pPr>
      <w:r w:rsidRPr="09C2734D">
        <w:rPr>
          <w:rFonts w:ascii="Calibri" w:hAnsi="Calibri" w:eastAsia="Calibri" w:cs="Calibri"/>
          <w:b/>
          <w:bCs/>
        </w:rPr>
        <w:t>Formalización Minera:</w:t>
      </w:r>
      <w:r w:rsidRPr="09C2734D">
        <w:rPr>
          <w:rFonts w:ascii="Calibri" w:hAnsi="Calibri" w:eastAsia="Calibri" w:cs="Calibri"/>
        </w:rPr>
        <w:t xml:space="preserve"> apuesta de gobierno encaminada a conseguir que los mineros de pequeña escala logren la formalidad de sus operaciones a través del acompañamiento a las unidades de producción de pequeña minería en la evaluación de los diferentes mecanismos que establece la normatividad actual, para que tengan la posibilidad de trabajar bajo el amparo de un título minero, lo cual busca igualmente fomentar el adecuado aprovechamiento minero, con plena observancia de sus deberes ambientales y legales. </w:t>
      </w:r>
    </w:p>
    <w:p w:rsidR="00D17F09" w:rsidP="00D17F09" w:rsidRDefault="256C1835" w14:paraId="3FF7F13F" w14:textId="77777777">
      <w:pPr>
        <w:spacing w:line="257" w:lineRule="auto"/>
        <w:jc w:val="both"/>
        <w:rPr>
          <w:rFonts w:ascii="Calibri" w:hAnsi="Calibri" w:eastAsia="Calibri" w:cs="Calibri"/>
        </w:rPr>
      </w:pPr>
      <w:r w:rsidRPr="75A2181E">
        <w:rPr>
          <w:rFonts w:ascii="Calibri" w:hAnsi="Calibri" w:eastAsia="Calibri" w:cs="Calibri"/>
          <w:b/>
          <w:bCs/>
        </w:rPr>
        <w:t>Minerales estratégicos:</w:t>
      </w:r>
      <w:r w:rsidRPr="75A2181E">
        <w:rPr>
          <w:rFonts w:ascii="Calibri" w:hAnsi="Calibri" w:eastAsia="Calibri" w:cs="Calibri"/>
        </w:rPr>
        <w:t xml:space="preserve"> son aquellos considerados de mayor importancia para garantizar el abastecimiento de la demanda interna de minerales, asociado al desarrollo de industria necesaria para el avance de la transición energética justa, reindustrialización de la economía, desarrollo agrícola e infraestructura pública y fortalecimiento de cadenas productivas para la explotación de minerales estratégicos en el país, asociados a la atención de las diferentes necesidades de los colombianos y el fortalecimiento económico y social de las regiones y del país en general.</w:t>
      </w:r>
      <w:r w:rsidRPr="75A2181E" w:rsidR="00D17F09">
        <w:rPr>
          <w:rFonts w:ascii="Calibri" w:hAnsi="Calibri" w:eastAsia="Calibri" w:cs="Calibri"/>
          <w:vertAlign w:val="superscript"/>
        </w:rPr>
        <w:footnoteReference w:id="2"/>
      </w:r>
    </w:p>
    <w:p w:rsidR="00D17F09" w:rsidP="00D17F09" w:rsidRDefault="00D17F09" w14:paraId="6DC49B47" w14:textId="77777777">
      <w:pPr>
        <w:spacing w:line="257" w:lineRule="auto"/>
        <w:jc w:val="both"/>
        <w:rPr>
          <w:rFonts w:ascii="Calibri" w:hAnsi="Calibri" w:eastAsia="Calibri" w:cs="Calibri"/>
          <w:vertAlign w:val="superscript"/>
        </w:rPr>
      </w:pPr>
      <w:r w:rsidRPr="75A2181E">
        <w:rPr>
          <w:rFonts w:ascii="Calibri" w:hAnsi="Calibri" w:eastAsia="Calibri" w:cs="Calibri"/>
          <w:b/>
          <w:bCs/>
        </w:rPr>
        <w:t>Minería para la vida:</w:t>
      </w:r>
      <w:r w:rsidRPr="75A2181E">
        <w:rPr>
          <w:rFonts w:ascii="Calibri" w:hAnsi="Calibri" w:eastAsia="Calibri" w:cs="Calibri"/>
        </w:rPr>
        <w:t xml:space="preserve"> es la gran apuesta del Gobierno Nacional por modernizar el sector minero y construir una minería en Colombia en condiciones de dignidad, sostenibilidad y sustentabilidad económica.</w:t>
      </w:r>
      <w:r>
        <w:rPr>
          <w:rFonts w:ascii="Calibri" w:hAnsi="Calibri" w:eastAsia="Calibri" w:cs="Calibri"/>
        </w:rPr>
        <w:t xml:space="preserve"> </w:t>
      </w:r>
      <w:r w:rsidRPr="769A4CE5">
        <w:rPr>
          <w:rFonts w:ascii="Calibri" w:hAnsi="Calibri" w:eastAsia="Calibri" w:cs="Calibri"/>
        </w:rPr>
        <w:t>Sus tres propósitos principales son:</w:t>
      </w:r>
    </w:p>
    <w:p w:rsidRPr="00165131" w:rsidR="00165131" w:rsidP="001C54B2" w:rsidRDefault="00D17F09" w14:paraId="37B63BC9" w14:textId="6520599F">
      <w:pPr>
        <w:pStyle w:val="ListParagraph"/>
        <w:numPr>
          <w:ilvl w:val="0"/>
          <w:numId w:val="44"/>
        </w:numPr>
        <w:spacing w:after="0" w:line="257" w:lineRule="auto"/>
        <w:jc w:val="both"/>
        <w:rPr>
          <w:rFonts w:ascii="Calibri" w:hAnsi="Calibri" w:eastAsia="Calibri" w:cs="Calibri"/>
        </w:rPr>
      </w:pPr>
      <w:r w:rsidRPr="00165131">
        <w:rPr>
          <w:rFonts w:ascii="Calibri" w:hAnsi="Calibri" w:eastAsia="Calibri" w:cs="Calibri"/>
        </w:rPr>
        <w:t>Lograr que la minería sea la base para industrializar el país de manera efectiva desde las economías locales.</w:t>
      </w:r>
    </w:p>
    <w:p w:rsidRPr="00165131" w:rsidR="00165131" w:rsidP="001C54B2" w:rsidRDefault="00D17F09" w14:paraId="5DF820F6" w14:textId="77777777">
      <w:pPr>
        <w:pStyle w:val="ListParagraph"/>
        <w:numPr>
          <w:ilvl w:val="0"/>
          <w:numId w:val="44"/>
        </w:numPr>
        <w:spacing w:line="257" w:lineRule="auto"/>
        <w:jc w:val="both"/>
        <w:rPr>
          <w:rFonts w:ascii="Calibri" w:hAnsi="Calibri" w:eastAsia="Calibri" w:cs="Calibri"/>
          <w:vertAlign w:val="superscript"/>
        </w:rPr>
      </w:pPr>
      <w:r w:rsidRPr="00165131">
        <w:rPr>
          <w:rFonts w:ascii="Calibri" w:hAnsi="Calibri" w:eastAsia="Calibri" w:cs="Calibri"/>
        </w:rPr>
        <w:t>Producir las condiciones indispensables para una transición energética justa.</w:t>
      </w:r>
    </w:p>
    <w:p w:rsidRPr="00165131" w:rsidR="00D17F09" w:rsidP="001C54B2" w:rsidRDefault="7888B905" w14:paraId="2F549887" w14:textId="17700ED1">
      <w:pPr>
        <w:pStyle w:val="ListParagraph"/>
        <w:numPr>
          <w:ilvl w:val="0"/>
          <w:numId w:val="44"/>
        </w:numPr>
        <w:spacing w:line="257" w:lineRule="auto"/>
        <w:jc w:val="both"/>
        <w:rPr>
          <w:rFonts w:ascii="Calibri" w:hAnsi="Calibri" w:eastAsia="Calibri" w:cs="Calibri"/>
          <w:vertAlign w:val="superscript"/>
        </w:rPr>
      </w:pPr>
      <w:r w:rsidRPr="34D1E0F9">
        <w:rPr>
          <w:rFonts w:ascii="Calibri" w:hAnsi="Calibri" w:eastAsia="Calibri" w:cs="Calibri"/>
        </w:rPr>
        <w:t>G</w:t>
      </w:r>
      <w:r w:rsidRPr="34D1E0F9" w:rsidR="00D17F09">
        <w:rPr>
          <w:rFonts w:ascii="Calibri" w:hAnsi="Calibri" w:eastAsia="Calibri" w:cs="Calibri"/>
        </w:rPr>
        <w:t>enerar condiciones para la protección de derechos de todos los actores involucrados en la actividad minera.</w:t>
      </w:r>
    </w:p>
    <w:p w:rsidRPr="00D17F09" w:rsidR="00D17F09" w:rsidP="00D17F09" w:rsidRDefault="00D17F09" w14:paraId="0E31548F" w14:textId="77777777">
      <w:pPr>
        <w:pStyle w:val="ListParagraph"/>
        <w:spacing w:after="0" w:line="257" w:lineRule="auto"/>
        <w:jc w:val="both"/>
        <w:rPr>
          <w:rFonts w:ascii="Calibri" w:hAnsi="Calibri" w:eastAsia="Calibri" w:cs="Calibri"/>
        </w:rPr>
      </w:pPr>
    </w:p>
    <w:p w:rsidR="00D17F09" w:rsidP="00D17F09" w:rsidRDefault="00D17F09" w14:paraId="58523B2C" w14:textId="77777777">
      <w:pPr>
        <w:spacing w:line="257" w:lineRule="auto"/>
        <w:jc w:val="both"/>
        <w:rPr>
          <w:rFonts w:ascii="Calibri" w:hAnsi="Calibri" w:eastAsia="Calibri" w:cs="Calibri"/>
        </w:rPr>
      </w:pPr>
      <w:r w:rsidRPr="75A2181E">
        <w:rPr>
          <w:rFonts w:ascii="Calibri" w:hAnsi="Calibri" w:eastAsia="Calibri" w:cs="Calibri"/>
          <w:b/>
          <w:bCs/>
        </w:rPr>
        <w:t>Ordenamiento del territorio alrededor del agua:</w:t>
      </w:r>
      <w:r w:rsidRPr="75A2181E">
        <w:rPr>
          <w:rFonts w:ascii="Calibri" w:hAnsi="Calibri" w:eastAsia="Calibri" w:cs="Calibri"/>
        </w:rPr>
        <w:t xml:space="preserve"> según el </w:t>
      </w:r>
      <w:r w:rsidRPr="75A2181E">
        <w:rPr>
          <w:rFonts w:ascii="Calibri" w:hAnsi="Calibri" w:eastAsia="Calibri" w:cs="Calibri"/>
          <w:i/>
          <w:iCs/>
        </w:rPr>
        <w:t xml:space="preserve">Plan Nacional de Desarrollo 2022–2026: Colombia, Potencia Mundial de la Vida, </w:t>
      </w:r>
      <w:r w:rsidRPr="75A2181E">
        <w:rPr>
          <w:rFonts w:ascii="Calibri" w:hAnsi="Calibri" w:eastAsia="Calibri" w:cs="Calibri"/>
        </w:rPr>
        <w:t>es un enfoque que busca reorganizar el uso del territorio y las dinámicas sociales, económicas y ecológicas poniendo el agua como eje estructurante. Esto significa que las decisiones sobre desarrollo, infraestructura, vivienda, producción y conservación deben tener como base la protección de las fuentes hídricas, los ciclos del agua y los ecosistemas acuáticos.</w:t>
      </w:r>
    </w:p>
    <w:p w:rsidR="00D17F09" w:rsidP="00D17F09" w:rsidRDefault="00D17F09" w14:paraId="176C93A6" w14:textId="77777777">
      <w:pPr>
        <w:spacing w:line="257" w:lineRule="auto"/>
        <w:jc w:val="both"/>
        <w:rPr>
          <w:rFonts w:ascii="Calibri" w:hAnsi="Calibri" w:eastAsia="Calibri" w:cs="Calibri"/>
        </w:rPr>
      </w:pPr>
      <w:r w:rsidRPr="75A2181E">
        <w:rPr>
          <w:rFonts w:ascii="Calibri" w:hAnsi="Calibri" w:eastAsia="Calibri" w:cs="Calibri"/>
        </w:rPr>
        <w:t>El objetivo es transitar de un modelo que prioriza el aprovechamiento del territorio sin considerar los límites ecológicos, a uno que garantice el derecho al agua, la gestión integrada del recurso hídrico y la adaptación al cambio climático. Esta visión también se articula con el reconocimiento de los saberes ancestrales, la justicia ambiental y la participación comunitaria en la gestión del territorio.</w:t>
      </w:r>
    </w:p>
    <w:p w:rsidR="00D17F09" w:rsidP="00D17F09" w:rsidRDefault="00D17F09" w14:paraId="65B4D97A" w14:textId="77777777">
      <w:pPr>
        <w:spacing w:line="257" w:lineRule="auto"/>
        <w:jc w:val="both"/>
        <w:rPr>
          <w:rFonts w:ascii="Calibri" w:hAnsi="Calibri" w:eastAsia="Calibri" w:cs="Calibri"/>
        </w:rPr>
      </w:pPr>
      <w:r w:rsidRPr="75A2181E">
        <w:rPr>
          <w:rFonts w:ascii="Calibri" w:hAnsi="Calibri" w:eastAsia="Calibri" w:cs="Calibri"/>
          <w:b/>
          <w:bCs/>
        </w:rPr>
        <w:t>Participación social efectiva:</w:t>
      </w:r>
      <w:r w:rsidRPr="75A2181E">
        <w:rPr>
          <w:rFonts w:ascii="Calibri" w:hAnsi="Calibri" w:eastAsia="Calibri" w:cs="Calibri"/>
        </w:rPr>
        <w:t xml:space="preserve"> es el involucramiento real, incidente y continuo de las comunidades, organizaciones sociales y demás actores del territorio en los procesos de toma de decisiones. Se fundamenta en el reconocimiento de los saberes locales, el diálogo intercultural y la corresponsabilidad, permitiendo que las poblaciones afectadas o interesadas incidan de manera sustantiva en la formulación, implementación, seguimiento y evaluación de las políticas.</w:t>
      </w:r>
    </w:p>
    <w:p w:rsidR="00D17F09" w:rsidP="00D17F09" w:rsidRDefault="00D17F09" w14:paraId="604D5041" w14:textId="77777777">
      <w:pPr>
        <w:spacing w:line="257" w:lineRule="auto"/>
        <w:jc w:val="both"/>
        <w:rPr>
          <w:rFonts w:ascii="Calibri" w:hAnsi="Calibri" w:eastAsia="Calibri" w:cs="Calibri"/>
        </w:rPr>
      </w:pPr>
      <w:r w:rsidRPr="75A2181E">
        <w:rPr>
          <w:rFonts w:ascii="Calibri" w:hAnsi="Calibri" w:eastAsia="Calibri" w:cs="Calibri"/>
          <w:b/>
          <w:bCs/>
        </w:rPr>
        <w:t>Reindustrialización:</w:t>
      </w:r>
      <w:r w:rsidRPr="75A2181E">
        <w:rPr>
          <w:rFonts w:ascii="Calibri" w:hAnsi="Calibri" w:eastAsia="Calibri" w:cs="Calibri"/>
        </w:rPr>
        <w:t xml:space="preserve"> la reindustrialización en el sector minero implica aprovechar los minerales estratégicos no solo para la exportación, sino para impulsar cadenas de valor nacionales que fortalezcan la industria, la innovación tecnológica y la transición energética. Esto significa usar los recursos mineros como base para desarrollar capacidades productivas internas, generar empleo de calidad, reducir la dependencia de bienes importados y contribuir a una economía más diversificada, soberana y sostenible.</w:t>
      </w:r>
    </w:p>
    <w:p w:rsidR="00D17F09" w:rsidP="00D17F09" w:rsidRDefault="00D17F09" w14:paraId="31C24DCD" w14:textId="77777777">
      <w:pPr>
        <w:spacing w:line="257" w:lineRule="auto"/>
        <w:jc w:val="both"/>
        <w:rPr>
          <w:rFonts w:ascii="Calibri" w:hAnsi="Calibri" w:eastAsia="Calibri" w:cs="Calibri"/>
        </w:rPr>
      </w:pPr>
      <w:r w:rsidRPr="09C2734D">
        <w:rPr>
          <w:rFonts w:ascii="Calibri" w:hAnsi="Calibri" w:eastAsia="Calibri" w:cs="Calibri"/>
          <w:b/>
          <w:bCs/>
        </w:rPr>
        <w:t>Transición Energética justa:</w:t>
      </w:r>
      <w:r w:rsidRPr="09C2734D">
        <w:rPr>
          <w:rFonts w:ascii="Calibri" w:hAnsi="Calibri" w:eastAsia="Calibri" w:cs="Calibri"/>
        </w:rPr>
        <w:t xml:space="preserve"> según el Plan Nacional de Desarrollo 2022–2026, la transición energética justa es el proceso de transformación del sistema energético del país hacia fuentes limpias, seguras y sostenibles, garantizando la equidad social, la participación de los territorios y la protección del ambiente. Busca no solo reemplazar los combustibles fósiles por energías renovables, sino también reducir desigualdades energéticas, respetar los derechos de las comunidades y su participación en las decisiones e impulsar el empleo local y el desarrollo productivo, especialmente en regiones dependientes de la extracción. En resumen, es una transición que pone en el centro la justicia social, ambiental y territorial.</w:t>
      </w:r>
    </w:p>
    <w:p w:rsidR="09C2734D" w:rsidP="09C2734D" w:rsidRDefault="09C2734D" w14:paraId="128BEBC2" w14:textId="54184128">
      <w:pPr>
        <w:spacing w:line="257" w:lineRule="auto"/>
        <w:jc w:val="both"/>
        <w:rPr>
          <w:rFonts w:ascii="Calibri" w:hAnsi="Calibri" w:eastAsia="Calibri" w:cs="Calibri"/>
        </w:rPr>
      </w:pPr>
    </w:p>
    <w:p w:rsidR="447BFE1C" w:rsidP="269C2EA1" w:rsidRDefault="41647259" w14:paraId="0FAE0BF2" w14:textId="0729C679">
      <w:pPr>
        <w:pStyle w:val="Heading1"/>
      </w:pPr>
      <w:bookmarkStart w:name="_Toc1405195170" w:id="59"/>
      <w:bookmarkStart w:name="_Toc885783591" w:id="60"/>
      <w:bookmarkStart w:name="_Toc1995298828" w:id="61"/>
      <w:bookmarkStart w:name="_Toc192795300" w:id="62"/>
      <w:bookmarkStart w:name="_Toc477815709" w:id="63"/>
      <w:bookmarkStart w:name="_Toc293162956" w:id="64"/>
      <w:bookmarkStart w:name="_Toc812018436" w:id="65"/>
      <w:bookmarkStart w:name="_Toc861726439" w:id="66"/>
      <w:bookmarkStart w:name="_Toc1850270725" w:id="67"/>
      <w:bookmarkStart w:name="_Toc82909649" w:id="68"/>
      <w:bookmarkStart w:name="_Toc231980598" w:id="69"/>
      <w:bookmarkStart w:name="_Toc1015035152" w:id="70"/>
      <w:bookmarkStart w:name="_Toc171527944" w:id="71"/>
      <w:bookmarkStart w:name="_Toc428692066" w:id="72"/>
      <w:bookmarkStart w:name="_Toc1429834479" w:id="73"/>
      <w:bookmarkStart w:name="_Toc1268686166" w:id="74"/>
      <w:bookmarkStart w:name="_Toc600936778" w:id="75"/>
      <w:bookmarkStart w:name="_Toc371383605" w:id="76"/>
      <w:bookmarkStart w:name="_Toc756145548" w:id="77"/>
      <w:bookmarkStart w:name="_Toc1516107465" w:id="78"/>
      <w:bookmarkStart w:name="_Toc58999476" w:id="79"/>
      <w:bookmarkStart w:name="_Toc162320292" w:id="80"/>
      <w:bookmarkStart w:name="_Toc1080670135" w:id="81"/>
      <w:bookmarkStart w:name="_Toc244009605" w:id="82"/>
      <w:bookmarkStart w:name="_Toc464115400" w:id="83"/>
      <w:bookmarkStart w:name="_Toc116969974" w:id="84"/>
      <w:bookmarkStart w:name="_Toc210292952" w:id="85"/>
      <w:bookmarkStart w:name="_Hlk162537146" w:id="86"/>
      <w:bookmarkEnd w:id="2"/>
      <w:bookmarkEnd w:id="3"/>
      <w:r>
        <w:t>Introducción</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r>
        <w:t xml:space="preserve"> </w:t>
      </w:r>
    </w:p>
    <w:p w:rsidR="00BD6F2F" w:rsidP="00B234F0" w:rsidRDefault="00BD6F2F" w14:paraId="07326221" w14:textId="77777777">
      <w:pPr>
        <w:jc w:val="both"/>
      </w:pPr>
    </w:p>
    <w:p w:rsidRPr="00B234F0" w:rsidR="00B234F0" w:rsidP="00B234F0" w:rsidRDefault="298FDEDF" w14:paraId="3A4E0A48" w14:textId="6C79F206">
      <w:pPr>
        <w:jc w:val="both"/>
      </w:pPr>
      <w:r w:rsidRPr="6CF7E57B">
        <w:rPr>
          <w:rFonts w:ascii="Calibri" w:hAnsi="Calibri" w:eastAsia="Calibri" w:cs="Calibri"/>
        </w:rPr>
        <w:t>Colombia se encuentra en un momento histórico de redefinición de su futuro, un punto de inflexión donde los paradigmas del pasado dan paso a una nueva visión de desarrollo</w:t>
      </w:r>
      <w:r w:rsidRPr="6CF7E57B" w:rsidR="02A991A0">
        <w:rPr>
          <w:rFonts w:ascii="Calibri" w:hAnsi="Calibri" w:eastAsia="Calibri" w:cs="Calibri"/>
        </w:rPr>
        <w:t>. De cara a ello, e</w:t>
      </w:r>
      <w:r w:rsidR="283A8464">
        <w:t xml:space="preserve">l Plan Nacional de Desarrollo (PND) </w:t>
      </w:r>
      <w:r w:rsidRPr="50847D6A" w:rsidR="283A8464">
        <w:rPr>
          <w:lang w:val="es-ES"/>
        </w:rPr>
        <w:t>2022 – 2026 “</w:t>
      </w:r>
      <w:r w:rsidRPr="3845A57C" w:rsidR="283A8464">
        <w:rPr>
          <w:i/>
          <w:iCs/>
          <w:lang w:val="es-ES"/>
        </w:rPr>
        <w:t>Colombia Potencia Mundial de la Vid</w:t>
      </w:r>
      <w:r w:rsidRPr="50847D6A" w:rsidR="283A8464">
        <w:rPr>
          <w:lang w:val="es-ES"/>
        </w:rPr>
        <w:t>a”</w:t>
      </w:r>
      <w:r w:rsidRPr="50847D6A" w:rsidR="00B234F0">
        <w:rPr>
          <w:vertAlign w:val="superscript"/>
        </w:rPr>
        <w:footnoteReference w:id="3"/>
      </w:r>
      <w:r w:rsidR="283A8464">
        <w:t xml:space="preserve"> </w:t>
      </w:r>
      <w:r w:rsidR="1EF6D668">
        <w:rPr>
          <w:lang w:val="es-ES"/>
        </w:rPr>
        <w:t>plantea</w:t>
      </w:r>
      <w:r w:rsidRPr="50847D6A" w:rsidR="283A8464">
        <w:rPr>
          <w:lang w:val="es-ES"/>
        </w:rPr>
        <w:t xml:space="preserve"> la necesidad de </w:t>
      </w:r>
      <w:r w:rsidR="283A8464">
        <w:t xml:space="preserve">reorientar </w:t>
      </w:r>
      <w:r w:rsidR="41D79B06">
        <w:t>el</w:t>
      </w:r>
      <w:r w:rsidR="12876697">
        <w:t xml:space="preserve"> modelo de desarrollo del país, </w:t>
      </w:r>
      <w:r w:rsidR="03B6F74D">
        <w:t xml:space="preserve">a partir de la transformación de </w:t>
      </w:r>
      <w:r w:rsidR="1A896BF5">
        <w:t xml:space="preserve">diversos </w:t>
      </w:r>
      <w:r w:rsidR="03B6F74D">
        <w:t>sectores</w:t>
      </w:r>
      <w:r w:rsidR="1A896BF5">
        <w:t xml:space="preserve"> económicos</w:t>
      </w:r>
      <w:r>
        <w:t xml:space="preserve"> y de los territorios</w:t>
      </w:r>
      <w:r w:rsidR="283A8464">
        <w:t xml:space="preserve">. Para </w:t>
      </w:r>
      <w:r w:rsidR="5CC603E2">
        <w:t>esto</w:t>
      </w:r>
      <w:r w:rsidR="283A8464">
        <w:t xml:space="preserve">, propone </w:t>
      </w:r>
      <w:r w:rsidR="2FE3D141">
        <w:t xml:space="preserve">avanzar hacia un modelo basado en el ordenamiento </w:t>
      </w:r>
      <w:r w:rsidR="283A8464">
        <w:t xml:space="preserve">alrededor del agua, la transformación de estructuras productivas, la sostenibilidad desde la equidad y la inclusión, sumado a la construcción de resiliencia para afrontar los retos del cambio climático. En </w:t>
      </w:r>
      <w:r w:rsidR="5DA2DCEC">
        <w:t>este marco</w:t>
      </w:r>
      <w:r w:rsidR="283A8464">
        <w:t xml:space="preserve">, el PND </w:t>
      </w:r>
      <w:r w:rsidR="2261D0AF">
        <w:t>reconoce la necesidad de</w:t>
      </w:r>
      <w:r w:rsidR="283A8464">
        <w:t xml:space="preserve"> transitar progresivamente de un modelo extractivista hacia una economía productiva</w:t>
      </w:r>
      <w:r w:rsidR="12AF5D89">
        <w:t xml:space="preserve"> y sostenible</w:t>
      </w:r>
      <w:r w:rsidR="283A8464">
        <w:t xml:space="preserve">, </w:t>
      </w:r>
      <w:r w:rsidDel="00493A63">
        <w:t>basada en una</w:t>
      </w:r>
      <w:r w:rsidR="283A8464">
        <w:t xml:space="preserve"> minería </w:t>
      </w:r>
      <w:r w:rsidDel="00493A63">
        <w:t>con propósito, que pueda atender</w:t>
      </w:r>
      <w:r w:rsidR="283A8464">
        <w:t xml:space="preserve"> las necesidades del país. Para ello se busca que los Recursos Naturales No Renovables (RNNR) permitan crear cadenas productivas</w:t>
      </w:r>
      <w:r w:rsidR="4E1DA33B">
        <w:t>,</w:t>
      </w:r>
      <w:r w:rsidR="283A8464">
        <w:t xml:space="preserve"> generar empleo</w:t>
      </w:r>
      <w:r w:rsidR="35775156">
        <w:t>,</w:t>
      </w:r>
      <w:r w:rsidR="283A8464">
        <w:t xml:space="preserve"> ingresos para las familias</w:t>
      </w:r>
      <w:r w:rsidR="4AEC95FD">
        <w:t xml:space="preserve"> y</w:t>
      </w:r>
      <w:r w:rsidR="283A8464">
        <w:t xml:space="preserve"> recursos económicos para el Estado, que cubran el gasto social, y generen ingresos internacionales mediante la exportación de bienes semifinales o finales al mercado internacional. </w:t>
      </w:r>
    </w:p>
    <w:p w:rsidR="00060036" w:rsidP="00B234F0" w:rsidRDefault="2108005D" w14:paraId="686EE271" w14:textId="23C33BE3" w14:noSpellErr="1">
      <w:pPr>
        <w:jc w:val="both"/>
      </w:pPr>
      <w:r w:rsidRPr="00060036" w:rsidR="2108005D">
        <w:rPr/>
        <w:t xml:space="preserve">Este proceso de </w:t>
      </w:r>
      <w:r w:rsidRPr="00060036" w:rsidR="0993F45A">
        <w:rPr/>
        <w:t>actualización</w:t>
      </w:r>
      <w:r w:rsidRPr="00060036" w:rsidR="2108005D">
        <w:rPr/>
        <w:t xml:space="preserve"> de la Política Pública Minera (PPM), </w:t>
      </w:r>
      <w:r w:rsidRPr="00060036" w:rsidR="391D9E6E">
        <w:rPr/>
        <w:t>orientado a responder</w:t>
      </w:r>
      <w:r w:rsidRPr="00060036" w:rsidR="2108005D">
        <w:rPr/>
        <w:t xml:space="preserve"> a las necesidades de</w:t>
      </w:r>
      <w:r w:rsidRPr="00060036" w:rsidR="4B3756F1">
        <w:rPr/>
        <w:t>l</w:t>
      </w:r>
      <w:r w:rsidRPr="00060036" w:rsidR="2108005D">
        <w:rPr/>
        <w:t xml:space="preserve"> país, debe igualmente atender </w:t>
      </w:r>
      <w:r w:rsidRPr="00060036" w:rsidR="4526004A">
        <w:rPr/>
        <w:t>el</w:t>
      </w:r>
      <w:r w:rsidRPr="00060036" w:rsidR="2108005D">
        <w:rPr/>
        <w:t xml:space="preserve"> pronunciamiento del Consejo de </w:t>
      </w:r>
      <w:r w:rsidRPr="00060036" w:rsidR="5DA3E3D4">
        <w:rPr/>
        <w:t>Estado del</w:t>
      </w:r>
      <w:r w:rsidRPr="00060036" w:rsidR="2108005D">
        <w:rPr/>
        <w:t xml:space="preserve"> 4 de agosto de 2022</w:t>
      </w:r>
      <w:r w:rsidRPr="75A2181E" w:rsidR="00060036">
        <w:rPr>
          <w:vertAlign w:val="superscript"/>
        </w:rPr>
        <w:footnoteReference w:id="4"/>
      </w:r>
      <w:r w:rsidR="2108005D">
        <w:rPr/>
        <w:t xml:space="preserve">,</w:t>
      </w:r>
      <w:r w:rsidRPr="00060036" w:rsidR="2108005D">
        <w:rPr/>
        <w:t xml:space="preserve"> sentencia conocida como ‘</w:t>
      </w:r>
      <w:r w:rsidRPr="0108C3FA" w:rsidR="2108005D">
        <w:rPr>
          <w:i w:val="1"/>
          <w:iCs w:val="1"/>
        </w:rPr>
        <w:t>Ventanilla Minera’</w:t>
      </w:r>
      <w:r w:rsidRPr="0108C3FA" w:rsidR="41A7F979">
        <w:rPr>
          <w:i w:val="1"/>
          <w:iCs w:val="1"/>
        </w:rPr>
        <w:t>.</w:t>
      </w:r>
      <w:r w:rsidRPr="0108C3FA" w:rsidR="547A0228">
        <w:rPr>
          <w:i w:val="1"/>
          <w:iCs w:val="1"/>
        </w:rPr>
        <w:t xml:space="preserve"> </w:t>
      </w:r>
      <w:r w:rsidR="4DEB32E5">
        <w:rPr/>
        <w:t>Dicha decisión de</w:t>
      </w:r>
      <w:r w:rsidR="2108005D">
        <w:rPr/>
        <w:t>riv</w:t>
      </w:r>
      <w:r w:rsidRPr="00B234F0" w:rsidR="2108005D">
        <w:rPr/>
        <w:t>ada</w:t>
      </w:r>
      <w:r w:rsidRPr="00B234F0" w:rsidDel="000C2916" w:rsidR="2108005D">
        <w:rPr/>
        <w:t xml:space="preserve"> de un proceso de acción popular</w:t>
      </w:r>
      <w:r w:rsidRPr="00060036" w:rsidR="2108005D">
        <w:rPr/>
        <w:t xml:space="preserve"> </w:t>
      </w:r>
      <w:r w:rsidRPr="00060036" w:rsidR="11204DD0">
        <w:rPr/>
        <w:t>en la que</w:t>
      </w:r>
      <w:r w:rsidRPr="00060036" w:rsidR="2108005D">
        <w:rPr/>
        <w:t xml:space="preserve"> se analizó la recepción y evaluación electrónica de solicitudes de titulación minera a través del Catastro Minero,</w:t>
      </w:r>
      <w:r w:rsidRPr="00060036" w:rsidR="504C5DB7">
        <w:rPr/>
        <w:t xml:space="preserve"> así como</w:t>
      </w:r>
      <w:r w:rsidRPr="00060036" w:rsidR="2108005D">
        <w:rPr/>
        <w:t xml:space="preserve"> la necesidad de </w:t>
      </w:r>
      <w:r w:rsidRPr="00060036" w:rsidR="567C4C5C">
        <w:rPr/>
        <w:t>fortalecer</w:t>
      </w:r>
      <w:r w:rsidRPr="00060036" w:rsidR="2108005D">
        <w:rPr/>
        <w:t xml:space="preserve"> el rol del Estado como garante de derechos para el desarrollo de una minería sostenible y el cumplimiento de los demás mandatos que le impone el ordenamiento nacional e internacional</w:t>
      </w:r>
      <w:r w:rsidRPr="00B234F0" w:rsidR="00060036">
        <w:rPr>
          <w:vertAlign w:val="superscript"/>
        </w:rPr>
        <w:footnoteReference w:id="5"/>
      </w:r>
      <w:r w:rsidRPr="00060036" w:rsidR="2108005D">
        <w:rPr/>
        <w:t>.</w:t>
      </w:r>
    </w:p>
    <w:p w:rsidRPr="00B234F0" w:rsidR="00B234F0" w:rsidP="00B234F0" w:rsidRDefault="3D4F6146" w14:paraId="25F3FE22" w14:textId="2651FD8E">
      <w:pPr>
        <w:jc w:val="both"/>
      </w:pPr>
      <w:r>
        <w:t xml:space="preserve">Bajo esa premisa, se </w:t>
      </w:r>
      <w:r w:rsidR="119F548A">
        <w:t xml:space="preserve">ordenó la actualización de la </w:t>
      </w:r>
      <w:r w:rsidR="02E1C1A5">
        <w:t>P</w:t>
      </w:r>
      <w:r w:rsidR="119F548A">
        <w:t xml:space="preserve">olítica </w:t>
      </w:r>
      <w:r w:rsidR="2DC88C95">
        <w:t>M</w:t>
      </w:r>
      <w:r w:rsidR="119F548A">
        <w:t xml:space="preserve">inera </w:t>
      </w:r>
      <w:r w:rsidR="366B10F6">
        <w:t>N</w:t>
      </w:r>
      <w:r w:rsidR="119F548A">
        <w:t xml:space="preserve">acional para </w:t>
      </w:r>
      <w:r w:rsidR="1FC4BFD8">
        <w:t>atender</w:t>
      </w:r>
      <w:r w:rsidR="119F548A">
        <w:t xml:space="preserve"> principalmente los problemas relacionados con: </w:t>
      </w:r>
      <w:r w:rsidRPr="3845A57C" w:rsidR="119F548A">
        <w:rPr>
          <w:i/>
          <w:iCs/>
        </w:rPr>
        <w:t>“(i) el insuficiente ordenamiento territorial minero-ambiental; (</w:t>
      </w:r>
      <w:proofErr w:type="spellStart"/>
      <w:r w:rsidRPr="3845A57C" w:rsidR="119F548A">
        <w:rPr>
          <w:i/>
          <w:iCs/>
        </w:rPr>
        <w:t>ii</w:t>
      </w:r>
      <w:proofErr w:type="spellEnd"/>
      <w:r w:rsidRPr="3845A57C" w:rsidR="119F548A">
        <w:rPr>
          <w:i/>
          <w:iCs/>
        </w:rPr>
        <w:t>) la desarticulación institucional, y (</w:t>
      </w:r>
      <w:proofErr w:type="spellStart"/>
      <w:r w:rsidRPr="3845A57C" w:rsidR="119F548A">
        <w:rPr>
          <w:i/>
          <w:iCs/>
        </w:rPr>
        <w:t>iii</w:t>
      </w:r>
      <w:proofErr w:type="spellEnd"/>
      <w:r w:rsidRPr="3845A57C" w:rsidR="119F548A">
        <w:rPr>
          <w:i/>
          <w:iCs/>
        </w:rPr>
        <w:t xml:space="preserve">) las debilidades del modelo de control y fiscalización de los títulos mineros”. </w:t>
      </w:r>
      <w:r w:rsidR="2108005D">
        <w:t>Ad</w:t>
      </w:r>
      <w:r w:rsidR="53D2151B">
        <w:t>icionalmente</w:t>
      </w:r>
      <w:r w:rsidR="2108005D">
        <w:t>,</w:t>
      </w:r>
      <w:r w:rsidR="53D2151B">
        <w:t xml:space="preserve"> se </w:t>
      </w:r>
      <w:r w:rsidR="1F5371C9">
        <w:t xml:space="preserve">debían incorporar </w:t>
      </w:r>
      <w:r w:rsidR="119F548A">
        <w:t>las recomendaciones efectuadas por la Contraloría General de la República en los diferentes informes referentes al sector minero y los estudios de “</w:t>
      </w:r>
      <w:r w:rsidRPr="3845A57C" w:rsidR="119F548A">
        <w:rPr>
          <w:i/>
          <w:iCs/>
        </w:rPr>
        <w:t>Investigación científica y sociológica respecto a los impactos de la actividad minera y las explotaciones no autorizadas de minerales, en los ecosistemas del territorio colombiano”</w:t>
      </w:r>
      <w:r w:rsidRPr="6CF7E57B" w:rsidR="008D1C69">
        <w:rPr>
          <w:vertAlign w:val="superscript"/>
        </w:rPr>
        <w:footnoteReference w:id="6"/>
      </w:r>
      <w:r w:rsidRPr="6CF7E57B" w:rsidR="119F548A">
        <w:rPr>
          <w:vertAlign w:val="superscript"/>
        </w:rPr>
        <w:t>.</w:t>
      </w:r>
      <w:r w:rsidR="119F548A">
        <w:t xml:space="preserve"> </w:t>
      </w:r>
    </w:p>
    <w:p w:rsidR="00B036D9" w:rsidP="00CB28C0" w:rsidRDefault="00B036D9" w14:paraId="30D15CC0" w14:textId="15013621">
      <w:pPr>
        <w:jc w:val="both"/>
      </w:pPr>
      <w:r>
        <w:t>Es así que el presente documento responde a estos instrumentos normativos y jurisprudenciales, y propone una nueva Política Pública de Minería que se enmarca en una visión transformadora</w:t>
      </w:r>
      <w:r w:rsidR="6EDEA12F">
        <w:t>; p</w:t>
      </w:r>
      <w:r>
        <w:t xml:space="preserve">roponiendo una hoja de ruta progresiva que busca posicionar a la minera como un instrumento para la Transición Energética Justa, la reindustrialización y la diversificación productiva, para construir una actividad minera al servicio de la vida, la justicia social, la sostenibilidad ambiental y la soberanía nacional. En esta medida, el rol de la minería debe ser la de un medio estratégico para alcanzar un desarrollo equitativo y resiliente que fomente la creación de cadenas de valor agregado en nuestras regiones. </w:t>
      </w:r>
    </w:p>
    <w:p w:rsidRPr="00B234F0" w:rsidR="00CB28C0" w:rsidP="00CB28C0" w:rsidRDefault="389650DA" w14:paraId="7751CF48" w14:textId="3FD056DA">
      <w:pPr>
        <w:jc w:val="both"/>
      </w:pPr>
      <w:r>
        <w:t>Est</w:t>
      </w:r>
      <w:r w:rsidR="10ECBA50">
        <w:t>a</w:t>
      </w:r>
      <w:r w:rsidR="040361FA">
        <w:t xml:space="preserve"> política </w:t>
      </w:r>
      <w:r w:rsidR="79B6C1B0">
        <w:t xml:space="preserve">es el resultado de un trabajo </w:t>
      </w:r>
      <w:r w:rsidR="249D2665">
        <w:t xml:space="preserve">articulado </w:t>
      </w:r>
      <w:r w:rsidR="79B6C1B0">
        <w:t>entre el Ministerio de Minas y Energía (MinEnergía)</w:t>
      </w:r>
      <w:r w:rsidR="730304D9">
        <w:t xml:space="preserve">, </w:t>
      </w:r>
      <w:r w:rsidR="79B6C1B0">
        <w:t xml:space="preserve">la Agencia Nacional de Minería (ANM), </w:t>
      </w:r>
      <w:r w:rsidR="49AD8425">
        <w:t xml:space="preserve">la </w:t>
      </w:r>
      <w:r w:rsidR="79B6C1B0">
        <w:t>Unidad de Planeación Minero-Energética (UPME), el Servicio Geológico Colombiano (SGC</w:t>
      </w:r>
      <w:r w:rsidR="730304D9">
        <w:t>), el</w:t>
      </w:r>
      <w:r w:rsidR="79B6C1B0">
        <w:t xml:space="preserve"> Ministerio de Ambiente y Desarrollo Sostenible (MinAmbiente)</w:t>
      </w:r>
      <w:r w:rsidR="249D2665">
        <w:t xml:space="preserve">, </w:t>
      </w:r>
      <w:r w:rsidR="79B6C1B0">
        <w:t>la Autoridad Nacional de Licencias Ambientales (ANLA)</w:t>
      </w:r>
      <w:r w:rsidR="249D2665">
        <w:t xml:space="preserve">, y </w:t>
      </w:r>
      <w:r w:rsidR="79B6C1B0">
        <w:t xml:space="preserve">el acompañamiento metodológico del Departamento Nacional de Planeación (DNP). </w:t>
      </w:r>
    </w:p>
    <w:p w:rsidR="00B036D9" w:rsidP="769A4CE5" w:rsidRDefault="4C3A8BBF" w14:paraId="6609AE87" w14:textId="2C5B9489">
      <w:pPr>
        <w:spacing w:line="257" w:lineRule="auto"/>
        <w:jc w:val="both"/>
        <w:rPr>
          <w:rFonts w:ascii="Calibri" w:hAnsi="Calibri" w:eastAsia="Calibri" w:cs="Calibri"/>
        </w:rPr>
      </w:pPr>
      <w:r w:rsidRPr="00B036D9">
        <w:rPr>
          <w:rFonts w:ascii="Calibri" w:hAnsi="Calibri" w:eastAsia="Calibri" w:cs="Calibri"/>
        </w:rPr>
        <w:t>Este documento incorpora compromisos nacionales, al vincular el Plan Integral de Gestión del Cambio Climático del Sector Minero Energético (PIGCCme)</w:t>
      </w:r>
      <w:sdt>
        <w:sdtPr>
          <w:rPr>
            <w:rFonts w:ascii="Calibri" w:hAnsi="Calibri" w:eastAsia="Calibri" w:cs="Calibri"/>
          </w:rPr>
          <w:id w:val="-469448511"/>
          <w:citation/>
        </w:sdtPr>
        <w:sdtEndPr/>
        <w:sdtContent>
          <w:r w:rsidR="000D1EC1">
            <w:rPr>
              <w:rFonts w:ascii="Calibri" w:hAnsi="Calibri" w:eastAsia="Calibri" w:cs="Calibri"/>
            </w:rPr>
            <w:fldChar w:fldCharType="begin"/>
          </w:r>
          <w:r w:rsidR="000D1EC1">
            <w:rPr>
              <w:rFonts w:ascii="Calibri" w:hAnsi="Calibri" w:eastAsia="Calibri" w:cs="Calibri"/>
            </w:rPr>
            <w:instrText xml:space="preserve">CITATION Min211 \l 9226 </w:instrText>
          </w:r>
          <w:r w:rsidR="000D1EC1">
            <w:rPr>
              <w:rFonts w:ascii="Calibri" w:hAnsi="Calibri" w:eastAsia="Calibri" w:cs="Calibri"/>
            </w:rPr>
            <w:fldChar w:fldCharType="separate"/>
          </w:r>
          <w:r w:rsidR="00104221">
            <w:rPr>
              <w:rFonts w:ascii="Calibri" w:hAnsi="Calibri" w:eastAsia="Calibri" w:cs="Calibri"/>
              <w:noProof/>
            </w:rPr>
            <w:t xml:space="preserve"> </w:t>
          </w:r>
          <w:r w:rsidRPr="00104221" w:rsidR="00104221">
            <w:rPr>
              <w:rFonts w:ascii="Calibri" w:hAnsi="Calibri" w:eastAsia="Calibri" w:cs="Calibri"/>
              <w:noProof/>
            </w:rPr>
            <w:t>(MinEnergía, 2021a)</w:t>
          </w:r>
          <w:r w:rsidR="000D1EC1">
            <w:rPr>
              <w:rFonts w:ascii="Calibri" w:hAnsi="Calibri" w:eastAsia="Calibri" w:cs="Calibri"/>
            </w:rPr>
            <w:fldChar w:fldCharType="end"/>
          </w:r>
        </w:sdtContent>
      </w:sdt>
      <w:r w:rsidRPr="00B036D9">
        <w:rPr>
          <w:rFonts w:ascii="Calibri" w:hAnsi="Calibri" w:eastAsia="Calibri" w:cs="Calibri"/>
        </w:rPr>
        <w:t>, y articularse con el Sistema Nacional para la Gestión del Riesgo de Desastres en todos sus niveles (local, departamental y nacional). A nivel internacional, da cumplimiento al convenio de Minamata</w:t>
      </w:r>
      <w:r w:rsidRPr="769A4CE5" w:rsidR="00B036D9">
        <w:rPr>
          <w:rFonts w:ascii="Calibri" w:hAnsi="Calibri" w:eastAsia="Calibri" w:cs="Calibri"/>
          <w:vertAlign w:val="superscript"/>
        </w:rPr>
        <w:footnoteReference w:id="7"/>
      </w:r>
      <w:r w:rsidRPr="00B036D9">
        <w:rPr>
          <w:rFonts w:ascii="Calibri" w:hAnsi="Calibri" w:eastAsia="Calibri" w:cs="Calibri"/>
        </w:rPr>
        <w:t>, el cual establece disposiciones para la prohibición de la comercialización y el uso de mercurio en las diferentes actividades industriales del país y se fijan requisitos e incentivos para su reducción y eliminación. De la misma manera, la política se armoniza con el Plan Nacional de Desarrollo Minero (PNDM) 2024-2035</w:t>
      </w:r>
      <w:r w:rsidR="00B036D9">
        <w:rPr>
          <w:rStyle w:val="FootnoteReference"/>
        </w:rPr>
        <w:footnoteReference w:id="8"/>
      </w:r>
      <w:r w:rsidRPr="00B036D9">
        <w:rPr>
          <w:rFonts w:ascii="Calibri" w:hAnsi="Calibri" w:eastAsia="Calibri" w:cs="Calibri"/>
        </w:rPr>
        <w:t xml:space="preserve">, el cual define siete ejes estratégicos que se complementan con las diez líneas de la presente política pública y se alinea con el Plan Único de Legación y Formalización Minera, las Políticas públicas de </w:t>
      </w:r>
      <w:r w:rsidRPr="00B036D9" w:rsidR="02ADC77F">
        <w:rPr>
          <w:rFonts w:ascii="Calibri" w:hAnsi="Calibri" w:eastAsia="Calibri" w:cs="Calibri"/>
        </w:rPr>
        <w:t>M</w:t>
      </w:r>
      <w:r w:rsidRPr="00B036D9">
        <w:rPr>
          <w:rFonts w:ascii="Calibri" w:hAnsi="Calibri" w:eastAsia="Calibri" w:cs="Calibri"/>
        </w:rPr>
        <w:t xml:space="preserve">inería de </w:t>
      </w:r>
      <w:r w:rsidRPr="00B036D9" w:rsidR="76A1E30A">
        <w:rPr>
          <w:rFonts w:ascii="Calibri" w:hAnsi="Calibri" w:eastAsia="Calibri" w:cs="Calibri"/>
        </w:rPr>
        <w:t>S</w:t>
      </w:r>
      <w:r w:rsidRPr="00B036D9">
        <w:rPr>
          <w:rFonts w:ascii="Calibri" w:hAnsi="Calibri" w:eastAsia="Calibri" w:cs="Calibri"/>
        </w:rPr>
        <w:t>ubsistencia y Seguridad Minera. </w:t>
      </w:r>
    </w:p>
    <w:p w:rsidR="00B036D9" w:rsidP="769A4CE5" w:rsidRDefault="4C3A8BBF" w14:paraId="4F71F8C7" w14:textId="56F7FBFE">
      <w:pPr>
        <w:spacing w:line="257" w:lineRule="auto"/>
        <w:jc w:val="both"/>
        <w:rPr>
          <w:rFonts w:ascii="Calibri" w:hAnsi="Calibri" w:eastAsia="Calibri" w:cs="Calibri"/>
        </w:rPr>
      </w:pPr>
      <w:r w:rsidRPr="00B036D9">
        <w:rPr>
          <w:rFonts w:ascii="Calibri" w:hAnsi="Calibri" w:eastAsia="Calibri" w:cs="Calibri"/>
        </w:rPr>
        <w:t>En igual sentido, se orienta al cumplimiento de compromisos internacionales como los establecidos en el Acuerdo de Escazú</w:t>
      </w:r>
      <w:r w:rsidRPr="769A4CE5" w:rsidR="00B036D9">
        <w:rPr>
          <w:rFonts w:ascii="Calibri" w:hAnsi="Calibri" w:eastAsia="Calibri" w:cs="Calibri"/>
          <w:vertAlign w:val="superscript"/>
        </w:rPr>
        <w:footnoteReference w:id="9"/>
      </w:r>
      <w:r w:rsidRPr="00B036D9">
        <w:rPr>
          <w:rFonts w:ascii="Calibri" w:hAnsi="Calibri" w:eastAsia="Calibri" w:cs="Calibri"/>
        </w:rPr>
        <w:t xml:space="preserve"> con el fin de garantizar la protección del ambiente y los derechos humanos de líderes sociales, pueblos étnicos y comunidades locales, el acceso a la información y el desarrollo de procesos de participación pública de toma de decisiones.</w:t>
      </w:r>
    </w:p>
    <w:p w:rsidR="68278746" w:rsidP="68278746" w:rsidRDefault="0F57F1A2" w14:paraId="4C040EC4" w14:textId="6013E599">
      <w:pPr>
        <w:jc w:val="both"/>
      </w:pPr>
      <w:r>
        <w:t xml:space="preserve">Así mismo, se alinea con las iniciativas </w:t>
      </w:r>
      <w:r w:rsidRPr="00B036D9">
        <w:t>legislativas</w:t>
      </w:r>
      <w:r>
        <w:t xml:space="preserve"> como </w:t>
      </w:r>
      <w:r w:rsidR="784D6019">
        <w:t>el proyecto de</w:t>
      </w:r>
      <w:r w:rsidRPr="00B234F0" w:rsidR="190ECE0E">
        <w:t xml:space="preserve"> “Ley Minera para la Transición Energética Justa, la Reindustrialización Nacional y la Minería para la Vida”</w:t>
      </w:r>
      <w:r w:rsidRPr="00B234F0" w:rsidR="00B234F0">
        <w:rPr>
          <w:vertAlign w:val="superscript"/>
        </w:rPr>
        <w:footnoteReference w:id="10"/>
      </w:r>
      <w:r w:rsidR="32F159C6">
        <w:t xml:space="preserve">, </w:t>
      </w:r>
      <w:r w:rsidR="190ECE0E">
        <w:t xml:space="preserve">que </w:t>
      </w:r>
      <w:r w:rsidR="2F396977">
        <w:t>promueve</w:t>
      </w:r>
      <w:r w:rsidRPr="00B234F0" w:rsidR="0D8F02C2">
        <w:t>:</w:t>
      </w:r>
      <w:r w:rsidRPr="00B234F0" w:rsidR="190ECE0E">
        <w:t xml:space="preserve"> (i) un aprovechamiento planificado, sustentable y regulado de los minerales del país; (</w:t>
      </w:r>
      <w:proofErr w:type="spellStart"/>
      <w:r w:rsidRPr="00B234F0" w:rsidR="190ECE0E">
        <w:t>ii</w:t>
      </w:r>
      <w:proofErr w:type="spellEnd"/>
      <w:r w:rsidRPr="00B234F0" w:rsidR="190ECE0E">
        <w:t>) el avance hacia una economía productiva e industrializada; (</w:t>
      </w:r>
      <w:proofErr w:type="spellStart"/>
      <w:r w:rsidRPr="00B234F0" w:rsidR="190ECE0E">
        <w:t>iii</w:t>
      </w:r>
      <w:proofErr w:type="spellEnd"/>
      <w:r w:rsidRPr="00B234F0" w:rsidR="190ECE0E">
        <w:t>) garantizar el abastecimiento de los minerales que requiere el país; (</w:t>
      </w:r>
      <w:proofErr w:type="spellStart"/>
      <w:r w:rsidRPr="00B234F0" w:rsidR="190ECE0E">
        <w:t>iv</w:t>
      </w:r>
      <w:proofErr w:type="spellEnd"/>
      <w:r w:rsidRPr="00B234F0" w:rsidR="190ECE0E">
        <w:t xml:space="preserve">) la distribución equitativa de los beneficios y una prestación de los servicios con un enfoque territorial e incluyente; (v) promover condiciones dignas de existencia en las zonas donde se desarrollan las operaciones mineras, y </w:t>
      </w:r>
      <w:bookmarkEnd w:id="86"/>
      <w:r w:rsidR="0253C1E6">
        <w:t>(</w:t>
      </w:r>
      <w:proofErr w:type="spellStart"/>
      <w:r w:rsidR="0253C1E6">
        <w:t>iv</w:t>
      </w:r>
      <w:proofErr w:type="spellEnd"/>
      <w:r w:rsidR="0253C1E6">
        <w:t>) contribuir a la transición energética justa, para lo cual son pertinentes minerales estratégicos.</w:t>
      </w:r>
    </w:p>
    <w:p w:rsidRPr="006328BE" w:rsidR="006328BE" w:rsidP="006328BE" w:rsidRDefault="006328BE" w14:paraId="01EBC560" w14:textId="672186F5">
      <w:pPr>
        <w:jc w:val="both"/>
        <w:rPr>
          <w:rFonts w:ascii="Calibri" w:hAnsi="Calibri" w:eastAsia="Calibri" w:cs="Calibri"/>
        </w:rPr>
      </w:pPr>
      <w:r w:rsidRPr="34D1E0F9">
        <w:rPr>
          <w:rFonts w:ascii="Calibri" w:hAnsi="Calibri" w:eastAsia="Calibri" w:cs="Calibri"/>
        </w:rPr>
        <w:t xml:space="preserve">Los pilares de esta nueva visión se cimientan sobre diez líneas de acción estratégicas, diseñadas para responder a los desafíos históricos y estructurales del sector identificados tanto en la sentencia de </w:t>
      </w:r>
      <w:r w:rsidRPr="34D1E0F9" w:rsidR="66C11F46">
        <w:rPr>
          <w:rFonts w:ascii="Calibri" w:hAnsi="Calibri" w:eastAsia="Calibri" w:cs="Calibri"/>
        </w:rPr>
        <w:t>V</w:t>
      </w:r>
      <w:r w:rsidRPr="34D1E0F9">
        <w:rPr>
          <w:rFonts w:ascii="Calibri" w:hAnsi="Calibri" w:eastAsia="Calibri" w:cs="Calibri"/>
        </w:rPr>
        <w:t xml:space="preserve">entanilla </w:t>
      </w:r>
      <w:r w:rsidRPr="34D1E0F9" w:rsidR="04838072">
        <w:rPr>
          <w:rFonts w:ascii="Calibri" w:hAnsi="Calibri" w:eastAsia="Calibri" w:cs="Calibri"/>
        </w:rPr>
        <w:t>M</w:t>
      </w:r>
      <w:r w:rsidRPr="34D1E0F9">
        <w:rPr>
          <w:rFonts w:ascii="Calibri" w:hAnsi="Calibri" w:eastAsia="Calibri" w:cs="Calibri"/>
        </w:rPr>
        <w:t xml:space="preserve">inera como en espacios participativos en los territorios. Esto se hará a través de un ordenamiento minero-ambiental sólido, </w:t>
      </w:r>
      <w:r w:rsidRPr="34D1E0F9" w:rsidR="2211C227">
        <w:rPr>
          <w:rFonts w:ascii="Calibri" w:hAnsi="Calibri" w:eastAsia="Calibri" w:cs="Calibri"/>
        </w:rPr>
        <w:t>buscando</w:t>
      </w:r>
      <w:r w:rsidRPr="34D1E0F9">
        <w:rPr>
          <w:rFonts w:ascii="Calibri" w:hAnsi="Calibri" w:eastAsia="Calibri" w:cs="Calibri"/>
        </w:rPr>
        <w:t xml:space="preserve"> que la actividad minera respete los determinantes ambientales y la vocación productiva de los territorios. Se fortalecerá la institucionalidad articulada y transparente, que dialogue de manera horizontal con las comunidades y promueva una participación social más amplia para el desarrollo de la actividad. Asimismo, se pretende fortalecer caminos para la formalización y el fomento de la pequeña minería, reconociendo su valor social y económico mientras se combate la explotación no autorizada que degrada los ecosistemas y vulnera los derechos humanos. Por eso, se invita a todos los actores, desde comunidades hasta empresas, academia y gobierno, a ser parte de la construcción de este nuevo capítulo para la minería en Colombia: un sector que contribuya de manera decidida a que Colombia se consolide como la verdadera potencia mundial de la vida.</w:t>
      </w:r>
    </w:p>
    <w:p w:rsidR="00962B92" w:rsidP="68278746" w:rsidRDefault="2A98B15D" w14:paraId="44DDE365" w14:textId="0B6AF073">
      <w:pPr>
        <w:jc w:val="both"/>
      </w:pPr>
      <w:r>
        <w:t>A continuación, se describe la metodología, objetivos, enfoques, problemáticas y acciones de las diez líneas estratégicas de esta nueva política con un horizonte de ejecución a 10 años. Todo lo anterior, respaldado en las normas que se encuentran en el marco normativo vigente (</w:t>
      </w:r>
      <w:r w:rsidR="2B1F99B4">
        <w:t>Anexo</w:t>
      </w:r>
      <w:r>
        <w:t xml:space="preserve"> 1) y plasmado en un plan de acción (Anexo 2) que contempla acciones estratégicas para cada línea.</w:t>
      </w:r>
    </w:p>
    <w:p w:rsidR="003925AC" w:rsidP="68278746" w:rsidRDefault="003925AC" w14:paraId="1A76BFBD" w14:textId="77777777">
      <w:pPr>
        <w:jc w:val="both"/>
      </w:pPr>
    </w:p>
    <w:p w:rsidR="003925AC" w:rsidP="003925AC" w:rsidRDefault="003925AC" w14:paraId="6A13D213" w14:textId="77777777">
      <w:pPr>
        <w:pStyle w:val="Heading1"/>
        <w:rPr>
          <w:rStyle w:val="normaltextrun"/>
          <w:rFonts w:eastAsia="Times New Roman" w:cs="Arial"/>
          <w:lang w:val="es-ES" w:eastAsia="es-CO"/>
        </w:rPr>
      </w:pPr>
      <w:bookmarkStart w:name="_Toc1515438341" w:id="87"/>
      <w:bookmarkStart w:name="_Toc517973048" w:id="88"/>
      <w:bookmarkStart w:name="_Toc333041841" w:id="89"/>
      <w:bookmarkStart w:name="_Toc1061583314" w:id="90"/>
      <w:bookmarkStart w:name="_Toc1689278634" w:id="91"/>
      <w:bookmarkStart w:name="_Toc414200637" w:id="92"/>
      <w:bookmarkStart w:name="_Toc1851917697" w:id="93"/>
      <w:bookmarkStart w:name="_Toc2010569576" w:id="94"/>
      <w:bookmarkStart w:name="_Toc1888791298" w:id="95"/>
      <w:bookmarkStart w:name="_Toc75852622" w:id="96"/>
      <w:bookmarkStart w:name="_Toc140010896" w:id="97"/>
      <w:bookmarkStart w:name="_Toc148760176" w:id="98"/>
      <w:bookmarkStart w:name="_Toc674671195" w:id="99"/>
      <w:bookmarkStart w:name="_Toc963687109" w:id="100"/>
      <w:bookmarkStart w:name="_Toc690580893" w:id="101"/>
      <w:bookmarkStart w:name="_Toc1627464341" w:id="102"/>
      <w:bookmarkStart w:name="_Toc1368131501" w:id="103"/>
      <w:bookmarkStart w:name="_Toc2076159833" w:id="104"/>
      <w:bookmarkStart w:name="_Toc832011528" w:id="105"/>
      <w:bookmarkStart w:name="_Toc1888184890" w:id="106"/>
      <w:bookmarkStart w:name="_Toc997231370" w:id="107"/>
      <w:bookmarkStart w:name="_Toc1057251778" w:id="108"/>
      <w:bookmarkStart w:name="_Toc47814641" w:id="109"/>
      <w:bookmarkStart w:name="_Toc1636785890" w:id="110"/>
      <w:bookmarkStart w:name="_Toc675304615" w:id="111"/>
      <w:bookmarkStart w:name="_Toc1926290916" w:id="112"/>
      <w:bookmarkStart w:name="_Toc210292953" w:id="113"/>
      <w:r>
        <w:t>Visión y Objetivo</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rsidR="003925AC" w:rsidP="003925AC" w:rsidRDefault="003925AC" w14:paraId="156F1459" w14:textId="77777777">
      <w:pPr>
        <w:rPr>
          <w:lang w:val="es-ES"/>
        </w:rPr>
      </w:pPr>
    </w:p>
    <w:p w:rsidR="003925AC" w:rsidP="003925AC" w:rsidRDefault="003925AC" w14:paraId="616C4DF5" w14:textId="77777777">
      <w:pPr>
        <w:pStyle w:val="Heading3"/>
        <w:jc w:val="center"/>
      </w:pPr>
      <w:bookmarkStart w:name="_Toc620742194" w:id="114"/>
      <w:bookmarkStart w:name="_Toc1000978419" w:id="115"/>
      <w:bookmarkStart w:name="_Toc213675116" w:id="116"/>
      <w:bookmarkStart w:name="_Toc2094874685" w:id="117"/>
      <w:bookmarkStart w:name="_Toc1735600338" w:id="118"/>
      <w:bookmarkStart w:name="_Toc383550292" w:id="119"/>
      <w:bookmarkStart w:name="_Toc145811218" w:id="120"/>
      <w:bookmarkStart w:name="_Toc1821873240" w:id="121"/>
      <w:bookmarkStart w:name="_Toc2018028055" w:id="122"/>
      <w:bookmarkStart w:name="_Toc246725743" w:id="123"/>
      <w:bookmarkStart w:name="_Toc292278995" w:id="124"/>
      <w:bookmarkStart w:name="_Toc1191343726" w:id="125"/>
      <w:bookmarkStart w:name="_Toc693180343" w:id="126"/>
      <w:bookmarkStart w:name="_Toc2008873999" w:id="127"/>
      <w:bookmarkStart w:name="_Toc341787481" w:id="128"/>
      <w:bookmarkStart w:name="_Toc1360801095" w:id="129"/>
      <w:bookmarkStart w:name="_Toc1007656826" w:id="130"/>
      <w:bookmarkStart w:name="_Toc1127399587" w:id="131"/>
      <w:bookmarkStart w:name="_Toc1720060643" w:id="132"/>
      <w:bookmarkStart w:name="_Toc170309127" w:id="133"/>
      <w:bookmarkStart w:name="_Toc402552475" w:id="134"/>
      <w:bookmarkStart w:name="_Toc1508066946" w:id="135"/>
      <w:bookmarkStart w:name="_Toc2056030190" w:id="136"/>
      <w:bookmarkStart w:name="_Toc1089117856" w:id="137"/>
      <w:bookmarkStart w:name="_Toc1170739228" w:id="138"/>
      <w:bookmarkStart w:name="_Toc2146723199" w:id="139"/>
      <w:bookmarkStart w:name="_Toc210292954" w:id="140"/>
      <w:r>
        <w:t>Nueva Visión de la Política Minera para el año 2035.</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rsidR="003925AC" w:rsidP="003925AC" w:rsidRDefault="003925AC" w14:paraId="12F78F9E" w14:textId="77777777"/>
    <w:p w:rsidRPr="003925AC" w:rsidR="003925AC" w:rsidP="003925AC" w:rsidRDefault="003925AC" w14:paraId="2C1EFA2A" w14:textId="77777777">
      <w:pPr>
        <w:spacing w:line="257" w:lineRule="auto"/>
        <w:jc w:val="both"/>
        <w:rPr>
          <w:rFonts w:ascii="Calibri" w:hAnsi="Calibri" w:eastAsia="Calibri" w:cs="Calibri"/>
          <w:color w:val="000000" w:themeColor="text1"/>
        </w:rPr>
      </w:pPr>
      <w:r w:rsidRPr="003925AC">
        <w:rPr>
          <w:rFonts w:ascii="Calibri" w:hAnsi="Calibri" w:eastAsia="Calibri" w:cs="Calibri"/>
          <w:color w:val="000000" w:themeColor="text1"/>
        </w:rPr>
        <w:t>En un horizonte de corto (5 años) y mediano plazo (10 años), el sector minero colombiano contará con una institucionalidad fortalecida, articulada con las comunidades, con el sector ambiental y con otros actores intersectoriales. Este sector será garante de una minería responsable y sostenible, que impulse la reindustrialización del país, la transformación productiva, la diversificación económica y una transición energética justa, gradual y progresiva.</w:t>
      </w:r>
    </w:p>
    <w:p w:rsidRPr="003925AC" w:rsidR="003925AC" w:rsidP="003925AC" w:rsidRDefault="003925AC" w14:paraId="4FA12030" w14:textId="715C47F5">
      <w:pPr>
        <w:spacing w:line="257" w:lineRule="auto"/>
        <w:jc w:val="both"/>
        <w:rPr>
          <w:rFonts w:ascii="Calibri" w:hAnsi="Calibri" w:eastAsia="Calibri" w:cs="Calibri"/>
          <w:color w:val="000000" w:themeColor="text1"/>
        </w:rPr>
      </w:pPr>
      <w:r w:rsidRPr="34D1E0F9">
        <w:rPr>
          <w:rFonts w:ascii="Calibri" w:hAnsi="Calibri" w:eastAsia="Calibri" w:cs="Calibri"/>
          <w:color w:val="000000" w:themeColor="text1"/>
        </w:rPr>
        <w:t> La actividad minera se desarrollará bajo un ordenamiento territorial minero-ambiental integral que valore adecuadamente los servicios ecosistémicos, proteja los recursos hídricos y garantice la conservación ambiental. Asimismo, promoverá activamente la inclusión social, la participación efectiva y el respeto por los derechos colectivos de las comunidades, integrándose con las vocaciones productivas propias de cada región, con el fomento de la participación de grandes empresas y fortaleciendo la economía popular, con el objetivo de contribuir a la construcción de territorios en paz.</w:t>
      </w:r>
    </w:p>
    <w:p w:rsidR="003925AC" w:rsidP="003925AC" w:rsidRDefault="003925AC" w14:paraId="055351C6" w14:textId="77777777">
      <w:pPr>
        <w:pStyle w:val="Heading3"/>
        <w:spacing w:before="0" w:after="160" w:line="257" w:lineRule="auto"/>
      </w:pPr>
      <w:bookmarkStart w:name="_Toc1659496203" w:id="141"/>
      <w:bookmarkStart w:name="_Toc414015821" w:id="142"/>
      <w:bookmarkStart w:name="_Toc1394695180" w:id="143"/>
      <w:bookmarkStart w:name="_Toc181527071" w:id="144"/>
      <w:bookmarkStart w:name="_Toc1378881363" w:id="145"/>
      <w:bookmarkStart w:name="_Toc2036324473" w:id="146"/>
      <w:bookmarkStart w:name="_Toc1021421135" w:id="147"/>
      <w:bookmarkStart w:name="_Toc1025903635" w:id="148"/>
      <w:bookmarkStart w:name="_Toc523311827" w:id="149"/>
      <w:bookmarkStart w:name="_Toc1229491585" w:id="150"/>
      <w:bookmarkStart w:name="_Toc1275727308" w:id="151"/>
      <w:bookmarkStart w:name="_Toc1754334542" w:id="152"/>
      <w:bookmarkStart w:name="_Toc1467042086" w:id="153"/>
      <w:bookmarkStart w:name="_Toc179155241" w:id="154"/>
      <w:bookmarkStart w:name="_Toc1205390773" w:id="155"/>
      <w:bookmarkStart w:name="_Toc1136478047" w:id="156"/>
      <w:bookmarkStart w:name="_Toc1657182630" w:id="157"/>
      <w:bookmarkStart w:name="_Toc1023151958" w:id="158"/>
      <w:bookmarkStart w:name="_Toc75587307" w:id="159"/>
      <w:bookmarkStart w:name="_Toc1108582809" w:id="160"/>
      <w:bookmarkStart w:name="_Toc1207433608" w:id="161"/>
      <w:bookmarkStart w:name="_Toc1400102905" w:id="162"/>
      <w:bookmarkStart w:name="_Toc915693506" w:id="163"/>
      <w:bookmarkStart w:name="_Toc28361190" w:id="164"/>
      <w:bookmarkStart w:name="_Toc2050211951" w:id="165"/>
      <w:bookmarkStart w:name="_Toc46957417" w:id="166"/>
      <w:bookmarkStart w:name="_Toc210292955" w:id="167"/>
      <w:r w:rsidRPr="287A971D">
        <w:rPr>
          <w:lang w:val="es-ES"/>
        </w:rPr>
        <w:t xml:space="preserve">Objetivo General </w:t>
      </w:r>
      <w:r>
        <w:t>de una Nueva Visión de la Política Minera para el año 2035.</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rsidRPr="006C0D52" w:rsidR="003925AC" w:rsidP="003925AC" w:rsidRDefault="003925AC" w14:paraId="6874CA3B" w14:textId="29A3FB8D">
      <w:pPr>
        <w:jc w:val="both"/>
        <w:rPr>
          <w:rFonts w:ascii="Calibri" w:hAnsi="Calibri" w:eastAsia="Calibri" w:cs="Calibri"/>
          <w:lang w:val="es-ES"/>
        </w:rPr>
      </w:pPr>
      <w:r w:rsidRPr="003925AC">
        <w:rPr>
          <w:rFonts w:ascii="Calibri" w:hAnsi="Calibri" w:eastAsia="Calibri" w:cs="Calibri"/>
        </w:rPr>
        <w:t>Contribuir al desarrollo de una minería para la vida</w:t>
      </w:r>
      <w:r>
        <w:rPr>
          <w:rFonts w:ascii="Calibri" w:hAnsi="Calibri" w:eastAsia="Calibri" w:cs="Calibri"/>
        </w:rPr>
        <w:t xml:space="preserve"> </w:t>
      </w:r>
      <w:r w:rsidRPr="1A52A16F">
        <w:rPr>
          <w:rFonts w:ascii="Calibri" w:hAnsi="Calibri" w:eastAsia="Calibri" w:cs="Calibri"/>
        </w:rPr>
        <w:t xml:space="preserve">que permita la transición energética justa y gradual, </w:t>
      </w:r>
      <w:r w:rsidRPr="003925AC">
        <w:rPr>
          <w:rFonts w:ascii="Calibri" w:hAnsi="Calibri" w:eastAsia="Calibri" w:cs="Calibri"/>
        </w:rPr>
        <w:t>transformando las actividades de su cadena de valor a favor del uso de los recursos minero</w:t>
      </w:r>
      <w:r>
        <w:rPr>
          <w:rFonts w:ascii="Calibri" w:hAnsi="Calibri" w:eastAsia="Calibri" w:cs="Calibri"/>
        </w:rPr>
        <w:t>s</w:t>
      </w:r>
      <w:r w:rsidRPr="003925AC">
        <w:rPr>
          <w:rFonts w:ascii="Calibri" w:hAnsi="Calibri" w:eastAsia="Calibri" w:cs="Calibri"/>
        </w:rPr>
        <w:t xml:space="preserve"> </w:t>
      </w:r>
      <w:r>
        <w:rPr>
          <w:rFonts w:ascii="Calibri" w:hAnsi="Calibri" w:eastAsia="Calibri" w:cs="Calibri"/>
        </w:rPr>
        <w:t xml:space="preserve">de forma </w:t>
      </w:r>
      <w:r w:rsidRPr="003925AC">
        <w:rPr>
          <w:rFonts w:ascii="Calibri" w:hAnsi="Calibri" w:eastAsia="Calibri" w:cs="Calibri"/>
        </w:rPr>
        <w:t>responsable</w:t>
      </w:r>
      <w:r>
        <w:rPr>
          <w:rFonts w:ascii="Calibri" w:hAnsi="Calibri" w:eastAsia="Calibri" w:cs="Calibri"/>
        </w:rPr>
        <w:t>,</w:t>
      </w:r>
      <w:r w:rsidRPr="003925AC">
        <w:rPr>
          <w:rFonts w:ascii="Calibri" w:hAnsi="Calibri" w:eastAsia="Calibri" w:cs="Calibri"/>
        </w:rPr>
        <w:t xml:space="preserve"> eficiente </w:t>
      </w:r>
      <w:r>
        <w:rPr>
          <w:rFonts w:ascii="Calibri" w:hAnsi="Calibri" w:eastAsia="Calibri" w:cs="Calibri"/>
        </w:rPr>
        <w:t>y armónica con la naturaleza</w:t>
      </w:r>
      <w:r w:rsidR="006C0D52">
        <w:rPr>
          <w:rFonts w:ascii="Calibri" w:hAnsi="Calibri" w:eastAsia="Calibri" w:cs="Calibri"/>
        </w:rPr>
        <w:t xml:space="preserve">, </w:t>
      </w:r>
      <w:r w:rsidRPr="003925AC" w:rsidR="006C0D52">
        <w:rPr>
          <w:rFonts w:ascii="Calibri" w:hAnsi="Calibri" w:eastAsia="Calibri" w:cs="Calibri"/>
        </w:rPr>
        <w:t>atendiendo a las realidades de los territorios</w:t>
      </w:r>
      <w:r w:rsidR="006C0D52">
        <w:rPr>
          <w:rFonts w:ascii="Calibri" w:hAnsi="Calibri" w:eastAsia="Calibri" w:cs="Calibri"/>
        </w:rPr>
        <w:t xml:space="preserve"> </w:t>
      </w:r>
      <w:r w:rsidRPr="003925AC" w:rsidR="006C0D52">
        <w:rPr>
          <w:rFonts w:ascii="Calibri" w:hAnsi="Calibri" w:eastAsia="Calibri" w:cs="Calibri"/>
        </w:rPr>
        <w:t>y generando beneficios para todos los sectores de la cadena minera.</w:t>
      </w:r>
    </w:p>
    <w:p w:rsidR="003925AC" w:rsidP="003925AC" w:rsidRDefault="003925AC" w14:paraId="637F2734" w14:textId="77777777">
      <w:pPr>
        <w:pStyle w:val="Heading3"/>
        <w:spacing w:before="0" w:after="160" w:line="257" w:lineRule="auto"/>
        <w:rPr>
          <w:lang w:val="es-ES"/>
        </w:rPr>
      </w:pPr>
      <w:bookmarkStart w:name="_Toc289703229" w:id="168"/>
      <w:bookmarkStart w:name="_Toc544113014" w:id="169"/>
      <w:bookmarkStart w:name="_Toc278427268" w:id="170"/>
      <w:bookmarkStart w:name="_Toc885247262" w:id="171"/>
      <w:bookmarkStart w:name="_Toc1204626777" w:id="172"/>
      <w:bookmarkStart w:name="_Toc390168936" w:id="173"/>
      <w:bookmarkStart w:name="_Toc972795788" w:id="174"/>
      <w:bookmarkStart w:name="_Toc629657769" w:id="175"/>
      <w:bookmarkStart w:name="_Toc676608585" w:id="176"/>
      <w:bookmarkStart w:name="_Toc1675352928" w:id="177"/>
      <w:bookmarkStart w:name="_Toc994093464" w:id="178"/>
      <w:bookmarkStart w:name="_Toc1995606496" w:id="179"/>
      <w:bookmarkStart w:name="_Toc928681522" w:id="180"/>
      <w:bookmarkStart w:name="_Toc1219130517" w:id="181"/>
      <w:bookmarkStart w:name="_Toc124726823" w:id="182"/>
      <w:bookmarkStart w:name="_Toc730608308" w:id="183"/>
      <w:bookmarkStart w:name="_Toc1493571802" w:id="184"/>
      <w:bookmarkStart w:name="_Toc1449395565" w:id="185"/>
      <w:bookmarkStart w:name="_Toc2057389771" w:id="186"/>
      <w:bookmarkStart w:name="_Toc1665659306" w:id="187"/>
      <w:bookmarkStart w:name="_Toc487766871" w:id="188"/>
      <w:bookmarkStart w:name="_Toc635662075" w:id="189"/>
      <w:bookmarkStart w:name="_Toc1010634843" w:id="190"/>
      <w:bookmarkStart w:name="_Toc1057986733" w:id="191"/>
      <w:bookmarkStart w:name="_Toc1262864784" w:id="192"/>
      <w:bookmarkStart w:name="_Toc606211812" w:id="193"/>
      <w:bookmarkStart w:name="_Toc210292956" w:id="194"/>
      <w:r w:rsidRPr="287A971D">
        <w:rPr>
          <w:lang w:val="es-ES"/>
        </w:rPr>
        <w:t xml:space="preserve">Objetivos específicos </w:t>
      </w:r>
      <w:r>
        <w:t>de una Nueva Visión de la Política Minera para el año 2035.</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rsidR="003925AC" w:rsidRDefault="003925AC" w14:paraId="1A3963C1" w14:textId="2D52B935">
      <w:pPr>
        <w:pStyle w:val="ListParagraph"/>
        <w:numPr>
          <w:ilvl w:val="0"/>
          <w:numId w:val="7"/>
        </w:numPr>
        <w:rPr>
          <w:rFonts w:ascii="Calibri" w:hAnsi="Calibri" w:eastAsia="Calibri" w:cs="Calibri"/>
          <w:color w:val="000000" w:themeColor="text1"/>
          <w:lang w:val="es-ES"/>
        </w:rPr>
      </w:pPr>
      <w:r w:rsidRPr="34D1E0F9">
        <w:rPr>
          <w:rFonts w:ascii="Calibri" w:hAnsi="Calibri" w:eastAsia="Calibri" w:cs="Calibri"/>
          <w:color w:val="000000" w:themeColor="text1"/>
        </w:rPr>
        <w:t xml:space="preserve">Orientar el </w:t>
      </w:r>
      <w:r w:rsidRPr="34D1E0F9" w:rsidR="26802E74">
        <w:rPr>
          <w:rFonts w:ascii="Calibri" w:hAnsi="Calibri" w:eastAsia="Calibri" w:cs="Calibri"/>
          <w:color w:val="000000" w:themeColor="text1"/>
        </w:rPr>
        <w:t>d</w:t>
      </w:r>
      <w:r w:rsidRPr="34D1E0F9">
        <w:rPr>
          <w:rFonts w:ascii="Calibri" w:hAnsi="Calibri" w:eastAsia="Calibri" w:cs="Calibri"/>
          <w:color w:val="000000" w:themeColor="text1"/>
        </w:rPr>
        <w:t xml:space="preserve">esarrollo </w:t>
      </w:r>
      <w:r w:rsidRPr="34D1E0F9" w:rsidR="4D6680DA">
        <w:rPr>
          <w:rFonts w:ascii="Calibri" w:hAnsi="Calibri" w:eastAsia="Calibri" w:cs="Calibri"/>
          <w:color w:val="000000" w:themeColor="text1"/>
        </w:rPr>
        <w:t>m</w:t>
      </w:r>
      <w:r w:rsidRPr="34D1E0F9">
        <w:rPr>
          <w:rFonts w:ascii="Calibri" w:hAnsi="Calibri" w:eastAsia="Calibri" w:cs="Calibri"/>
          <w:color w:val="000000" w:themeColor="text1"/>
        </w:rPr>
        <w:t xml:space="preserve">inero </w:t>
      </w:r>
      <w:r w:rsidRPr="34D1E0F9" w:rsidR="5BD8EAA3">
        <w:rPr>
          <w:rFonts w:ascii="Calibri" w:hAnsi="Calibri" w:eastAsia="Calibri" w:cs="Calibri"/>
          <w:color w:val="000000" w:themeColor="text1"/>
        </w:rPr>
        <w:t>p</w:t>
      </w:r>
      <w:r w:rsidRPr="34D1E0F9">
        <w:rPr>
          <w:rFonts w:ascii="Calibri" w:hAnsi="Calibri" w:eastAsia="Calibri" w:cs="Calibri"/>
          <w:color w:val="000000" w:themeColor="text1"/>
        </w:rPr>
        <w:t xml:space="preserve">lanificado en articulación con las entidades del sector minero energético, ambiental y los instrumentos de planeación y regulación sectoriales. </w:t>
      </w:r>
    </w:p>
    <w:p w:rsidR="003925AC" w:rsidRDefault="003925AC" w14:paraId="26B4A1E8" w14:textId="77777777">
      <w:pPr>
        <w:pStyle w:val="ListParagraph"/>
        <w:numPr>
          <w:ilvl w:val="0"/>
          <w:numId w:val="7"/>
        </w:numPr>
        <w:jc w:val="both"/>
        <w:rPr>
          <w:rFonts w:ascii="Calibri" w:hAnsi="Calibri" w:eastAsia="Calibri" w:cs="Calibri"/>
          <w:color w:val="000000" w:themeColor="text1"/>
          <w:lang w:val="es-ES"/>
        </w:rPr>
      </w:pPr>
      <w:r w:rsidRPr="1A52A16F">
        <w:rPr>
          <w:rFonts w:ascii="Calibri" w:hAnsi="Calibri" w:eastAsia="Calibri" w:cs="Calibri"/>
          <w:color w:val="000000" w:themeColor="text1"/>
        </w:rPr>
        <w:t>Implementar mecanismos de articulación y coordinación para una institucionalidad fortalecida en la toma de decisiones e implementación de políticas públicas.</w:t>
      </w:r>
    </w:p>
    <w:p w:rsidR="003925AC" w:rsidRDefault="003925AC" w14:paraId="7AB3FCFF" w14:textId="77777777">
      <w:pPr>
        <w:pStyle w:val="ListParagraph"/>
        <w:numPr>
          <w:ilvl w:val="0"/>
          <w:numId w:val="7"/>
        </w:numPr>
        <w:jc w:val="both"/>
        <w:rPr>
          <w:rFonts w:ascii="Calibri" w:hAnsi="Calibri" w:eastAsia="Calibri" w:cs="Calibri"/>
          <w:color w:val="000000" w:themeColor="text1"/>
          <w:lang w:val="es-ES"/>
        </w:rPr>
      </w:pPr>
      <w:r w:rsidRPr="1A52A16F">
        <w:rPr>
          <w:rFonts w:ascii="Calibri" w:hAnsi="Calibri" w:eastAsia="Calibri" w:cs="Calibri"/>
          <w:color w:val="000000" w:themeColor="text1"/>
        </w:rPr>
        <w:t xml:space="preserve">Fomentar la investigación, las buenas prácticas mineras, prevención de la explotación no autorizada e ilícita, la formalización, reconversión y la diversificación productiva. </w:t>
      </w:r>
    </w:p>
    <w:p w:rsidRPr="00201E51" w:rsidR="00201E51" w:rsidRDefault="003925AC" w14:paraId="561563A5" w14:textId="77777777">
      <w:pPr>
        <w:pStyle w:val="ListParagraph"/>
        <w:numPr>
          <w:ilvl w:val="0"/>
          <w:numId w:val="7"/>
        </w:numPr>
        <w:jc w:val="both"/>
      </w:pPr>
      <w:r w:rsidRPr="00201E51">
        <w:rPr>
          <w:rFonts w:ascii="Calibri" w:hAnsi="Calibri" w:eastAsia="Calibri" w:cs="Calibri"/>
          <w:color w:val="000000" w:themeColor="text1"/>
        </w:rPr>
        <w:t>Promover una participación ciudadana efectiva, con inclusión de enfoques diferenciales y territoriales a través del diálogo social y la transparencia en la información.</w:t>
      </w:r>
    </w:p>
    <w:p w:rsidR="00201E51" w:rsidRDefault="00201E51" w14:paraId="2117C19C" w14:textId="77777777">
      <w:pPr>
        <w:pStyle w:val="ListParagraph"/>
        <w:numPr>
          <w:ilvl w:val="0"/>
          <w:numId w:val="7"/>
        </w:numPr>
        <w:jc w:val="both"/>
      </w:pPr>
      <w:r w:rsidRPr="00201E51">
        <w:t>Fortalecer el modelo de control y fiscalización de los títulos mineros, garantizando la transparencia, trazabilidad, legalidad y responsabilidad de todas las etapas del ciclo de vida minero.</w:t>
      </w:r>
    </w:p>
    <w:p w:rsidRPr="00201E51" w:rsidR="00201E51" w:rsidRDefault="00201E51" w14:paraId="25C4715C" w14:textId="0EF28135">
      <w:pPr>
        <w:pStyle w:val="ListParagraph"/>
        <w:numPr>
          <w:ilvl w:val="0"/>
          <w:numId w:val="7"/>
        </w:numPr>
        <w:jc w:val="both"/>
      </w:pPr>
      <w:r>
        <w:t>Velar por el</w:t>
      </w:r>
      <w:r w:rsidRPr="00201E51">
        <w:t xml:space="preserve"> respet</w:t>
      </w:r>
      <w:r>
        <w:t>o</w:t>
      </w:r>
      <w:r w:rsidRPr="00201E51">
        <w:t xml:space="preserve"> y preserv</w:t>
      </w:r>
      <w:r>
        <w:t>ación de</w:t>
      </w:r>
      <w:r w:rsidRPr="00201E51">
        <w:t xml:space="preserve"> los ecosistemas estratégicos, impulsando una transición energética justa y la construcción de territorios resilientes, pacíficos y prósperos.</w:t>
      </w:r>
    </w:p>
    <w:p w:rsidRPr="009718EF" w:rsidR="00201E51" w:rsidP="00203125" w:rsidRDefault="00201E51" w14:paraId="74421249" w14:textId="77777777">
      <w:pPr>
        <w:pStyle w:val="ListParagraph"/>
        <w:jc w:val="both"/>
        <w:rPr>
          <w:rFonts w:ascii="Calibri" w:hAnsi="Calibri" w:eastAsia="Calibri" w:cs="Calibri"/>
          <w:color w:val="000000" w:themeColor="text1"/>
        </w:rPr>
      </w:pPr>
    </w:p>
    <w:p w:rsidRPr="00962B92" w:rsidR="00BB5D66" w:rsidP="68278746" w:rsidRDefault="00BB5D66" w14:paraId="7840BE10" w14:textId="77777777">
      <w:pPr>
        <w:jc w:val="both"/>
      </w:pPr>
    </w:p>
    <w:p w:rsidR="00203125" w:rsidP="00203125" w:rsidRDefault="00203125" w14:paraId="42F0BD86" w14:textId="66797A7D">
      <w:pPr>
        <w:pStyle w:val="Heading1"/>
        <w:rPr>
          <w:rFonts w:ascii="Calibri" w:hAnsi="Calibri" w:eastAsia="Arial"/>
          <w:color w:val="000000" w:themeColor="text1"/>
          <w:sz w:val="22"/>
          <w:szCs w:val="22"/>
        </w:rPr>
      </w:pPr>
      <w:bookmarkStart w:name="_Toc657169455" w:id="195"/>
      <w:bookmarkStart w:name="_Toc500516305" w:id="196"/>
      <w:bookmarkStart w:name="_Toc1696791436" w:id="197"/>
      <w:bookmarkStart w:name="_Toc1910509584" w:id="198"/>
      <w:bookmarkStart w:name="_Toc675557049" w:id="199"/>
      <w:bookmarkStart w:name="_Toc755348636" w:id="200"/>
      <w:bookmarkStart w:name="_Toc1569337059" w:id="201"/>
      <w:bookmarkStart w:name="_Toc2091406961" w:id="202"/>
      <w:bookmarkStart w:name="_Toc1920854735" w:id="203"/>
      <w:bookmarkStart w:name="_Toc287033522" w:id="204"/>
      <w:bookmarkStart w:name="_Toc1564776043" w:id="205"/>
      <w:bookmarkStart w:name="_Toc1945284279" w:id="206"/>
      <w:bookmarkStart w:name="_Toc602573028" w:id="207"/>
      <w:bookmarkStart w:name="_Toc1283952588" w:id="208"/>
      <w:bookmarkStart w:name="_Toc844284440" w:id="209"/>
      <w:bookmarkStart w:name="_Toc1452338893" w:id="210"/>
      <w:bookmarkStart w:name="_Toc1024476735" w:id="211"/>
      <w:bookmarkStart w:name="_Toc1246024673" w:id="212"/>
      <w:bookmarkStart w:name="_Toc1998379624" w:id="213"/>
      <w:bookmarkStart w:name="_Toc69882711" w:id="214"/>
      <w:bookmarkStart w:name="_Toc79854931" w:id="215"/>
      <w:bookmarkStart w:name="_Toc665232114" w:id="216"/>
      <w:bookmarkStart w:name="_Toc923445790" w:id="217"/>
      <w:bookmarkStart w:name="_Toc2130497695" w:id="218"/>
      <w:bookmarkStart w:name="_Toc939670681" w:id="219"/>
      <w:bookmarkStart w:name="_Toc27397777" w:id="220"/>
      <w:bookmarkStart w:name="_Toc1788745245" w:id="221"/>
      <w:bookmarkStart w:name="_Toc210292957" w:id="222"/>
      <w:bookmarkStart w:name="_Toc135903108" w:id="223"/>
      <w:bookmarkStart w:name="_Toc1735129395" w:id="224"/>
      <w:bookmarkStart w:name="_Toc1917705617" w:id="225"/>
      <w:bookmarkStart w:name="_Toc1125765421" w:id="226"/>
      <w:bookmarkStart w:name="_Toc1490145477" w:id="227"/>
      <w:bookmarkStart w:name="_Toc99369927" w:id="228"/>
      <w:bookmarkStart w:name="_Toc846398602" w:id="229"/>
      <w:bookmarkStart w:name="_Toc1196928139" w:id="230"/>
      <w:bookmarkStart w:name="_Toc1252346831" w:id="231"/>
      <w:bookmarkStart w:name="_Toc1305655571" w:id="232"/>
      <w:bookmarkStart w:name="_Toc3384166" w:id="233"/>
      <w:bookmarkStart w:name="_Toc1090490884" w:id="234"/>
      <w:bookmarkStart w:name="_Toc1056907284" w:id="235"/>
      <w:bookmarkStart w:name="_Toc1281464787" w:id="236"/>
      <w:bookmarkStart w:name="_Toc274267352" w:id="237"/>
      <w:bookmarkStart w:name="_Toc1164044441" w:id="238"/>
      <w:bookmarkStart w:name="_Toc1377876375" w:id="239"/>
      <w:bookmarkStart w:name="_Toc1966451185" w:id="240"/>
      <w:bookmarkStart w:name="_Toc981338997" w:id="241"/>
      <w:bookmarkStart w:name="_Toc443094551" w:id="242"/>
      <w:bookmarkStart w:name="_Toc1239863293" w:id="243"/>
      <w:bookmarkStart w:name="_Toc1152504653" w:id="244"/>
      <w:bookmarkStart w:name="_Toc386961869" w:id="245"/>
      <w:bookmarkStart w:name="_Toc1282722361" w:id="246"/>
      <w:bookmarkStart w:name="_Toc472731939" w:id="247"/>
      <w:bookmarkStart w:name="_Toc464585943" w:id="248"/>
      <w:bookmarkStart w:name="_Toc1982139148" w:id="249"/>
      <w:r>
        <w:t>Marco Normativo e Institucional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rsidR="00203125" w:rsidP="00203125" w:rsidRDefault="00203125" w14:paraId="28A39E0A" w14:textId="77777777"/>
    <w:p w:rsidRPr="000936BD" w:rsidR="00052CB2" w:rsidP="00052CB2" w:rsidRDefault="00052CB2" w14:paraId="481E8A61" w14:textId="00FEB1B4">
      <w:pPr>
        <w:spacing w:after="0" w:line="240" w:lineRule="auto"/>
        <w:jc w:val="both"/>
        <w:rPr>
          <w:rFonts w:eastAsia="Aptos"/>
        </w:rPr>
      </w:pPr>
      <w:r w:rsidRPr="000936BD">
        <w:rPr>
          <w:rFonts w:eastAsia="Aptos"/>
        </w:rPr>
        <w:t>La minería en Colombia ha tenido significativos cambios en la última década, por lo cual para una fácil comprensión se trae de una manera clara y sencilla</w:t>
      </w:r>
      <w:r w:rsidRPr="000936BD" w:rsidR="00AE29C6">
        <w:rPr>
          <w:rFonts w:eastAsia="Aptos"/>
        </w:rPr>
        <w:t>, una parte de</w:t>
      </w:r>
      <w:r w:rsidRPr="000936BD">
        <w:rPr>
          <w:rFonts w:eastAsia="Aptos"/>
        </w:rPr>
        <w:t xml:space="preserve"> la evolución normativa de la minería en sus diferentes escalas, la cual ha ido ajustándose a las necesidades del territorio. </w:t>
      </w:r>
    </w:p>
    <w:p w:rsidRPr="000936BD" w:rsidR="00052CB2" w:rsidP="00052CB2" w:rsidRDefault="00052CB2" w14:paraId="56AF8394" w14:textId="77777777">
      <w:pPr>
        <w:spacing w:after="0" w:line="240" w:lineRule="auto"/>
        <w:jc w:val="both"/>
        <w:rPr>
          <w:rFonts w:eastAsia="Aptos"/>
          <w:lang w:val="es"/>
        </w:rPr>
      </w:pPr>
      <w:r w:rsidRPr="000936BD">
        <w:rPr>
          <w:rFonts w:eastAsia="Aptos"/>
          <w:lang w:val="es"/>
        </w:rPr>
        <w:t xml:space="preserve"> </w:t>
      </w:r>
    </w:p>
    <w:p w:rsidRPr="000936BD" w:rsidR="00052CB2" w:rsidP="00052CB2" w:rsidRDefault="00AE29C6" w14:paraId="2657A487" w14:textId="24C1B0D8">
      <w:pPr>
        <w:spacing w:after="0" w:line="240" w:lineRule="auto"/>
        <w:jc w:val="both"/>
        <w:rPr>
          <w:rFonts w:eastAsia="Aptos"/>
        </w:rPr>
      </w:pPr>
      <w:r w:rsidRPr="34D1E0F9">
        <w:rPr>
          <w:rFonts w:eastAsia="Aptos"/>
        </w:rPr>
        <w:t xml:space="preserve">Es así </w:t>
      </w:r>
      <w:r w:rsidRPr="34D1E0F9" w:rsidR="7F9FF750">
        <w:rPr>
          <w:rFonts w:eastAsia="Aptos"/>
        </w:rPr>
        <w:t>como</w:t>
      </w:r>
      <w:r w:rsidRPr="34D1E0F9">
        <w:rPr>
          <w:rFonts w:eastAsia="Aptos"/>
        </w:rPr>
        <w:t xml:space="preserve"> el punto de partida es la Ley 685 de 2001, actual Código de Minas, norma que fue expedida bajo un modelo centralista de gobernanza minera y en sintonía con las lógicas de apertura económica y globalización, </w:t>
      </w:r>
      <w:r w:rsidRPr="34D1E0F9" w:rsidR="223203E1">
        <w:rPr>
          <w:rFonts w:eastAsia="Aptos"/>
        </w:rPr>
        <w:t>el</w:t>
      </w:r>
      <w:r w:rsidRPr="34D1E0F9">
        <w:rPr>
          <w:rFonts w:eastAsia="Aptos"/>
        </w:rPr>
        <w:t xml:space="preserve"> cual buscó simplificar trámites y agilizar el otorgamiento de títulos mineros. </w:t>
      </w:r>
      <w:r w:rsidRPr="34D1E0F9" w:rsidR="00CA00B9">
        <w:rPr>
          <w:rFonts w:eastAsia="Aptos"/>
        </w:rPr>
        <w:t>E</w:t>
      </w:r>
      <w:r w:rsidRPr="34D1E0F9">
        <w:rPr>
          <w:rFonts w:eastAsia="Aptos"/>
        </w:rPr>
        <w:t xml:space="preserve">sta orientación priorizó la expansión de la actividad extractiva bajo la modalidad de contrato de concesión, </w:t>
      </w:r>
      <w:r w:rsidRPr="34D1E0F9" w:rsidR="00205678">
        <w:rPr>
          <w:rFonts w:eastAsia="Aptos"/>
        </w:rPr>
        <w:t>que,</w:t>
      </w:r>
      <w:r w:rsidRPr="34D1E0F9">
        <w:rPr>
          <w:rFonts w:eastAsia="Aptos"/>
        </w:rPr>
        <w:t xml:space="preserve"> si bien unificó requisitos y obligaciones, también limitó la autonomía territorial</w:t>
      </w:r>
      <w:r w:rsidRPr="34D1E0F9" w:rsidR="00205678">
        <w:rPr>
          <w:rFonts w:eastAsia="Aptos"/>
        </w:rPr>
        <w:t xml:space="preserve"> y</w:t>
      </w:r>
      <w:r w:rsidRPr="34D1E0F9">
        <w:rPr>
          <w:rFonts w:eastAsia="Aptos"/>
        </w:rPr>
        <w:t xml:space="preserve"> debilitó las </w:t>
      </w:r>
      <w:r w:rsidRPr="34D1E0F9" w:rsidR="00205678">
        <w:rPr>
          <w:rFonts w:eastAsia="Aptos"/>
        </w:rPr>
        <w:t>garantías</w:t>
      </w:r>
      <w:r w:rsidRPr="34D1E0F9">
        <w:rPr>
          <w:rFonts w:eastAsia="Aptos"/>
        </w:rPr>
        <w:t xml:space="preserve"> ambientales. De ahí que, </w:t>
      </w:r>
      <w:r w:rsidRPr="34D1E0F9" w:rsidR="00205678">
        <w:rPr>
          <w:rFonts w:eastAsia="Aptos"/>
        </w:rPr>
        <w:t>esta ley</w:t>
      </w:r>
      <w:r w:rsidRPr="34D1E0F9">
        <w:rPr>
          <w:rFonts w:eastAsia="Aptos"/>
        </w:rPr>
        <w:t xml:space="preserve"> presenta profundas falencias que han llevado a que tanto el gobierno nacional como el legislativo </w:t>
      </w:r>
      <w:r w:rsidRPr="34D1E0F9" w:rsidR="00CA00B9">
        <w:rPr>
          <w:rFonts w:eastAsia="Aptos"/>
        </w:rPr>
        <w:t>busquen superarlas o realizar ajustes significativos</w:t>
      </w:r>
      <w:r w:rsidRPr="34D1E0F9">
        <w:rPr>
          <w:rFonts w:eastAsia="Aptos"/>
        </w:rPr>
        <w:t xml:space="preserve">, a través de diferentes iniciativas normativas, </w:t>
      </w:r>
      <w:r w:rsidRPr="34D1E0F9" w:rsidR="00CA00B9">
        <w:rPr>
          <w:rFonts w:eastAsia="Aptos"/>
        </w:rPr>
        <w:t>entre las cuales se resaltan:</w:t>
      </w:r>
      <w:r w:rsidRPr="34D1E0F9" w:rsidR="00052CB2">
        <w:rPr>
          <w:rFonts w:eastAsia="Aptos"/>
        </w:rPr>
        <w:t xml:space="preserve"> </w:t>
      </w:r>
    </w:p>
    <w:p w:rsidRPr="000936BD" w:rsidR="00052CB2" w:rsidP="00052CB2" w:rsidRDefault="00052CB2" w14:paraId="0B4F87C4" w14:textId="77777777">
      <w:pPr>
        <w:spacing w:after="0" w:line="240" w:lineRule="auto"/>
        <w:jc w:val="both"/>
        <w:rPr>
          <w:rFonts w:eastAsia="Aptos"/>
          <w:lang w:val="es"/>
        </w:rPr>
      </w:pPr>
      <w:r w:rsidRPr="000936BD">
        <w:rPr>
          <w:rFonts w:eastAsia="Aptos"/>
          <w:lang w:val="es"/>
        </w:rPr>
        <w:t xml:space="preserve"> </w:t>
      </w:r>
    </w:p>
    <w:p w:rsidRPr="000936BD" w:rsidR="00052CB2" w:rsidP="3845A57C" w:rsidRDefault="4EDAFF35" w14:paraId="051830F0" w14:textId="66AF363E">
      <w:pPr>
        <w:tabs>
          <w:tab w:val="left" w:pos="142"/>
          <w:tab w:val="left" w:pos="284"/>
        </w:tabs>
        <w:spacing w:after="0" w:line="240" w:lineRule="auto"/>
        <w:jc w:val="both"/>
        <w:rPr>
          <w:rFonts w:eastAsia="Aptos"/>
        </w:rPr>
      </w:pPr>
      <w:r w:rsidRPr="34D1E0F9">
        <w:rPr>
          <w:rFonts w:eastAsia="Aptos" w:cstheme="minorBidi"/>
        </w:rPr>
        <w:t>El Plan Nacional de Desarrollo, Ley 1450 de 2011</w:t>
      </w:r>
      <w:r w:rsidRPr="34D1E0F9" w:rsidR="165D9BBD">
        <w:rPr>
          <w:rFonts w:eastAsia="Aptos" w:cstheme="minorBidi"/>
        </w:rPr>
        <w:t xml:space="preserve">: </w:t>
      </w:r>
      <w:r w:rsidRPr="34D1E0F9">
        <w:rPr>
          <w:rFonts w:eastAsia="Aptos" w:cstheme="minorBidi"/>
        </w:rPr>
        <w:t xml:space="preserve">definió lineamientos de política para la formalización minera constituyéndose en pieza fundamental para la normativa actual, toda vez que en su artículo 107 se ordena diferenciar la </w:t>
      </w:r>
      <w:r w:rsidRPr="34D1E0F9" w:rsidR="1FBEB97E">
        <w:rPr>
          <w:rFonts w:eastAsia="Aptos" w:cstheme="minorBidi"/>
        </w:rPr>
        <w:t>minería</w:t>
      </w:r>
      <w:r w:rsidRPr="34D1E0F9">
        <w:rPr>
          <w:rFonts w:eastAsia="Aptos" w:cstheme="minorBidi"/>
        </w:rPr>
        <w:t xml:space="preserve"> informal de la minería ilegal abriendo una puerta a que los mineros tradicionales pudieran ser considerados de una manera diferente a explotadores ilícitos. Así mismo, este Plan trajo consigo la inclusión de lo que fue denominado en su reglamentación como Registro Único de Comercializadores- RUCOM- y algunos artículos de carácter ambiental como son</w:t>
      </w:r>
      <w:r w:rsidRPr="34D1E0F9" w:rsidR="1FBEB97E">
        <w:rPr>
          <w:rFonts w:eastAsia="Aptos" w:cstheme="minorBidi"/>
        </w:rPr>
        <w:t>,</w:t>
      </w:r>
      <w:r w:rsidRPr="34D1E0F9">
        <w:rPr>
          <w:rFonts w:eastAsia="Aptos" w:cstheme="minorBidi"/>
        </w:rPr>
        <w:t xml:space="preserve"> por ejemplo</w:t>
      </w:r>
      <w:r w:rsidRPr="34D1E0F9" w:rsidR="1FBEB97E">
        <w:rPr>
          <w:rFonts w:eastAsia="Aptos" w:cstheme="minorBidi"/>
        </w:rPr>
        <w:t>,</w:t>
      </w:r>
      <w:r w:rsidRPr="34D1E0F9">
        <w:rPr>
          <w:rFonts w:eastAsia="Aptos" w:cstheme="minorBidi"/>
        </w:rPr>
        <w:t xml:space="preserve"> la prohibición de actividades mineras en Zonas de Paramo</w:t>
      </w:r>
      <w:r w:rsidRPr="34D1E0F9" w:rsidR="1FBEB97E">
        <w:rPr>
          <w:rFonts w:eastAsia="Aptos" w:cstheme="minorBidi"/>
        </w:rPr>
        <w:t>.</w:t>
      </w:r>
    </w:p>
    <w:p w:rsidRPr="000936BD" w:rsidR="00052CB2" w:rsidP="00052CB2" w:rsidRDefault="00052CB2" w14:paraId="0C1A2CA6" w14:textId="77777777">
      <w:pPr>
        <w:tabs>
          <w:tab w:val="left" w:pos="142"/>
          <w:tab w:val="left" w:pos="284"/>
        </w:tabs>
        <w:spacing w:after="0" w:line="240" w:lineRule="auto"/>
        <w:jc w:val="both"/>
        <w:rPr>
          <w:rFonts w:eastAsia="Aptos"/>
          <w:lang w:val="es"/>
        </w:rPr>
      </w:pPr>
      <w:r w:rsidRPr="000936BD">
        <w:rPr>
          <w:rFonts w:eastAsia="Aptos"/>
          <w:lang w:val="es"/>
        </w:rPr>
        <w:t xml:space="preserve"> </w:t>
      </w:r>
    </w:p>
    <w:p w:rsidRPr="000936BD" w:rsidR="00052CB2" w:rsidP="00052CB2" w:rsidRDefault="00052CB2" w14:paraId="632F9E64" w14:textId="39124480">
      <w:pPr>
        <w:tabs>
          <w:tab w:val="left" w:pos="142"/>
          <w:tab w:val="left" w:pos="284"/>
        </w:tabs>
        <w:spacing w:after="0" w:line="240" w:lineRule="auto"/>
        <w:jc w:val="both"/>
        <w:rPr>
          <w:rFonts w:eastAsia="Aptos"/>
          <w:lang w:val="es"/>
        </w:rPr>
      </w:pPr>
      <w:r w:rsidRPr="34D1E0F9">
        <w:rPr>
          <w:rFonts w:eastAsia="Aptos"/>
        </w:rPr>
        <w:t>La ley 1658 de 2013</w:t>
      </w:r>
      <w:r w:rsidRPr="34D1E0F9" w:rsidR="38DA478E">
        <w:rPr>
          <w:rFonts w:eastAsia="Aptos"/>
        </w:rPr>
        <w:t xml:space="preserve">: </w:t>
      </w:r>
      <w:r w:rsidRPr="34D1E0F9">
        <w:rPr>
          <w:rFonts w:eastAsia="Aptos"/>
        </w:rPr>
        <w:t xml:space="preserve">adicional de incluir el tema de incentivos a la formalización minera, tiene su enfoque netamente en el aspecto ambiental toda vez que su objetivo es la eliminación del uso de mercurio en las diferentes actividades, incluidas la actividad minera. Es de tener en cuenta que esta ley guarda armonía con la Ley 1892 de 2018 por medio de la cual se aprueba </w:t>
      </w:r>
      <w:r w:rsidRPr="34D1E0F9" w:rsidR="00205678">
        <w:rPr>
          <w:rFonts w:eastAsia="Aptos"/>
        </w:rPr>
        <w:t>y se deriva el plan de acción d</w:t>
      </w:r>
      <w:r w:rsidRPr="34D1E0F9">
        <w:rPr>
          <w:rFonts w:eastAsia="Aptos"/>
        </w:rPr>
        <w:t>el “</w:t>
      </w:r>
      <w:r w:rsidRPr="34D1E0F9">
        <w:rPr>
          <w:rFonts w:eastAsia="Aptos"/>
          <w:i/>
          <w:iCs/>
        </w:rPr>
        <w:t>Convenio de Minamata sobre el Mercurio</w:t>
      </w:r>
      <w:r w:rsidRPr="34D1E0F9">
        <w:rPr>
          <w:rFonts w:eastAsia="Aptos"/>
        </w:rPr>
        <w:t xml:space="preserve">”. </w:t>
      </w:r>
    </w:p>
    <w:p w:rsidRPr="000936BD" w:rsidR="00052CB2" w:rsidP="00052CB2" w:rsidRDefault="00052CB2" w14:paraId="34DC441C" w14:textId="77777777">
      <w:pPr>
        <w:tabs>
          <w:tab w:val="left" w:pos="142"/>
          <w:tab w:val="left" w:pos="284"/>
        </w:tabs>
        <w:spacing w:after="0" w:line="240" w:lineRule="auto"/>
        <w:jc w:val="both"/>
        <w:rPr>
          <w:rFonts w:eastAsia="Aptos"/>
          <w:lang w:val="es"/>
        </w:rPr>
      </w:pPr>
    </w:p>
    <w:p w:rsidRPr="000936BD" w:rsidR="007923E2" w:rsidP="00052CB2" w:rsidRDefault="007923E2" w14:paraId="58566C09" w14:textId="2122EDC4">
      <w:pPr>
        <w:tabs>
          <w:tab w:val="left" w:pos="142"/>
          <w:tab w:val="left" w:pos="284"/>
        </w:tabs>
        <w:spacing w:after="0" w:line="240" w:lineRule="auto"/>
        <w:jc w:val="both"/>
        <w:rPr>
          <w:rFonts w:eastAsia="Aptos"/>
          <w:lang w:val="es"/>
        </w:rPr>
      </w:pPr>
      <w:r w:rsidRPr="34D1E0F9">
        <w:rPr>
          <w:rFonts w:eastAsia="Aptos"/>
        </w:rPr>
        <w:t>La Ley 1753 de 2015</w:t>
      </w:r>
      <w:r w:rsidRPr="34D1E0F9" w:rsidR="5AECF5A1">
        <w:rPr>
          <w:rFonts w:eastAsia="Aptos"/>
        </w:rPr>
        <w:t xml:space="preserve">: </w:t>
      </w:r>
      <w:r w:rsidRPr="34D1E0F9">
        <w:rPr>
          <w:rFonts w:eastAsia="Aptos"/>
        </w:rPr>
        <w:t>p</w:t>
      </w:r>
      <w:r w:rsidRPr="34D1E0F9">
        <w:rPr>
          <w:rFonts w:eastAsia="Aptos"/>
          <w:lang w:val="es"/>
        </w:rPr>
        <w:t>or la cual se expidió el Plan Nacional de Desarrollo 2014-2018 “</w:t>
      </w:r>
      <w:r w:rsidRPr="34D1E0F9">
        <w:rPr>
          <w:rFonts w:eastAsia="Aptos"/>
          <w:i/>
          <w:iCs/>
          <w:lang w:val="es"/>
        </w:rPr>
        <w:t>Todos por un nuevo país</w:t>
      </w:r>
      <w:r w:rsidRPr="34D1E0F9">
        <w:rPr>
          <w:rFonts w:eastAsia="Aptos"/>
          <w:lang w:val="es"/>
        </w:rPr>
        <w:t xml:space="preserve">”, </w:t>
      </w:r>
      <w:r w:rsidRPr="34D1E0F9">
        <w:rPr>
          <w:rFonts w:eastAsia="Aptos"/>
        </w:rPr>
        <w:t>definió al sector minero-energético como una de las locomotoras para el desarrollo económico del país. Esta visión, aunque buscaba dinamizar la economía a nivel internacional, desconoció en gran medida los impactos socioambientales, las tensiones territoriales y las exigencias de participación ciudadana, generando un marco normativo que reprodujo la concentración de decisiones en el nivel central. Sin embargo, incluyó un número significativo de artículos para el sector en temas como: minería de subsistencia, pequeña, mediana y grande minería; los mecanismos para el trabajo bajo el amparo de un título en la pequeña minería, el cierre de minas; áreas de reserva para el desarrollo minero y la protección y delimitación de páramos.</w:t>
      </w:r>
    </w:p>
    <w:p w:rsidRPr="000936BD" w:rsidR="00052CB2" w:rsidP="00052CB2" w:rsidRDefault="00052CB2" w14:paraId="5368620C" w14:textId="77777777">
      <w:pPr>
        <w:tabs>
          <w:tab w:val="left" w:pos="142"/>
          <w:tab w:val="left" w:pos="284"/>
        </w:tabs>
        <w:spacing w:after="0" w:line="240" w:lineRule="auto"/>
        <w:jc w:val="both"/>
        <w:rPr>
          <w:rFonts w:eastAsia="Aptos"/>
          <w:lang w:val="es"/>
        </w:rPr>
      </w:pPr>
      <w:r w:rsidRPr="000936BD">
        <w:rPr>
          <w:rFonts w:eastAsia="Aptos"/>
          <w:lang w:val="es"/>
        </w:rPr>
        <w:t xml:space="preserve"> </w:t>
      </w:r>
    </w:p>
    <w:p w:rsidRPr="000936BD" w:rsidR="00052CB2" w:rsidP="3845A57C" w:rsidRDefault="4EDAFF35" w14:paraId="668635EF" w14:textId="4BCA1272">
      <w:pPr>
        <w:tabs>
          <w:tab w:val="left" w:pos="142"/>
          <w:tab w:val="left" w:pos="284"/>
        </w:tabs>
        <w:spacing w:after="0" w:line="240" w:lineRule="auto"/>
        <w:jc w:val="both"/>
        <w:rPr>
          <w:rFonts w:eastAsia="Aptos"/>
        </w:rPr>
      </w:pPr>
      <w:r w:rsidRPr="34D1E0F9">
        <w:rPr>
          <w:rFonts w:eastAsia="Aptos" w:cstheme="minorBidi"/>
        </w:rPr>
        <w:t>La Ley 1955 de 2019</w:t>
      </w:r>
      <w:r w:rsidRPr="34D1E0F9" w:rsidR="6CE9AFC6">
        <w:rPr>
          <w:rFonts w:eastAsia="Aptos" w:cstheme="minorBidi"/>
        </w:rPr>
        <w:t xml:space="preserve">: Este </w:t>
      </w:r>
      <w:r w:rsidRPr="34D1E0F9">
        <w:rPr>
          <w:rFonts w:eastAsia="Aptos" w:cstheme="minorBidi"/>
        </w:rPr>
        <w:t>Plan Nacional de Desarrollo</w:t>
      </w:r>
      <w:r w:rsidRPr="34D1E0F9" w:rsidR="4EF2971C">
        <w:rPr>
          <w:rFonts w:eastAsia="Aptos" w:cstheme="minorBidi"/>
        </w:rPr>
        <w:t xml:space="preserve"> </w:t>
      </w:r>
      <w:r w:rsidRPr="34D1E0F9">
        <w:rPr>
          <w:rFonts w:eastAsia="Aptos" w:cstheme="minorBidi"/>
        </w:rPr>
        <w:t>trajo consigo un</w:t>
      </w:r>
      <w:r w:rsidRPr="34D1E0F9" w:rsidR="6939D70E">
        <w:rPr>
          <w:rFonts w:eastAsia="Aptos" w:cstheme="minorBidi"/>
        </w:rPr>
        <w:t>a</w:t>
      </w:r>
      <w:r w:rsidRPr="34D1E0F9">
        <w:rPr>
          <w:rFonts w:eastAsia="Aptos" w:cstheme="minorBidi"/>
        </w:rPr>
        <w:t xml:space="preserve"> serie de artículos que impactan al sector minero a lo largo de la cadena, pues comprende</w:t>
      </w:r>
      <w:r w:rsidRPr="34D1E0F9" w:rsidR="5E054146">
        <w:rPr>
          <w:rFonts w:eastAsia="Aptos" w:cstheme="minorBidi"/>
        </w:rPr>
        <w:t>,</w:t>
      </w:r>
      <w:r w:rsidRPr="34D1E0F9">
        <w:rPr>
          <w:rFonts w:eastAsia="Aptos" w:cstheme="minorBidi"/>
        </w:rPr>
        <w:t xml:space="preserve"> entre otros aspectos, la figura de licencia ambiental temporal, el fortalecimiento de la fiscalización, seguimiento y control de actividades mineras, la minería de subsistencia, el estándar colombiano para el reporte público de resultados de exploración, recursos y reservas minerales; impactando con esta norma a todas las escalas de la minería. </w:t>
      </w:r>
    </w:p>
    <w:p w:rsidRPr="000936BD" w:rsidR="00052CB2" w:rsidP="00052CB2" w:rsidRDefault="00052CB2" w14:paraId="45CFF361" w14:textId="77777777">
      <w:pPr>
        <w:tabs>
          <w:tab w:val="left" w:pos="142"/>
          <w:tab w:val="left" w:pos="284"/>
        </w:tabs>
        <w:spacing w:after="0" w:line="240" w:lineRule="auto"/>
        <w:jc w:val="both"/>
        <w:rPr>
          <w:rFonts w:eastAsia="Aptos"/>
        </w:rPr>
      </w:pPr>
    </w:p>
    <w:p w:rsidRPr="000936BD" w:rsidR="00052CB2" w:rsidP="00052CB2" w:rsidRDefault="00052CB2" w14:paraId="55B8BD1C" w14:textId="0CC7726C">
      <w:pPr>
        <w:tabs>
          <w:tab w:val="left" w:pos="142"/>
          <w:tab w:val="left" w:pos="284"/>
        </w:tabs>
        <w:spacing w:after="0" w:line="240" w:lineRule="auto"/>
        <w:jc w:val="both"/>
        <w:rPr>
          <w:rFonts w:eastAsia="Aptos"/>
        </w:rPr>
      </w:pPr>
      <w:r w:rsidRPr="34D1E0F9">
        <w:rPr>
          <w:rFonts w:eastAsia="Aptos"/>
        </w:rPr>
        <w:t>La Ley 2056 de 2020</w:t>
      </w:r>
      <w:r w:rsidRPr="34D1E0F9" w:rsidR="0E51949E">
        <w:rPr>
          <w:rFonts w:eastAsia="Aptos"/>
        </w:rPr>
        <w:t xml:space="preserve">: </w:t>
      </w:r>
      <w:r w:rsidRPr="34D1E0F9">
        <w:rPr>
          <w:rFonts w:eastAsia="Aptos"/>
        </w:rPr>
        <w:t xml:space="preserve">esta norma más allá de su contenido especifico que regula la organización y el funcionamiento del sistema general de regalías, modificó las competencias del Ministerio de Minas y Energía y de sus entidades adscritas y vinculadas y de manera particular, en temas de seguimiento a la actividad </w:t>
      </w:r>
      <w:r w:rsidRPr="34D1E0F9" w:rsidR="22FA0D00">
        <w:rPr>
          <w:rFonts w:eastAsia="Aptos"/>
        </w:rPr>
        <w:t>minera. M</w:t>
      </w:r>
      <w:r w:rsidRPr="34D1E0F9">
        <w:rPr>
          <w:rFonts w:eastAsia="Aptos"/>
        </w:rPr>
        <w:t>odific</w:t>
      </w:r>
      <w:r w:rsidRPr="34D1E0F9" w:rsidR="00CB6365">
        <w:rPr>
          <w:rFonts w:eastAsia="Aptos"/>
        </w:rPr>
        <w:t>ó</w:t>
      </w:r>
      <w:r w:rsidRPr="34D1E0F9">
        <w:rPr>
          <w:rFonts w:eastAsia="Aptos"/>
        </w:rPr>
        <w:t xml:space="preserve"> las funciones dejándolas en cabeza de la autoridad minera, es decir; </w:t>
      </w:r>
      <w:r w:rsidRPr="34D1E0F9" w:rsidR="61A20B69">
        <w:rPr>
          <w:rFonts w:eastAsia="Aptos"/>
        </w:rPr>
        <w:t>que,</w:t>
      </w:r>
      <w:r w:rsidRPr="34D1E0F9">
        <w:rPr>
          <w:rFonts w:eastAsia="Aptos"/>
        </w:rPr>
        <w:t xml:space="preserve"> desde la expedición de la precitada norma, la autoridad minera tendría como propia no solo la función de otorgamiento sino de las funciones de fiscalización de la exploración y explotación de los recursos mineros, lo cual incluye las actividades de cierre y abandono de los montajes y de la infraestructura.</w:t>
      </w:r>
      <w:r w:rsidRPr="34D1E0F9" w:rsidR="00CB6365">
        <w:rPr>
          <w:rFonts w:eastAsia="Aptos"/>
        </w:rPr>
        <w:t xml:space="preserve"> El Sistema General de Regalías (SGR), en desarrollo de los artículos 360 y 361 de la Constitución Política, constituye el mecanismo mediante el cual se administran y redistribuyen los ingresos generados por la explotación de recursos naturales no renovables. Su marco normativo inició con la Ley 141 de 1994, luego se consolidó en principio con la Ley 1530 de 2012 la cual definió los principios, objetivos, órganos rectores y reglas de distribución de regalías</w:t>
      </w:r>
      <w:r w:rsidRPr="34D1E0F9" w:rsidR="31FFB9C3">
        <w:rPr>
          <w:rFonts w:eastAsia="Aptos"/>
        </w:rPr>
        <w:t>.</w:t>
      </w:r>
    </w:p>
    <w:p w:rsidRPr="000936BD" w:rsidR="00052CB2" w:rsidP="00052CB2" w:rsidRDefault="00052CB2" w14:paraId="2B3BB217" w14:textId="77777777">
      <w:pPr>
        <w:tabs>
          <w:tab w:val="left" w:pos="142"/>
          <w:tab w:val="left" w:pos="284"/>
        </w:tabs>
        <w:spacing w:after="0" w:line="240" w:lineRule="auto"/>
        <w:jc w:val="both"/>
        <w:rPr>
          <w:rFonts w:eastAsia="Aptos"/>
          <w:lang w:val="es"/>
        </w:rPr>
      </w:pPr>
      <w:r w:rsidRPr="000936BD">
        <w:rPr>
          <w:rFonts w:eastAsia="Aptos"/>
          <w:lang w:val="es"/>
        </w:rPr>
        <w:t xml:space="preserve"> </w:t>
      </w:r>
    </w:p>
    <w:p w:rsidRPr="000936BD" w:rsidR="00052CB2" w:rsidP="00052CB2" w:rsidRDefault="00052CB2" w14:paraId="2C2BEACF" w14:textId="77777777">
      <w:pPr>
        <w:tabs>
          <w:tab w:val="left" w:pos="142"/>
          <w:tab w:val="left" w:pos="284"/>
        </w:tabs>
        <w:spacing w:after="0" w:line="240" w:lineRule="auto"/>
        <w:jc w:val="both"/>
        <w:rPr>
          <w:rFonts w:eastAsia="Aptos"/>
        </w:rPr>
      </w:pPr>
      <w:r w:rsidRPr="000936BD">
        <w:rPr>
          <w:rFonts w:eastAsia="Aptos"/>
        </w:rPr>
        <w:t>En cuanto a los temas ambientales, la Ley 2111 de 2021, tipifica y sanciona penalmente diversas conductas que afectan al medio ambiente de forma negativa y significativa, lo cual de fondo tiene como fin proteger los recursos naturales y la salud humana.</w:t>
      </w:r>
    </w:p>
    <w:p w:rsidRPr="000936BD" w:rsidR="00052CB2" w:rsidP="00052CB2" w:rsidRDefault="00052CB2" w14:paraId="2BDBC17F" w14:textId="77777777">
      <w:pPr>
        <w:tabs>
          <w:tab w:val="left" w:pos="142"/>
          <w:tab w:val="left" w:pos="284"/>
        </w:tabs>
        <w:spacing w:after="0" w:line="240" w:lineRule="auto"/>
        <w:jc w:val="both"/>
        <w:rPr>
          <w:rFonts w:eastAsia="Aptos"/>
          <w:lang w:val="es"/>
        </w:rPr>
      </w:pPr>
      <w:r w:rsidRPr="000936BD">
        <w:rPr>
          <w:rFonts w:eastAsia="Aptos"/>
          <w:lang w:val="es"/>
        </w:rPr>
        <w:t xml:space="preserve"> </w:t>
      </w:r>
    </w:p>
    <w:p w:rsidRPr="000936BD" w:rsidR="00052CB2" w:rsidP="00052CB2" w:rsidRDefault="00052CB2" w14:paraId="289AE4C1" w14:textId="1E91FCDE">
      <w:pPr>
        <w:tabs>
          <w:tab w:val="left" w:pos="142"/>
          <w:tab w:val="left" w:pos="284"/>
        </w:tabs>
        <w:spacing w:after="0" w:line="240" w:lineRule="auto"/>
        <w:jc w:val="both"/>
        <w:rPr>
          <w:rFonts w:eastAsia="Aptos"/>
          <w:lang w:val="es"/>
        </w:rPr>
      </w:pPr>
      <w:r w:rsidRPr="34D1E0F9">
        <w:rPr>
          <w:rFonts w:eastAsia="Aptos"/>
        </w:rPr>
        <w:t>La Ley 2177 de 2021</w:t>
      </w:r>
      <w:r w:rsidRPr="34D1E0F9" w:rsidR="5A5A995F">
        <w:rPr>
          <w:rFonts w:eastAsia="Aptos"/>
        </w:rPr>
        <w:t>:</w:t>
      </w:r>
      <w:r w:rsidRPr="34D1E0F9">
        <w:rPr>
          <w:rFonts w:eastAsia="Aptos"/>
        </w:rPr>
        <w:t xml:space="preserve"> aplica a los titulares mineros, explotadores mineros autorizados; comercializadores de minerales</w:t>
      </w:r>
      <w:r w:rsidRPr="34D1E0F9" w:rsidR="0C1BF839">
        <w:rPr>
          <w:rFonts w:eastAsia="Aptos"/>
        </w:rPr>
        <w:t>,</w:t>
      </w:r>
      <w:r w:rsidRPr="34D1E0F9">
        <w:rPr>
          <w:rFonts w:eastAsia="Aptos"/>
        </w:rPr>
        <w:t xml:space="preserve"> plantas de beneficio</w:t>
      </w:r>
      <w:r w:rsidRPr="34D1E0F9" w:rsidR="47377A3D">
        <w:rPr>
          <w:rFonts w:eastAsia="Aptos"/>
        </w:rPr>
        <w:t xml:space="preserve"> y</w:t>
      </w:r>
      <w:r w:rsidRPr="34D1E0F9">
        <w:rPr>
          <w:rFonts w:eastAsia="Aptos"/>
        </w:rPr>
        <w:t xml:space="preserve"> prestadores de servicios especiales; es decir</w:t>
      </w:r>
      <w:r w:rsidRPr="34D1E0F9" w:rsidR="68B2B971">
        <w:rPr>
          <w:rFonts w:eastAsia="Aptos"/>
        </w:rPr>
        <w:t xml:space="preserve">, abarca </w:t>
      </w:r>
      <w:r w:rsidRPr="34D1E0F9">
        <w:rPr>
          <w:rFonts w:eastAsia="Aptos"/>
        </w:rPr>
        <w:t>la actividad minera a lo largo de la cadena</w:t>
      </w:r>
      <w:r w:rsidRPr="34D1E0F9" w:rsidR="206C84AD">
        <w:rPr>
          <w:rFonts w:eastAsia="Aptos"/>
        </w:rPr>
        <w:t xml:space="preserve"> productiva. E</w:t>
      </w:r>
      <w:r w:rsidRPr="34D1E0F9">
        <w:rPr>
          <w:rFonts w:eastAsia="Aptos"/>
        </w:rPr>
        <w:t xml:space="preserve">sta norma busca facilitar el acceso a servicios financieros para el sector minero, incluyendo a los mineros de subsistencia. </w:t>
      </w:r>
    </w:p>
    <w:p w:rsidRPr="000936BD" w:rsidR="00052CB2" w:rsidP="00052CB2" w:rsidRDefault="00052CB2" w14:paraId="59467BC1" w14:textId="77777777">
      <w:pPr>
        <w:tabs>
          <w:tab w:val="left" w:pos="142"/>
          <w:tab w:val="left" w:pos="284"/>
        </w:tabs>
        <w:spacing w:after="0" w:line="240" w:lineRule="auto"/>
        <w:jc w:val="both"/>
        <w:rPr>
          <w:rFonts w:eastAsia="Aptos"/>
          <w:lang w:val="es"/>
        </w:rPr>
      </w:pPr>
      <w:r w:rsidRPr="000936BD">
        <w:rPr>
          <w:rFonts w:eastAsia="Aptos"/>
          <w:lang w:val="es"/>
        </w:rPr>
        <w:t xml:space="preserve"> </w:t>
      </w:r>
    </w:p>
    <w:p w:rsidRPr="000936BD" w:rsidR="00052CB2" w:rsidP="00052CB2" w:rsidRDefault="302A286F" w14:paraId="00068B6F" w14:textId="61E35F8B">
      <w:pPr>
        <w:tabs>
          <w:tab w:val="left" w:pos="142"/>
          <w:tab w:val="left" w:pos="284"/>
        </w:tabs>
        <w:spacing w:after="0" w:line="240" w:lineRule="auto"/>
        <w:jc w:val="both"/>
        <w:rPr>
          <w:rFonts w:eastAsia="Aptos"/>
          <w:lang w:val="es"/>
        </w:rPr>
      </w:pPr>
      <w:r w:rsidRPr="34D1E0F9">
        <w:rPr>
          <w:rFonts w:eastAsia="Aptos"/>
          <w:lang w:val="es"/>
        </w:rPr>
        <w:t>L</w:t>
      </w:r>
      <w:r w:rsidRPr="34D1E0F9" w:rsidR="00052CB2">
        <w:rPr>
          <w:rFonts w:eastAsia="Aptos"/>
          <w:lang w:val="es"/>
        </w:rPr>
        <w:t>a Ley 2250 de 2022</w:t>
      </w:r>
      <w:r w:rsidRPr="34D1E0F9" w:rsidR="126E7008">
        <w:rPr>
          <w:rFonts w:eastAsia="Aptos"/>
          <w:lang w:val="es"/>
        </w:rPr>
        <w:t>:</w:t>
      </w:r>
      <w:r w:rsidRPr="34D1E0F9" w:rsidR="00052CB2">
        <w:rPr>
          <w:rFonts w:eastAsia="Aptos"/>
          <w:lang w:val="es"/>
        </w:rPr>
        <w:t xml:space="preserve"> genera una norma que establece un marco jurídico especial en materia de Legalización y Formalización Minera, así como para su financiamiento, comercialización y establece una normatividad especial en materia ambiental. </w:t>
      </w:r>
    </w:p>
    <w:p w:rsidR="34D1E0F9" w:rsidP="34D1E0F9" w:rsidRDefault="34D1E0F9" w14:paraId="42E1E2FA" w14:textId="0F0D4BBE">
      <w:pPr>
        <w:tabs>
          <w:tab w:val="left" w:pos="142"/>
          <w:tab w:val="left" w:pos="284"/>
        </w:tabs>
        <w:spacing w:after="0" w:line="240" w:lineRule="auto"/>
        <w:jc w:val="both"/>
        <w:rPr>
          <w:rFonts w:eastAsia="Aptos"/>
          <w:lang w:val="es"/>
        </w:rPr>
      </w:pPr>
    </w:p>
    <w:p w:rsidR="00743F75" w:rsidP="00743F75" w:rsidRDefault="7959237C" w14:paraId="7DA5276C" w14:textId="2A9061B1">
      <w:pPr>
        <w:spacing w:after="0"/>
        <w:jc w:val="both"/>
      </w:pPr>
      <w:r w:rsidRPr="34D1E0F9">
        <w:rPr>
          <w:rFonts w:eastAsia="Aptos" w:cstheme="minorBidi"/>
          <w:lang w:val="es"/>
        </w:rPr>
        <w:t xml:space="preserve">Entre otras leyes, se tienen en cuenta </w:t>
      </w:r>
      <w:r w:rsidRPr="34D1E0F9">
        <w:rPr>
          <w:rFonts w:ascii="Calibri" w:hAnsi="Calibri" w:eastAsia="Calibri" w:cs="Calibri"/>
          <w:color w:val="000000" w:themeColor="text1"/>
        </w:rPr>
        <w:t>la Ley 99 de 1993, Ley General Ambiental, la Ley 2</w:t>
      </w:r>
      <w:r w:rsidRPr="34D1E0F9" w:rsidR="67DC7D2B">
        <w:rPr>
          <w:rFonts w:ascii="Calibri" w:hAnsi="Calibri" w:eastAsia="Calibri" w:cs="Calibri"/>
          <w:color w:val="000000" w:themeColor="text1"/>
        </w:rPr>
        <w:t xml:space="preserve">ª </w:t>
      </w:r>
      <w:r w:rsidRPr="34D1E0F9">
        <w:rPr>
          <w:rFonts w:ascii="Calibri" w:hAnsi="Calibri" w:eastAsia="Calibri" w:cs="Calibri"/>
          <w:color w:val="000000" w:themeColor="text1"/>
        </w:rPr>
        <w:t>de 1959 sobre economía forestal y conservación de recursos naturales renovables y la Ley 1930 de 2018, por medio de la cual se dictan disposiciones para la gestión integral de los páramos en Colombia.</w:t>
      </w:r>
    </w:p>
    <w:p w:rsidR="34D1E0F9" w:rsidP="34D1E0F9" w:rsidRDefault="34D1E0F9" w14:paraId="612C634E" w14:textId="6225EFFF">
      <w:pPr>
        <w:spacing w:after="0"/>
        <w:jc w:val="both"/>
        <w:rPr>
          <w:rFonts w:ascii="Calibri" w:hAnsi="Calibri" w:eastAsia="Calibri" w:cs="Calibri"/>
          <w:color w:val="000000" w:themeColor="text1"/>
        </w:rPr>
      </w:pPr>
    </w:p>
    <w:p w:rsidR="00743F75" w:rsidP="34D1E0F9" w:rsidRDefault="15780918" w14:paraId="581C90B9" w14:textId="3F841B31">
      <w:pPr>
        <w:spacing w:after="0"/>
        <w:jc w:val="both"/>
        <w:rPr>
          <w:rFonts w:ascii="Calibri" w:hAnsi="Calibri" w:eastAsia="Calibri" w:cs="Calibri"/>
          <w:color w:val="000000" w:themeColor="text1"/>
        </w:rPr>
      </w:pPr>
      <w:r w:rsidRPr="34D1E0F9">
        <w:rPr>
          <w:rFonts w:ascii="Calibri" w:hAnsi="Calibri" w:eastAsia="Calibri" w:cs="Calibri"/>
          <w:color w:val="000000" w:themeColor="text1"/>
        </w:rPr>
        <w:t xml:space="preserve">Para la presente Política Pública Minera, </w:t>
      </w:r>
      <w:r w:rsidRPr="34D1E0F9" w:rsidR="68399A50">
        <w:rPr>
          <w:rFonts w:ascii="Calibri" w:hAnsi="Calibri" w:eastAsia="Calibri" w:cs="Calibri"/>
          <w:color w:val="000000" w:themeColor="text1"/>
        </w:rPr>
        <w:t xml:space="preserve">se </w:t>
      </w:r>
      <w:r w:rsidRPr="34D1E0F9" w:rsidR="7312C5C1">
        <w:rPr>
          <w:rFonts w:ascii="Calibri" w:hAnsi="Calibri" w:eastAsia="Calibri" w:cs="Calibri"/>
          <w:color w:val="000000" w:themeColor="text1"/>
        </w:rPr>
        <w:t>revisaron las</w:t>
      </w:r>
      <w:r w:rsidRPr="34D1E0F9" w:rsidR="68399A50">
        <w:rPr>
          <w:rFonts w:ascii="Calibri" w:hAnsi="Calibri" w:eastAsia="Calibri" w:cs="Calibri"/>
          <w:color w:val="000000" w:themeColor="text1"/>
        </w:rPr>
        <w:t xml:space="preserve"> normas reglamentarias proferidas por </w:t>
      </w:r>
      <w:r w:rsidRPr="34D1E0F9" w:rsidR="62B074BB">
        <w:rPr>
          <w:rFonts w:ascii="Calibri" w:hAnsi="Calibri" w:eastAsia="Calibri" w:cs="Calibri"/>
          <w:color w:val="000000" w:themeColor="text1"/>
        </w:rPr>
        <w:t>el Ministerio de Minas y Energía</w:t>
      </w:r>
      <w:r w:rsidRPr="34D1E0F9" w:rsidR="68399A50">
        <w:rPr>
          <w:rFonts w:ascii="Calibri" w:hAnsi="Calibri" w:eastAsia="Calibri" w:cs="Calibri"/>
          <w:color w:val="000000" w:themeColor="text1"/>
        </w:rPr>
        <w:t xml:space="preserve"> y por la A</w:t>
      </w:r>
      <w:r w:rsidRPr="34D1E0F9" w:rsidR="131E8E6A">
        <w:rPr>
          <w:rFonts w:ascii="Calibri" w:hAnsi="Calibri" w:eastAsia="Calibri" w:cs="Calibri"/>
          <w:color w:val="000000" w:themeColor="text1"/>
        </w:rPr>
        <w:t xml:space="preserve">gencia </w:t>
      </w:r>
      <w:r w:rsidRPr="34D1E0F9" w:rsidR="68399A50">
        <w:rPr>
          <w:rFonts w:ascii="Calibri" w:hAnsi="Calibri" w:eastAsia="Calibri" w:cs="Calibri"/>
          <w:color w:val="000000" w:themeColor="text1"/>
        </w:rPr>
        <w:t>N</w:t>
      </w:r>
      <w:r w:rsidRPr="34D1E0F9" w:rsidR="25804071">
        <w:rPr>
          <w:rFonts w:ascii="Calibri" w:hAnsi="Calibri" w:eastAsia="Calibri" w:cs="Calibri"/>
          <w:color w:val="000000" w:themeColor="text1"/>
        </w:rPr>
        <w:t xml:space="preserve">acional de </w:t>
      </w:r>
      <w:r w:rsidRPr="34D1E0F9" w:rsidR="32FE5102">
        <w:rPr>
          <w:rFonts w:ascii="Calibri" w:hAnsi="Calibri" w:eastAsia="Calibri" w:cs="Calibri"/>
          <w:color w:val="000000" w:themeColor="text1"/>
        </w:rPr>
        <w:t>Minería</w:t>
      </w:r>
      <w:r w:rsidRPr="34D1E0F9" w:rsidR="68399A50">
        <w:rPr>
          <w:rFonts w:ascii="Calibri" w:hAnsi="Calibri" w:eastAsia="Calibri" w:cs="Calibri"/>
          <w:color w:val="000000" w:themeColor="text1"/>
        </w:rPr>
        <w:t xml:space="preserve"> sobre seguridad minera, minerales estratégicos, formalización, ordenamiento minero, fiscalización</w:t>
      </w:r>
      <w:r w:rsidRPr="34D1E0F9" w:rsidR="6C83277D">
        <w:rPr>
          <w:rFonts w:ascii="Calibri" w:hAnsi="Calibri" w:eastAsia="Calibri" w:cs="Calibri"/>
          <w:color w:val="000000" w:themeColor="text1"/>
        </w:rPr>
        <w:t xml:space="preserve"> </w:t>
      </w:r>
      <w:r w:rsidRPr="34D1E0F9" w:rsidR="68399A50">
        <w:rPr>
          <w:rFonts w:ascii="Calibri" w:hAnsi="Calibri" w:eastAsia="Calibri" w:cs="Calibri"/>
          <w:color w:val="000000" w:themeColor="text1"/>
        </w:rPr>
        <w:t>entre otros temas de interés. Se incluyeron los documentos CONPES</w:t>
      </w:r>
      <w:r w:rsidRPr="34D1E0F9" w:rsidR="142155CE">
        <w:rPr>
          <w:rFonts w:ascii="Calibri" w:hAnsi="Calibri" w:eastAsia="Calibri" w:cs="Calibri"/>
          <w:color w:val="000000" w:themeColor="text1"/>
        </w:rPr>
        <w:t xml:space="preserve">, </w:t>
      </w:r>
      <w:r w:rsidRPr="34D1E0F9" w:rsidR="68399A50">
        <w:rPr>
          <w:rFonts w:ascii="Calibri" w:hAnsi="Calibri" w:eastAsia="Calibri" w:cs="Calibri"/>
          <w:color w:val="000000" w:themeColor="text1"/>
        </w:rPr>
        <w:t xml:space="preserve">instrumentos de política previos y las normas de creación de las </w:t>
      </w:r>
      <w:r w:rsidRPr="34D1E0F9" w:rsidR="59CC5497">
        <w:rPr>
          <w:rFonts w:ascii="Calibri" w:hAnsi="Calibri" w:eastAsia="Calibri" w:cs="Calibri"/>
          <w:color w:val="000000" w:themeColor="text1"/>
        </w:rPr>
        <w:t>principales</w:t>
      </w:r>
      <w:r w:rsidRPr="34D1E0F9" w:rsidR="68399A50">
        <w:rPr>
          <w:rFonts w:ascii="Calibri" w:hAnsi="Calibri" w:eastAsia="Calibri" w:cs="Calibri"/>
          <w:color w:val="000000" w:themeColor="text1"/>
        </w:rPr>
        <w:t xml:space="preserve"> instituciones </w:t>
      </w:r>
      <w:r w:rsidRPr="34D1E0F9" w:rsidR="3CBF8EA7">
        <w:rPr>
          <w:rFonts w:ascii="Calibri" w:hAnsi="Calibri" w:eastAsia="Calibri" w:cs="Calibri"/>
          <w:color w:val="000000" w:themeColor="text1"/>
        </w:rPr>
        <w:t xml:space="preserve">del sector minero </w:t>
      </w:r>
      <w:r w:rsidRPr="34D1E0F9" w:rsidR="4F13F13C">
        <w:rPr>
          <w:rFonts w:ascii="Calibri" w:hAnsi="Calibri" w:eastAsia="Calibri" w:cs="Calibri"/>
          <w:color w:val="000000" w:themeColor="text1"/>
        </w:rPr>
        <w:t xml:space="preserve">nacional </w:t>
      </w:r>
      <w:r w:rsidRPr="34D1E0F9" w:rsidR="68399A50">
        <w:rPr>
          <w:rFonts w:ascii="Calibri" w:hAnsi="Calibri" w:eastAsia="Calibri" w:cs="Calibri"/>
          <w:color w:val="000000" w:themeColor="text1"/>
        </w:rPr>
        <w:t xml:space="preserve">(Anexo 1).  </w:t>
      </w:r>
    </w:p>
    <w:p w:rsidRPr="000936BD" w:rsidR="00052CB2" w:rsidP="00743F75" w:rsidRDefault="00743F75" w14:paraId="161FDF85" w14:textId="19DD7DE6">
      <w:pPr>
        <w:spacing w:after="0"/>
        <w:jc w:val="both"/>
        <w:rPr>
          <w:rFonts w:eastAsia="Aptos"/>
          <w:lang w:val="es"/>
        </w:rPr>
      </w:pPr>
      <w:r w:rsidRPr="1A52A16F">
        <w:rPr>
          <w:rFonts w:ascii="Calibri" w:hAnsi="Calibri" w:eastAsia="Calibri" w:cs="Calibri"/>
          <w:color w:val="000000" w:themeColor="text1"/>
        </w:rPr>
        <w:t xml:space="preserve"> </w:t>
      </w:r>
      <w:r w:rsidRPr="000936BD" w:rsidR="00052CB2">
        <w:rPr>
          <w:rFonts w:eastAsia="Aptos"/>
          <w:lang w:val="es"/>
        </w:rPr>
        <w:t xml:space="preserve"> </w:t>
      </w:r>
    </w:p>
    <w:p w:rsidRPr="000936BD" w:rsidR="00CA00B9" w:rsidP="00CA00B9" w:rsidRDefault="6C97BBE5" w14:paraId="68489AE5" w14:textId="30FE3909">
      <w:pPr>
        <w:spacing w:after="0"/>
        <w:jc w:val="both"/>
      </w:pPr>
      <w:r w:rsidRPr="34D1E0F9">
        <w:rPr>
          <w:rFonts w:ascii="Calibri" w:hAnsi="Calibri" w:eastAsia="Calibri" w:cs="Calibri"/>
          <w:color w:val="000000" w:themeColor="text1"/>
        </w:rPr>
        <w:t>Por otro lado, el Plan Nacional de Desarrollo 2022–2026 “Colombia Potencia Mundial de la Vida”, adoptado mediante la Ley 2294 de 2023</w:t>
      </w:r>
      <w:r w:rsidRPr="34D1E0F9" w:rsidR="7CAA09B8">
        <w:rPr>
          <w:rFonts w:ascii="Calibri" w:hAnsi="Calibri" w:eastAsia="Calibri" w:cs="Calibri"/>
          <w:color w:val="000000" w:themeColor="text1"/>
        </w:rPr>
        <w:t>,</w:t>
      </w:r>
      <w:r w:rsidRPr="34D1E0F9">
        <w:rPr>
          <w:rFonts w:ascii="Calibri" w:hAnsi="Calibri" w:eastAsia="Calibri" w:cs="Calibri"/>
          <w:color w:val="000000" w:themeColor="text1"/>
        </w:rPr>
        <w:t xml:space="preserve"> constituye un marco de orientación estratégico para la formulación de esta política, pues reconoce expresamente la necesidad de avanzar en alternativas de desarrollo con energías limpias, el fortalecimiento institucional y la reconfiguración del rol de la minería dentro de una economía descarbonizada y resiliente al cambio climático. Este incluye el </w:t>
      </w:r>
      <w:r w:rsidRPr="34D1E0F9">
        <w:rPr>
          <w:rFonts w:eastAsia="Aptos" w:cstheme="minorBidi"/>
        </w:rPr>
        <w:t xml:space="preserve">plan de conocimiento </w:t>
      </w:r>
      <w:r w:rsidRPr="34D1E0F9" w:rsidR="3360C988">
        <w:rPr>
          <w:rFonts w:eastAsia="Aptos" w:cstheme="minorBidi"/>
        </w:rPr>
        <w:t>geocientífico</w:t>
      </w:r>
      <w:r w:rsidRPr="34D1E0F9">
        <w:rPr>
          <w:rFonts w:eastAsia="Aptos" w:cstheme="minorBidi"/>
        </w:rPr>
        <w:t>, las áreas de reserva estratégica minera</w:t>
      </w:r>
      <w:r w:rsidRPr="34D1E0F9" w:rsidR="7959237C">
        <w:rPr>
          <w:rFonts w:eastAsia="Aptos" w:cstheme="minorBidi"/>
        </w:rPr>
        <w:t xml:space="preserve">, </w:t>
      </w:r>
      <w:r w:rsidRPr="34D1E0F9">
        <w:rPr>
          <w:rFonts w:eastAsia="Aptos" w:cstheme="minorBidi"/>
        </w:rPr>
        <w:t>el desarrollo de proyectos asociativos y Distritos Mineros Especiales para la Diversificación Productiva</w:t>
      </w:r>
      <w:r w:rsidRPr="34D1E0F9" w:rsidR="7959237C">
        <w:rPr>
          <w:rFonts w:eastAsia="Aptos" w:cstheme="minorBidi"/>
        </w:rPr>
        <w:t>, la industrialización a partir de minerales estratégicos, el desarrollo de nuevas alternativas productivas, la reconversión laboral, la solución concertada de los conflictos ocasionados por la minería, y generar condiciones para garantizar la soberanía alimentaria de las poblaciones.</w:t>
      </w:r>
    </w:p>
    <w:p w:rsidRPr="000936BD" w:rsidR="00203125" w:rsidP="00203125" w:rsidRDefault="00203125" w14:paraId="0BA2B663" w14:textId="685C6C2D">
      <w:pPr>
        <w:spacing w:after="0"/>
        <w:jc w:val="both"/>
      </w:pPr>
    </w:p>
    <w:p w:rsidRPr="00742773" w:rsidR="00742773" w:rsidP="00742773" w:rsidRDefault="42632A19" w14:paraId="73C2E625" w14:textId="20F271B4">
      <w:pPr>
        <w:spacing w:after="0"/>
        <w:jc w:val="both"/>
        <w:rPr>
          <w:rFonts w:ascii="Calibri" w:hAnsi="Calibri" w:eastAsia="Calibri" w:cs="Calibri"/>
          <w:color w:val="000000" w:themeColor="text1"/>
        </w:rPr>
      </w:pPr>
      <w:r w:rsidRPr="000936BD">
        <w:rPr>
          <w:rFonts w:ascii="Calibri" w:hAnsi="Calibri" w:eastAsia="Calibri" w:cs="Calibri"/>
          <w:color w:val="000000" w:themeColor="text1"/>
        </w:rPr>
        <w:t>Así mismo, se analizaron los pronunciamientos judiciales y sentencias proferidas por altas cortes</w:t>
      </w:r>
      <w:r w:rsidRPr="000936BD" w:rsidR="53C0A85E">
        <w:rPr>
          <w:rFonts w:ascii="Calibri" w:hAnsi="Calibri" w:eastAsia="Calibri" w:cs="Calibri"/>
          <w:color w:val="000000" w:themeColor="text1"/>
        </w:rPr>
        <w:t xml:space="preserve"> (Ver Anexo </w:t>
      </w:r>
      <w:r w:rsidR="68399A50">
        <w:rPr>
          <w:rFonts w:ascii="Calibri" w:hAnsi="Calibri" w:eastAsia="Calibri" w:cs="Calibri"/>
          <w:color w:val="000000" w:themeColor="text1"/>
        </w:rPr>
        <w:t>4</w:t>
      </w:r>
      <w:r w:rsidR="1DD77504">
        <w:rPr>
          <w:rFonts w:ascii="Calibri" w:hAnsi="Calibri" w:eastAsia="Calibri" w:cs="Calibri"/>
          <w:color w:val="000000" w:themeColor="text1"/>
        </w:rPr>
        <w:t>.</w:t>
      </w:r>
      <w:r w:rsidRPr="000936BD" w:rsidR="53C0A85E">
        <w:rPr>
          <w:rFonts w:ascii="Calibri" w:hAnsi="Calibri" w:eastAsia="Calibri" w:cs="Calibri"/>
          <w:color w:val="000000" w:themeColor="text1"/>
        </w:rPr>
        <w:t>)</w:t>
      </w:r>
      <w:r w:rsidRPr="000936BD">
        <w:rPr>
          <w:rFonts w:ascii="Calibri" w:hAnsi="Calibri" w:eastAsia="Calibri" w:cs="Calibri"/>
          <w:color w:val="000000" w:themeColor="text1"/>
        </w:rPr>
        <w:t xml:space="preserve"> </w:t>
      </w:r>
      <w:r w:rsidRPr="00742773">
        <w:rPr>
          <w:rFonts w:ascii="Calibri" w:hAnsi="Calibri" w:eastAsia="Calibri" w:cs="Calibri"/>
          <w:color w:val="000000" w:themeColor="text1"/>
        </w:rPr>
        <w:t>que han transformado de manera significativa el marco regulatorio de la minería en Colombia, al reforzar principios como la autonomía territorial, la protección ambiental y la participación ciudadana. La Sentencia C-123 de 2014 condicionó la exequibilidad del artículo 37 del Código de Minas</w:t>
      </w:r>
      <w:r w:rsidRPr="000936BD" w:rsidR="002C4045">
        <w:rPr>
          <w:rFonts w:ascii="Calibri" w:hAnsi="Calibri" w:eastAsia="Calibri" w:cs="Calibri"/>
          <w:color w:val="000000" w:themeColor="text1"/>
          <w:vertAlign w:val="superscript"/>
        </w:rPr>
        <w:footnoteReference w:id="11"/>
      </w:r>
      <w:r w:rsidRPr="00742773">
        <w:rPr>
          <w:rFonts w:ascii="Calibri" w:hAnsi="Calibri" w:eastAsia="Calibri" w:cs="Calibri"/>
          <w:color w:val="000000" w:themeColor="text1"/>
        </w:rPr>
        <w:t>, exigiendo concertación entre la Nación y las entidades territoriales bajo los principios de coordinación, concurrencia y subsidiariedad, lo que marcó un giro hacia la gobernanza compartida. A su vez, la Sentencia C-339 de 2002</w:t>
      </w:r>
      <w:r w:rsidRPr="000936BD" w:rsidR="002C4045">
        <w:rPr>
          <w:rFonts w:ascii="Calibri" w:hAnsi="Calibri" w:eastAsia="Calibri" w:cs="Calibri"/>
          <w:color w:val="000000" w:themeColor="text1"/>
          <w:vertAlign w:val="superscript"/>
        </w:rPr>
        <w:footnoteReference w:id="12"/>
      </w:r>
      <w:r w:rsidRPr="00742773">
        <w:rPr>
          <w:rFonts w:ascii="Calibri" w:hAnsi="Calibri" w:eastAsia="Calibri" w:cs="Calibri"/>
          <w:color w:val="000000" w:themeColor="text1"/>
        </w:rPr>
        <w:t xml:space="preserve"> amplió la noción de “autoridad competente” para incluir también a las autoridades ambientales y encargadas de proteger el patrimonio arqueológico, histórico y cultural</w:t>
      </w:r>
      <w:r w:rsidRPr="000936BD" w:rsidR="002C4045">
        <w:rPr>
          <w:rFonts w:ascii="Calibri" w:hAnsi="Calibri" w:eastAsia="Calibri" w:cs="Calibri"/>
          <w:color w:val="000000" w:themeColor="text1"/>
          <w:vertAlign w:val="superscript"/>
        </w:rPr>
        <w:footnoteReference w:id="13"/>
      </w:r>
      <w:r w:rsidRPr="00742773">
        <w:rPr>
          <w:rFonts w:ascii="Calibri" w:hAnsi="Calibri" w:eastAsia="Calibri" w:cs="Calibri"/>
          <w:color w:val="000000" w:themeColor="text1"/>
        </w:rPr>
        <w:t>. En la misma línea, la Sentencia C-443 de 2009 reiteró esta visión e indicó que las zonas excluidas de minería</w:t>
      </w:r>
      <w:r w:rsidRPr="000936BD" w:rsidR="002C4045">
        <w:rPr>
          <w:rFonts w:ascii="Calibri" w:hAnsi="Calibri" w:eastAsia="Calibri" w:cs="Calibri"/>
          <w:color w:val="000000" w:themeColor="text1"/>
          <w:vertAlign w:val="superscript"/>
        </w:rPr>
        <w:footnoteReference w:id="14"/>
      </w:r>
      <w:r w:rsidRPr="00742773">
        <w:rPr>
          <w:rFonts w:ascii="Calibri" w:hAnsi="Calibri" w:eastAsia="Calibri" w:cs="Calibri"/>
          <w:color w:val="000000" w:themeColor="text1"/>
        </w:rPr>
        <w:t xml:space="preserve"> no se limitan a las figuras de parques Nacionales Naturales o Zonas de Reserva Forestal, sino que abarcan todas aquellas declaradas por la autoridad ambiental, exhortando al sector ambiental a fortalecer la política pública de protección ecológica bajo el principio de precaución</w:t>
      </w:r>
      <w:r w:rsidRPr="000936BD" w:rsidR="002C4045">
        <w:rPr>
          <w:rFonts w:ascii="Calibri" w:hAnsi="Calibri" w:eastAsia="Calibri" w:cs="Calibri"/>
          <w:color w:val="000000" w:themeColor="text1"/>
          <w:vertAlign w:val="superscript"/>
        </w:rPr>
        <w:footnoteReference w:id="15"/>
      </w:r>
      <w:r w:rsidRPr="00742773">
        <w:rPr>
          <w:rFonts w:ascii="Calibri" w:hAnsi="Calibri" w:eastAsia="Calibri" w:cs="Calibri"/>
          <w:color w:val="000000" w:themeColor="text1"/>
        </w:rPr>
        <w:t>. Adicionalmente, la Sentencia C-389 de 2016 reafirmó la necesidad de adoptar medidas especiales en la entrega de contratos de concesión minera, instando a diferenciar los tipos y escalas de minería, exigir idoneidad ambiental y laboral de los solicitantes, garantizar la participación ciudadana y al Congreso a reformar la normativa minera acorde a los más altos estándares de protección ambiental.</w:t>
      </w:r>
    </w:p>
    <w:p w:rsidRPr="00742773" w:rsidR="00742773" w:rsidP="00742773" w:rsidRDefault="00742773" w14:paraId="17040843" w14:textId="77777777">
      <w:pPr>
        <w:spacing w:after="0"/>
        <w:jc w:val="both"/>
        <w:rPr>
          <w:rFonts w:ascii="Calibri" w:hAnsi="Calibri" w:eastAsia="Calibri" w:cs="Calibri"/>
          <w:color w:val="000000" w:themeColor="text1"/>
        </w:rPr>
      </w:pPr>
      <w:r w:rsidRPr="00742773">
        <w:rPr>
          <w:rFonts w:ascii="Calibri" w:hAnsi="Calibri" w:eastAsia="Calibri" w:cs="Calibri"/>
          <w:color w:val="000000" w:themeColor="text1"/>
        </w:rPr>
        <w:t> </w:t>
      </w:r>
    </w:p>
    <w:p w:rsidRPr="000936BD" w:rsidR="00742773" w:rsidP="00742773" w:rsidRDefault="42632A19" w14:paraId="10BDBEB2" w14:textId="7DD78ACC">
      <w:pPr>
        <w:spacing w:after="0"/>
        <w:jc w:val="both"/>
        <w:rPr>
          <w:rFonts w:ascii="Calibri" w:hAnsi="Calibri" w:eastAsia="Calibri" w:cs="Calibri"/>
          <w:color w:val="000000" w:themeColor="text1"/>
        </w:rPr>
      </w:pPr>
      <w:r w:rsidRPr="00742773">
        <w:rPr>
          <w:rFonts w:ascii="Calibri" w:hAnsi="Calibri" w:eastAsia="Calibri" w:cs="Calibri"/>
          <w:color w:val="000000" w:themeColor="text1"/>
        </w:rPr>
        <w:t>Finalmente, se resalta de manera particular la denominada “</w:t>
      </w:r>
      <w:r w:rsidRPr="34D1E0F9">
        <w:rPr>
          <w:rFonts w:ascii="Calibri" w:hAnsi="Calibri" w:eastAsia="Calibri" w:cs="Calibri"/>
          <w:i/>
          <w:iCs/>
          <w:color w:val="000000" w:themeColor="text1"/>
        </w:rPr>
        <w:t>sentencia de Ventanilla minera</w:t>
      </w:r>
      <w:r w:rsidRPr="00742773">
        <w:rPr>
          <w:rFonts w:ascii="Calibri" w:hAnsi="Calibri" w:eastAsia="Calibri" w:cs="Calibri"/>
          <w:color w:val="000000" w:themeColor="text1"/>
        </w:rPr>
        <w:t>”, fallo del Consejo de Estado del 4 de agosto de 2022</w:t>
      </w:r>
      <w:r w:rsidRPr="000936BD" w:rsidR="00581B66">
        <w:rPr>
          <w:rFonts w:ascii="Calibri" w:hAnsi="Calibri" w:eastAsia="Calibri" w:cs="Calibri"/>
          <w:color w:val="000000" w:themeColor="text1"/>
          <w:vertAlign w:val="superscript"/>
        </w:rPr>
        <w:footnoteReference w:id="16"/>
      </w:r>
      <w:r w:rsidRPr="00742773">
        <w:rPr>
          <w:rFonts w:ascii="Calibri" w:hAnsi="Calibri" w:eastAsia="Calibri" w:cs="Calibri"/>
          <w:color w:val="000000" w:themeColor="text1"/>
        </w:rPr>
        <w:t>, derivado de una acción popular, dispone en la orden tercera, numeral séptimo, que el Ministerio de Minas y Energía y al Ministerio de Ambiente y Desarrollo Sostenible deben actualizar la Política Minera Nacional para que la misma contemplara acciones y contrarrestara problemas relacionados a: (i) el insuficiente ordenamiento territorial minero-ambiental; (ii) la desarticulación institucional, y (iii) las debilidades del modelo de control y fiscalización de los títulos mineros</w:t>
      </w:r>
      <w:r w:rsidRPr="000936BD" w:rsidR="00581B66">
        <w:rPr>
          <w:rFonts w:ascii="Calibri" w:hAnsi="Calibri" w:eastAsia="Calibri" w:cs="Calibri"/>
          <w:color w:val="000000" w:themeColor="text1"/>
          <w:vertAlign w:val="superscript"/>
        </w:rPr>
        <w:footnoteReference w:id="17"/>
      </w:r>
      <w:r w:rsidRPr="00742773">
        <w:rPr>
          <w:rFonts w:ascii="Calibri" w:hAnsi="Calibri" w:eastAsia="Calibri" w:cs="Calibri"/>
          <w:color w:val="000000" w:themeColor="text1"/>
        </w:rPr>
        <w:t>. </w:t>
      </w:r>
    </w:p>
    <w:p w:rsidRPr="000936BD" w:rsidR="002C4045" w:rsidP="00742773" w:rsidRDefault="002C4045" w14:paraId="421CCF2F" w14:textId="77777777">
      <w:pPr>
        <w:spacing w:after="0"/>
        <w:jc w:val="both"/>
        <w:rPr>
          <w:rFonts w:ascii="Calibri" w:hAnsi="Calibri" w:eastAsia="Calibri" w:cs="Calibri"/>
          <w:color w:val="000000" w:themeColor="text1"/>
        </w:rPr>
      </w:pPr>
    </w:p>
    <w:p w:rsidR="002C4045" w:rsidP="3845A57C" w:rsidRDefault="0510A267" w14:paraId="04CFA149" w14:textId="660C9324">
      <w:pPr>
        <w:spacing w:after="0"/>
        <w:jc w:val="both"/>
        <w:rPr>
          <w:rFonts w:ascii="Calibri" w:hAnsi="Calibri" w:eastAsia="Calibri" w:cs="Calibri"/>
          <w:color w:val="000000" w:themeColor="text1"/>
          <w:lang w:val="es-ES"/>
        </w:rPr>
      </w:pPr>
      <w:r w:rsidRPr="3845A57C">
        <w:rPr>
          <w:rFonts w:ascii="Calibri" w:hAnsi="Calibri" w:eastAsia="Calibri" w:cs="Calibri"/>
          <w:color w:val="000000" w:themeColor="text1"/>
          <w:lang w:val="es-ES"/>
        </w:rPr>
        <w:t>Estas determinaciones han sido parte de los diferentes pronunciamientos judiciales que, sumados al actual contexto del país, evidenciaron la necesidad de actualizar la política minera nacional, expedida en el año 2016</w:t>
      </w:r>
      <w:sdt>
        <w:sdtPr>
          <w:rPr>
            <w:rFonts w:ascii="Calibri" w:hAnsi="Calibri" w:eastAsia="Calibri" w:cs="Calibri"/>
            <w:color w:val="000000" w:themeColor="text1"/>
            <w:lang w:val="es-ES"/>
          </w:rPr>
          <w:id w:val="106937043"/>
          <w:citation/>
        </w:sdtPr>
        <w:sdtEndPr/>
        <w:sdtContent>
          <w:r w:rsidR="000D1EC1">
            <w:rPr>
              <w:rFonts w:ascii="Calibri" w:hAnsi="Calibri" w:eastAsia="Calibri" w:cs="Calibri"/>
              <w:color w:val="000000" w:themeColor="text1"/>
              <w:lang w:val="es-ES"/>
            </w:rPr>
            <w:fldChar w:fldCharType="begin"/>
          </w:r>
          <w:r w:rsidR="000D1EC1">
            <w:rPr>
              <w:rFonts w:ascii="Calibri" w:hAnsi="Calibri" w:eastAsia="Calibri" w:cs="Calibri"/>
              <w:color w:val="000000" w:themeColor="text1"/>
            </w:rPr>
            <w:instrText xml:space="preserve"> CITATION MME16 \l 9226 </w:instrText>
          </w:r>
          <w:r w:rsidR="000D1EC1">
            <w:rPr>
              <w:rFonts w:ascii="Calibri" w:hAnsi="Calibri" w:eastAsia="Calibri" w:cs="Calibri"/>
              <w:color w:val="000000" w:themeColor="text1"/>
              <w:lang w:val="es-ES"/>
            </w:rPr>
            <w:fldChar w:fldCharType="separate"/>
          </w:r>
          <w:r w:rsidR="00104221">
            <w:rPr>
              <w:rFonts w:ascii="Calibri" w:hAnsi="Calibri" w:eastAsia="Calibri" w:cs="Calibri"/>
              <w:noProof/>
              <w:color w:val="000000" w:themeColor="text1"/>
            </w:rPr>
            <w:t xml:space="preserve"> </w:t>
          </w:r>
          <w:r w:rsidRPr="00104221" w:rsidR="00104221">
            <w:rPr>
              <w:rFonts w:ascii="Calibri" w:hAnsi="Calibri" w:eastAsia="Calibri" w:cs="Calibri"/>
              <w:noProof/>
              <w:color w:val="000000" w:themeColor="text1"/>
            </w:rPr>
            <w:t>(MinEnergía, 2016)</w:t>
          </w:r>
          <w:r w:rsidR="000D1EC1">
            <w:rPr>
              <w:rFonts w:ascii="Calibri" w:hAnsi="Calibri" w:eastAsia="Calibri" w:cs="Calibri"/>
              <w:color w:val="000000" w:themeColor="text1"/>
              <w:lang w:val="es-ES"/>
            </w:rPr>
            <w:fldChar w:fldCharType="end"/>
          </w:r>
        </w:sdtContent>
      </w:sdt>
      <w:r w:rsidRPr="3845A57C">
        <w:rPr>
          <w:rFonts w:ascii="Calibri" w:hAnsi="Calibri" w:eastAsia="Calibri" w:cs="Calibri"/>
          <w:color w:val="000000" w:themeColor="text1"/>
          <w:lang w:val="es-ES"/>
        </w:rPr>
        <w:t xml:space="preserve">, la cual se formuló basada principalmente en el aprovechamiento del potencial minero como motor del crecimiento económico, empleo y la inversión </w:t>
      </w:r>
      <w:r w:rsidRPr="3845A57C" w:rsidR="7959237C">
        <w:rPr>
          <w:rFonts w:ascii="Calibri" w:hAnsi="Calibri" w:eastAsia="Calibri" w:cs="Calibri"/>
          <w:color w:val="000000" w:themeColor="text1"/>
          <w:lang w:val="es-ES"/>
        </w:rPr>
        <w:t>privada</w:t>
      </w:r>
      <w:r w:rsidRPr="3845A57C">
        <w:rPr>
          <w:rFonts w:ascii="Calibri" w:hAnsi="Calibri" w:eastAsia="Calibri" w:cs="Calibri"/>
          <w:color w:val="000000" w:themeColor="text1"/>
          <w:lang w:val="es-ES"/>
        </w:rPr>
        <w:t>.</w:t>
      </w:r>
    </w:p>
    <w:p w:rsidR="00E9513B" w:rsidP="002C4045" w:rsidRDefault="00E9513B" w14:paraId="0E16186C" w14:textId="77777777">
      <w:pPr>
        <w:spacing w:after="0"/>
        <w:jc w:val="both"/>
        <w:rPr>
          <w:rFonts w:ascii="Calibri" w:hAnsi="Calibri" w:eastAsia="Calibri" w:cs="Calibri"/>
          <w:color w:val="000000" w:themeColor="text1"/>
        </w:rPr>
      </w:pPr>
    </w:p>
    <w:p w:rsidRPr="008A22DF" w:rsidR="00E9513B" w:rsidP="34D1E0F9" w:rsidRDefault="00E9513B" w14:paraId="11FC61BA" w14:textId="77777777">
      <w:pPr>
        <w:pStyle w:val="Heading2"/>
        <w:jc w:val="center"/>
      </w:pPr>
      <w:bookmarkStart w:name="_Toc210292958" w:id="250"/>
      <w:r>
        <w:t>Antecedentes institucionales</w:t>
      </w:r>
      <w:bookmarkEnd w:id="250"/>
      <w:r>
        <w:t xml:space="preserve"> </w:t>
      </w:r>
    </w:p>
    <w:p w:rsidRPr="008A22DF" w:rsidR="00E9513B" w:rsidP="00E9513B" w:rsidRDefault="00E9513B" w14:paraId="1A3DD9A4" w14:textId="77777777">
      <w:pPr>
        <w:spacing w:after="0"/>
        <w:jc w:val="both"/>
        <w:rPr>
          <w:rFonts w:ascii="Calibri" w:hAnsi="Calibri" w:eastAsia="Calibri" w:cs="Calibri"/>
          <w:color w:val="000000" w:themeColor="text1"/>
        </w:rPr>
      </w:pPr>
    </w:p>
    <w:p w:rsidRPr="008A22DF" w:rsidR="00E9513B" w:rsidP="00E9513B" w:rsidRDefault="00E9513B" w14:paraId="51D31D7A" w14:textId="15E720CC">
      <w:pPr>
        <w:spacing w:after="0"/>
        <w:jc w:val="both"/>
        <w:rPr>
          <w:rFonts w:ascii="Calibri" w:hAnsi="Calibri" w:eastAsia="Calibri" w:cs="Calibri"/>
          <w:color w:val="000000" w:themeColor="text1"/>
        </w:rPr>
      </w:pPr>
      <w:r w:rsidRPr="34D1E0F9">
        <w:rPr>
          <w:rFonts w:ascii="Calibri" w:hAnsi="Calibri" w:eastAsia="Calibri" w:cs="Calibri"/>
          <w:color w:val="000000" w:themeColor="text1"/>
        </w:rPr>
        <w:t>El Gobierno nacional</w:t>
      </w:r>
      <w:r w:rsidRPr="34D1E0F9" w:rsidR="47CE3F32">
        <w:rPr>
          <w:rFonts w:ascii="Calibri" w:hAnsi="Calibri" w:eastAsia="Calibri" w:cs="Calibri"/>
          <w:color w:val="000000" w:themeColor="text1"/>
        </w:rPr>
        <w:t xml:space="preserve">, reconociendo </w:t>
      </w:r>
      <w:r w:rsidRPr="34D1E0F9">
        <w:rPr>
          <w:rFonts w:ascii="Calibri" w:hAnsi="Calibri" w:eastAsia="Calibri" w:cs="Calibri"/>
          <w:color w:val="000000" w:themeColor="text1"/>
        </w:rPr>
        <w:t xml:space="preserve">la necesidad de </w:t>
      </w:r>
      <w:r w:rsidRPr="34D1E0F9" w:rsidR="144BD867">
        <w:rPr>
          <w:rFonts w:ascii="Calibri" w:hAnsi="Calibri" w:eastAsia="Calibri" w:cs="Calibri"/>
          <w:color w:val="000000" w:themeColor="text1"/>
        </w:rPr>
        <w:t>contar con</w:t>
      </w:r>
      <w:r w:rsidRPr="34D1E0F9">
        <w:rPr>
          <w:rFonts w:ascii="Calibri" w:hAnsi="Calibri" w:eastAsia="Calibri" w:cs="Calibri"/>
          <w:color w:val="000000" w:themeColor="text1"/>
        </w:rPr>
        <w:t xml:space="preserve"> políticas públicas claras</w:t>
      </w:r>
      <w:r w:rsidRPr="34D1E0F9" w:rsidR="70702A03">
        <w:rPr>
          <w:rFonts w:ascii="Calibri" w:hAnsi="Calibri" w:eastAsia="Calibri" w:cs="Calibri"/>
          <w:color w:val="000000" w:themeColor="text1"/>
        </w:rPr>
        <w:t xml:space="preserve"> </w:t>
      </w:r>
      <w:r w:rsidRPr="34D1E0F9" w:rsidR="13F7A768">
        <w:rPr>
          <w:rFonts w:ascii="Calibri" w:hAnsi="Calibri" w:eastAsia="Calibri" w:cs="Calibri"/>
          <w:color w:val="000000" w:themeColor="text1"/>
        </w:rPr>
        <w:t>y diferenciadas</w:t>
      </w:r>
      <w:r w:rsidRPr="34D1E0F9">
        <w:rPr>
          <w:rFonts w:ascii="Calibri" w:hAnsi="Calibri" w:eastAsia="Calibri" w:cs="Calibri"/>
          <w:color w:val="000000" w:themeColor="text1"/>
        </w:rPr>
        <w:t xml:space="preserve"> </w:t>
      </w:r>
      <w:r w:rsidRPr="34D1E0F9" w:rsidR="65404775">
        <w:rPr>
          <w:rFonts w:ascii="Calibri" w:hAnsi="Calibri" w:eastAsia="Calibri" w:cs="Calibri"/>
          <w:color w:val="000000" w:themeColor="text1"/>
        </w:rPr>
        <w:t xml:space="preserve">que </w:t>
      </w:r>
      <w:r w:rsidRPr="34D1E0F9" w:rsidR="5C98AB03">
        <w:rPr>
          <w:rFonts w:ascii="Calibri" w:hAnsi="Calibri" w:eastAsia="Calibri" w:cs="Calibri"/>
          <w:color w:val="000000" w:themeColor="text1"/>
        </w:rPr>
        <w:t xml:space="preserve">respondan </w:t>
      </w:r>
      <w:r w:rsidRPr="34D1E0F9">
        <w:rPr>
          <w:rFonts w:ascii="Calibri" w:hAnsi="Calibri" w:eastAsia="Calibri" w:cs="Calibri"/>
          <w:color w:val="000000" w:themeColor="text1"/>
        </w:rPr>
        <w:t>a la particularidad de las</w:t>
      </w:r>
      <w:r w:rsidRPr="34D1E0F9" w:rsidR="2DF7D07A">
        <w:rPr>
          <w:rFonts w:ascii="Calibri" w:hAnsi="Calibri" w:eastAsia="Calibri" w:cs="Calibri"/>
          <w:color w:val="000000" w:themeColor="text1"/>
        </w:rPr>
        <w:t xml:space="preserve"> distintas</w:t>
      </w:r>
      <w:r w:rsidRPr="34D1E0F9">
        <w:rPr>
          <w:rFonts w:ascii="Calibri" w:hAnsi="Calibri" w:eastAsia="Calibri" w:cs="Calibri"/>
          <w:color w:val="000000" w:themeColor="text1"/>
        </w:rPr>
        <w:t xml:space="preserve"> escalas de la minería,</w:t>
      </w:r>
      <w:r w:rsidRPr="34D1E0F9" w:rsidR="0E193A25">
        <w:rPr>
          <w:rFonts w:ascii="Calibri" w:hAnsi="Calibri" w:eastAsia="Calibri" w:cs="Calibri"/>
          <w:color w:val="000000" w:themeColor="text1"/>
        </w:rPr>
        <w:t xml:space="preserve"> ha elaborado </w:t>
      </w:r>
      <w:r w:rsidRPr="34D1E0F9">
        <w:rPr>
          <w:rFonts w:ascii="Calibri" w:hAnsi="Calibri" w:eastAsia="Calibri" w:cs="Calibri"/>
          <w:color w:val="000000" w:themeColor="text1"/>
        </w:rPr>
        <w:t xml:space="preserve">en los últimos diez </w:t>
      </w:r>
      <w:r w:rsidRPr="34D1E0F9" w:rsidR="3B2D521E">
        <w:rPr>
          <w:rFonts w:ascii="Calibri" w:hAnsi="Calibri" w:eastAsia="Calibri" w:cs="Calibri"/>
          <w:color w:val="000000" w:themeColor="text1"/>
        </w:rPr>
        <w:t xml:space="preserve">años diversos </w:t>
      </w:r>
      <w:r w:rsidRPr="34D1E0F9">
        <w:rPr>
          <w:rFonts w:ascii="Calibri" w:hAnsi="Calibri" w:eastAsia="Calibri" w:cs="Calibri"/>
          <w:color w:val="000000" w:themeColor="text1"/>
        </w:rPr>
        <w:t xml:space="preserve">instrumentos de planificación que, si bien </w:t>
      </w:r>
      <w:r w:rsidRPr="34D1E0F9" w:rsidR="10EC62F0">
        <w:rPr>
          <w:rFonts w:ascii="Calibri" w:hAnsi="Calibri" w:eastAsia="Calibri" w:cs="Calibri"/>
          <w:color w:val="000000" w:themeColor="text1"/>
        </w:rPr>
        <w:t>constituyen referentes</w:t>
      </w:r>
      <w:r w:rsidRPr="34D1E0F9">
        <w:rPr>
          <w:rFonts w:ascii="Calibri" w:hAnsi="Calibri" w:eastAsia="Calibri" w:cs="Calibri"/>
          <w:color w:val="000000" w:themeColor="text1"/>
        </w:rPr>
        <w:t xml:space="preserve"> </w:t>
      </w:r>
      <w:r w:rsidRPr="34D1E0F9" w:rsidR="5FE7E27C">
        <w:rPr>
          <w:rFonts w:ascii="Calibri" w:hAnsi="Calibri" w:eastAsia="Calibri" w:cs="Calibri"/>
          <w:color w:val="000000" w:themeColor="text1"/>
        </w:rPr>
        <w:t>para la P</w:t>
      </w:r>
      <w:r w:rsidRPr="34D1E0F9">
        <w:rPr>
          <w:rFonts w:ascii="Calibri" w:hAnsi="Calibri" w:eastAsia="Calibri" w:cs="Calibri"/>
          <w:color w:val="000000" w:themeColor="text1"/>
        </w:rPr>
        <w:t xml:space="preserve">olítica </w:t>
      </w:r>
      <w:r w:rsidRPr="34D1E0F9" w:rsidR="4E6B8605">
        <w:rPr>
          <w:rFonts w:ascii="Calibri" w:hAnsi="Calibri" w:eastAsia="Calibri" w:cs="Calibri"/>
          <w:color w:val="000000" w:themeColor="text1"/>
        </w:rPr>
        <w:t>P</w:t>
      </w:r>
      <w:r w:rsidRPr="34D1E0F9">
        <w:rPr>
          <w:rFonts w:ascii="Calibri" w:hAnsi="Calibri" w:eastAsia="Calibri" w:cs="Calibri"/>
          <w:color w:val="000000" w:themeColor="text1"/>
        </w:rPr>
        <w:t xml:space="preserve">ública </w:t>
      </w:r>
      <w:r w:rsidRPr="34D1E0F9" w:rsidR="0DFD402B">
        <w:rPr>
          <w:rFonts w:ascii="Calibri" w:hAnsi="Calibri" w:eastAsia="Calibri" w:cs="Calibri"/>
          <w:color w:val="000000" w:themeColor="text1"/>
        </w:rPr>
        <w:t>M</w:t>
      </w:r>
      <w:r w:rsidRPr="34D1E0F9">
        <w:rPr>
          <w:rFonts w:ascii="Calibri" w:hAnsi="Calibri" w:eastAsia="Calibri" w:cs="Calibri"/>
          <w:color w:val="000000" w:themeColor="text1"/>
        </w:rPr>
        <w:t xml:space="preserve">inera, no </w:t>
      </w:r>
      <w:r w:rsidRPr="34D1E0F9" w:rsidR="62964D55">
        <w:rPr>
          <w:rFonts w:ascii="Calibri" w:hAnsi="Calibri" w:eastAsia="Calibri" w:cs="Calibri"/>
          <w:color w:val="000000" w:themeColor="text1"/>
        </w:rPr>
        <w:t>responden</w:t>
      </w:r>
      <w:r w:rsidRPr="34D1E0F9">
        <w:rPr>
          <w:rFonts w:ascii="Calibri" w:hAnsi="Calibri" w:eastAsia="Calibri" w:cs="Calibri"/>
          <w:color w:val="000000" w:themeColor="text1"/>
        </w:rPr>
        <w:t xml:space="preserve"> en su totalidad los retos</w:t>
      </w:r>
      <w:r w:rsidRPr="34D1E0F9" w:rsidR="47BA0907">
        <w:rPr>
          <w:rFonts w:ascii="Calibri" w:hAnsi="Calibri" w:eastAsia="Calibri" w:cs="Calibri"/>
          <w:color w:val="000000" w:themeColor="text1"/>
        </w:rPr>
        <w:t xml:space="preserve"> actuales</w:t>
      </w:r>
      <w:r w:rsidRPr="34D1E0F9">
        <w:rPr>
          <w:rFonts w:ascii="Calibri" w:hAnsi="Calibri" w:eastAsia="Calibri" w:cs="Calibri"/>
          <w:color w:val="000000" w:themeColor="text1"/>
        </w:rPr>
        <w:t xml:space="preserve"> del sector minero</w:t>
      </w:r>
      <w:r w:rsidRPr="34D1E0F9" w:rsidR="126ED667">
        <w:rPr>
          <w:rFonts w:ascii="Calibri" w:hAnsi="Calibri" w:eastAsia="Calibri" w:cs="Calibri"/>
          <w:color w:val="000000" w:themeColor="text1"/>
        </w:rPr>
        <w:t xml:space="preserve">. En este contexto, se destacan </w:t>
      </w:r>
      <w:r w:rsidRPr="34D1E0F9" w:rsidR="0FCD16BA">
        <w:rPr>
          <w:rFonts w:ascii="Calibri" w:hAnsi="Calibri" w:eastAsia="Calibri" w:cs="Calibri"/>
          <w:color w:val="000000" w:themeColor="text1"/>
        </w:rPr>
        <w:t>los principales instrumentos de planificación y política elaborados en la última década, los cuales han orientado la gestión del sector minero</w:t>
      </w:r>
      <w:r w:rsidRPr="34D1E0F9" w:rsidR="39B21B00">
        <w:rPr>
          <w:rFonts w:ascii="Calibri" w:hAnsi="Calibri" w:eastAsia="Calibri" w:cs="Calibri"/>
          <w:color w:val="000000" w:themeColor="text1"/>
        </w:rPr>
        <w:t>:</w:t>
      </w:r>
    </w:p>
    <w:p w:rsidRPr="008A22DF" w:rsidR="00E9513B" w:rsidP="00E9513B" w:rsidRDefault="00E9513B" w14:paraId="2B1EB44D" w14:textId="77777777">
      <w:pPr>
        <w:spacing w:after="0"/>
        <w:jc w:val="both"/>
        <w:rPr>
          <w:rFonts w:ascii="Calibri" w:hAnsi="Calibri" w:eastAsia="Calibri" w:cs="Calibri"/>
          <w:color w:val="000000" w:themeColor="text1"/>
        </w:rPr>
      </w:pPr>
    </w:p>
    <w:p w:rsidRPr="008A22DF" w:rsidR="00E9513B" w:rsidP="0076250F" w:rsidRDefault="00E9513B" w14:paraId="53F7C5CA" w14:textId="3ED8B2CB">
      <w:pPr>
        <w:pStyle w:val="Heading3"/>
      </w:pPr>
      <w:bookmarkStart w:name="_Toc210292959" w:id="251"/>
      <w:r w:rsidRPr="0076250F">
        <w:t>Política</w:t>
      </w:r>
      <w:r w:rsidRPr="008A22DF">
        <w:t xml:space="preserve"> de Derechos Humanos del sector minero energético</w:t>
      </w:r>
      <w:bookmarkEnd w:id="251"/>
    </w:p>
    <w:p w:rsidRPr="008A22DF" w:rsidR="00E9513B" w:rsidP="00E9513B" w:rsidRDefault="00E9513B" w14:paraId="636BABB9" w14:textId="77777777">
      <w:pPr>
        <w:spacing w:after="0"/>
        <w:jc w:val="both"/>
        <w:rPr>
          <w:rFonts w:ascii="Calibri" w:hAnsi="Calibri" w:eastAsia="Calibri" w:cs="Calibri"/>
          <w:color w:val="000000" w:themeColor="text1"/>
        </w:rPr>
      </w:pPr>
    </w:p>
    <w:p w:rsidRPr="008A22DF" w:rsidR="00E9513B" w:rsidP="00E9513B" w:rsidRDefault="53C0A85E" w14:paraId="34A7D424" w14:textId="69935FED">
      <w:pPr>
        <w:spacing w:after="0"/>
        <w:jc w:val="both"/>
        <w:rPr>
          <w:rFonts w:ascii="Calibri" w:hAnsi="Calibri" w:eastAsia="Calibri" w:cs="Calibri"/>
          <w:color w:val="000000" w:themeColor="text1"/>
        </w:rPr>
      </w:pPr>
      <w:r w:rsidRPr="008A22DF">
        <w:rPr>
          <w:rFonts w:ascii="Calibri" w:hAnsi="Calibri" w:eastAsia="Calibri" w:cs="Calibri"/>
          <w:color w:val="000000" w:themeColor="text1"/>
        </w:rPr>
        <w:t>En el 2018 el Ministerio de Minas y Energía elaboró la Política de Derechos Humanos</w:t>
      </w:r>
      <w:r w:rsidRPr="008A22DF" w:rsidR="00E748DF">
        <w:rPr>
          <w:rStyle w:val="FootnoteReference"/>
          <w:rFonts w:ascii="Calibri" w:hAnsi="Calibri" w:eastAsia="Calibri" w:cs="Calibri"/>
          <w:color w:val="000000" w:themeColor="text1"/>
        </w:rPr>
        <w:footnoteReference w:id="18"/>
      </w:r>
      <w:r w:rsidRPr="008A22DF">
        <w:rPr>
          <w:rFonts w:ascii="Calibri" w:hAnsi="Calibri" w:eastAsia="Calibri" w:cs="Calibri"/>
          <w:color w:val="000000" w:themeColor="text1"/>
        </w:rPr>
        <w:t xml:space="preserve"> del sector, con el objetivo de “</w:t>
      </w:r>
      <w:r w:rsidRPr="34D1E0F9">
        <w:rPr>
          <w:rFonts w:ascii="Calibri" w:hAnsi="Calibri" w:eastAsia="Calibri" w:cs="Calibri"/>
          <w:i/>
          <w:iCs/>
          <w:color w:val="000000" w:themeColor="text1"/>
        </w:rPr>
        <w:t>Generar un marco de acción que permita al sector minero energético fortalecer su contribución en la prevención, promoción, protección y garantía de los Derechos Humanos, con enfoque diferencial</w:t>
      </w:r>
      <w:r w:rsidRPr="008A22DF">
        <w:rPr>
          <w:rFonts w:ascii="Calibri" w:hAnsi="Calibri" w:eastAsia="Calibri" w:cs="Calibri"/>
          <w:color w:val="000000" w:themeColor="text1"/>
        </w:rPr>
        <w:t>”</w:t>
      </w:r>
      <w:sdt>
        <w:sdtPr>
          <w:rPr>
            <w:rFonts w:ascii="Calibri" w:hAnsi="Calibri" w:eastAsia="Calibri" w:cs="Calibri"/>
            <w:color w:val="000000" w:themeColor="text1"/>
          </w:rPr>
          <w:id w:val="-1704553553"/>
          <w:citation/>
        </w:sdtPr>
        <w:sdtEndPr/>
        <w:sdtContent>
          <w:r w:rsidR="00ED4EC9">
            <w:rPr>
              <w:rFonts w:ascii="Calibri" w:hAnsi="Calibri" w:eastAsia="Calibri" w:cs="Calibri"/>
              <w:color w:val="000000" w:themeColor="text1"/>
            </w:rPr>
            <w:fldChar w:fldCharType="begin"/>
          </w:r>
          <w:r w:rsidR="00ED4EC9">
            <w:rPr>
              <w:rFonts w:ascii="Calibri" w:hAnsi="Calibri" w:eastAsia="Calibri" w:cs="Calibri"/>
              <w:color w:val="000000" w:themeColor="text1"/>
            </w:rPr>
            <w:instrText xml:space="preserve"> CITATION MME18 \l 9226 </w:instrText>
          </w:r>
          <w:r w:rsidR="00ED4EC9">
            <w:rPr>
              <w:rFonts w:ascii="Calibri" w:hAnsi="Calibri" w:eastAsia="Calibri" w:cs="Calibri"/>
              <w:color w:val="000000" w:themeColor="text1"/>
            </w:rPr>
            <w:fldChar w:fldCharType="separate"/>
          </w:r>
          <w:r w:rsidR="00104221">
            <w:rPr>
              <w:rFonts w:ascii="Calibri" w:hAnsi="Calibri" w:eastAsia="Calibri" w:cs="Calibri"/>
              <w:noProof/>
              <w:color w:val="000000" w:themeColor="text1"/>
            </w:rPr>
            <w:t xml:space="preserve"> </w:t>
          </w:r>
          <w:r w:rsidRPr="00104221" w:rsidR="00104221">
            <w:rPr>
              <w:rFonts w:ascii="Calibri" w:hAnsi="Calibri" w:eastAsia="Calibri" w:cs="Calibri"/>
              <w:noProof/>
              <w:color w:val="000000" w:themeColor="text1"/>
            </w:rPr>
            <w:t>(MinEnergía, 2018)</w:t>
          </w:r>
          <w:r w:rsidR="00ED4EC9">
            <w:rPr>
              <w:rFonts w:ascii="Calibri" w:hAnsi="Calibri" w:eastAsia="Calibri" w:cs="Calibri"/>
              <w:color w:val="000000" w:themeColor="text1"/>
            </w:rPr>
            <w:fldChar w:fldCharType="end"/>
          </w:r>
        </w:sdtContent>
      </w:sdt>
      <w:r w:rsidR="00ED4EC9">
        <w:rPr>
          <w:rFonts w:ascii="Calibri" w:hAnsi="Calibri" w:eastAsia="Calibri" w:cs="Calibri"/>
          <w:color w:val="000000" w:themeColor="text1"/>
        </w:rPr>
        <w:t>.</w:t>
      </w:r>
    </w:p>
    <w:p w:rsidRPr="008A22DF" w:rsidR="00E9513B" w:rsidP="00E9513B" w:rsidRDefault="00E9513B" w14:paraId="25822D31" w14:textId="77777777">
      <w:pPr>
        <w:spacing w:after="0"/>
        <w:jc w:val="both"/>
        <w:rPr>
          <w:rFonts w:ascii="Calibri" w:hAnsi="Calibri" w:eastAsia="Calibri" w:cs="Calibri"/>
          <w:color w:val="000000" w:themeColor="text1"/>
        </w:rPr>
      </w:pPr>
    </w:p>
    <w:p w:rsidRPr="008A22DF" w:rsidR="00E9513B" w:rsidP="00E9513B" w:rsidRDefault="00E9513B" w14:paraId="0E0C688D" w14:textId="4D175E76">
      <w:pPr>
        <w:spacing w:after="0"/>
        <w:jc w:val="both"/>
        <w:rPr>
          <w:rFonts w:ascii="Calibri" w:hAnsi="Calibri" w:eastAsia="Calibri" w:cs="Calibri"/>
          <w:color w:val="000000" w:themeColor="text1"/>
        </w:rPr>
      </w:pPr>
      <w:r w:rsidRPr="34D1E0F9">
        <w:rPr>
          <w:rFonts w:ascii="Calibri" w:hAnsi="Calibri" w:eastAsia="Calibri" w:cs="Calibri"/>
          <w:color w:val="000000" w:themeColor="text1"/>
        </w:rPr>
        <w:t>Esta política cuenta con las siguientes líneas estratégicas: i) Articulación interinstitucional e intersectorial para la planeación y ejecución de las acciones del sector minero energético, ii) Aportar a la sostenibilidad económica regional y a la reducción de la pobreza y la desigualdad, iii) Transformación de la conflictividad social a través del relacionamiento constructivo entre Estado, empresas minero</w:t>
      </w:r>
      <w:r w:rsidRPr="34D1E0F9" w:rsidR="3993832A">
        <w:rPr>
          <w:rFonts w:ascii="Calibri" w:hAnsi="Calibri" w:eastAsia="Calibri" w:cs="Calibri"/>
          <w:color w:val="000000" w:themeColor="text1"/>
        </w:rPr>
        <w:t>-</w:t>
      </w:r>
      <w:r w:rsidRPr="34D1E0F9">
        <w:rPr>
          <w:rFonts w:ascii="Calibri" w:hAnsi="Calibri" w:eastAsia="Calibri" w:cs="Calibri"/>
          <w:color w:val="000000" w:themeColor="text1"/>
        </w:rPr>
        <w:t>energéticas y las comunidades, iv) Cultura y procesos de formación en derechos humanos en la cadena de valor del sector minero energético y v) La transparencia como un factor de competitividad en el sector minero</w:t>
      </w:r>
      <w:r w:rsidRPr="34D1E0F9" w:rsidR="66CD4F34">
        <w:rPr>
          <w:rFonts w:ascii="Calibri" w:hAnsi="Calibri" w:eastAsia="Calibri" w:cs="Calibri"/>
          <w:color w:val="000000" w:themeColor="text1"/>
        </w:rPr>
        <w:t>-</w:t>
      </w:r>
      <w:r w:rsidRPr="34D1E0F9">
        <w:rPr>
          <w:rFonts w:ascii="Calibri" w:hAnsi="Calibri" w:eastAsia="Calibri" w:cs="Calibri"/>
          <w:color w:val="000000" w:themeColor="text1"/>
        </w:rPr>
        <w:t>energético, a nivel regional y nacional.</w:t>
      </w:r>
    </w:p>
    <w:p w:rsidRPr="008A22DF" w:rsidR="00E9513B" w:rsidP="00E9513B" w:rsidRDefault="00E9513B" w14:paraId="0D13A219" w14:textId="77777777">
      <w:pPr>
        <w:spacing w:after="0"/>
        <w:jc w:val="both"/>
        <w:rPr>
          <w:rFonts w:ascii="Calibri" w:hAnsi="Calibri" w:eastAsia="Calibri" w:cs="Calibri"/>
          <w:color w:val="000000" w:themeColor="text1"/>
        </w:rPr>
      </w:pPr>
    </w:p>
    <w:p w:rsidRPr="008A22DF" w:rsidR="00E9513B" w:rsidP="0076250F" w:rsidRDefault="00E9513B" w14:paraId="453E4763" w14:textId="1AAB3691">
      <w:pPr>
        <w:pStyle w:val="Heading3"/>
      </w:pPr>
      <w:bookmarkStart w:name="_Toc210292960" w:id="252"/>
      <w:r w:rsidRPr="008A22DF">
        <w:t>Política Nacional de seguridad minera.</w:t>
      </w:r>
      <w:bookmarkEnd w:id="252"/>
      <w:r w:rsidRPr="008A22DF">
        <w:t xml:space="preserve"> </w:t>
      </w:r>
    </w:p>
    <w:p w:rsidRPr="008A22DF" w:rsidR="00E9513B" w:rsidP="00E9513B" w:rsidRDefault="00E9513B" w14:paraId="0145848C" w14:textId="77777777">
      <w:pPr>
        <w:spacing w:after="0"/>
        <w:jc w:val="both"/>
        <w:rPr>
          <w:rFonts w:ascii="Calibri" w:hAnsi="Calibri" w:eastAsia="Calibri" w:cs="Calibri"/>
          <w:color w:val="000000" w:themeColor="text1"/>
        </w:rPr>
      </w:pPr>
    </w:p>
    <w:p w:rsidRPr="008A22DF" w:rsidR="00E9513B" w:rsidP="00E9513B" w:rsidRDefault="53C0A85E" w14:paraId="62FAB1B2" w14:textId="12A86AE3">
      <w:pPr>
        <w:spacing w:after="0"/>
        <w:jc w:val="both"/>
        <w:rPr>
          <w:rFonts w:ascii="Calibri" w:hAnsi="Calibri" w:eastAsia="Calibri" w:cs="Calibri"/>
          <w:color w:val="000000" w:themeColor="text1"/>
        </w:rPr>
      </w:pPr>
      <w:r w:rsidRPr="008A22DF">
        <w:rPr>
          <w:rFonts w:ascii="Calibri" w:hAnsi="Calibri" w:eastAsia="Calibri" w:cs="Calibri"/>
          <w:color w:val="000000" w:themeColor="text1"/>
        </w:rPr>
        <w:t xml:space="preserve">La política nacional de seguridad minera fue actualizada mediante </w:t>
      </w:r>
      <w:r w:rsidRPr="008A22DF" w:rsidR="08134BFD">
        <w:rPr>
          <w:rFonts w:ascii="Calibri" w:hAnsi="Calibri" w:eastAsia="Calibri" w:cs="Calibri"/>
          <w:color w:val="000000" w:themeColor="text1"/>
        </w:rPr>
        <w:t>R</w:t>
      </w:r>
      <w:r w:rsidRPr="008A22DF">
        <w:rPr>
          <w:rFonts w:ascii="Calibri" w:hAnsi="Calibri" w:eastAsia="Calibri" w:cs="Calibri"/>
          <w:color w:val="000000" w:themeColor="text1"/>
        </w:rPr>
        <w:t xml:space="preserve">esolución </w:t>
      </w:r>
      <w:proofErr w:type="spellStart"/>
      <w:r w:rsidRPr="008A22DF">
        <w:rPr>
          <w:rFonts w:ascii="Calibri" w:hAnsi="Calibri" w:eastAsia="Calibri" w:cs="Calibri"/>
          <w:color w:val="000000" w:themeColor="text1"/>
        </w:rPr>
        <w:t>N°</w:t>
      </w:r>
      <w:proofErr w:type="spellEnd"/>
      <w:r w:rsidRPr="008A22DF">
        <w:rPr>
          <w:rFonts w:ascii="Calibri" w:hAnsi="Calibri" w:eastAsia="Calibri" w:cs="Calibri"/>
          <w:color w:val="000000" w:themeColor="text1"/>
        </w:rPr>
        <w:t xml:space="preserve"> 40209 del 10 de junio de 2022</w:t>
      </w:r>
      <w:r w:rsidRPr="008A22DF" w:rsidR="00E748DF">
        <w:rPr>
          <w:rStyle w:val="FootnoteReference"/>
          <w:rFonts w:ascii="Calibri" w:hAnsi="Calibri" w:eastAsia="Calibri" w:cs="Calibri"/>
          <w:color w:val="000000" w:themeColor="text1"/>
        </w:rPr>
        <w:footnoteReference w:id="19"/>
      </w:r>
      <w:r w:rsidRPr="008A22DF">
        <w:rPr>
          <w:rFonts w:ascii="Calibri" w:hAnsi="Calibri" w:eastAsia="Calibri" w:cs="Calibri"/>
          <w:color w:val="000000" w:themeColor="text1"/>
        </w:rPr>
        <w:t xml:space="preserve">. Como su nombre lo indica, esta política está dirigida a los mineros que adelantan la actividad en las diferentes escalas de la minera, la autoridad minera y demás actores que puedan verse vinculados en la implementación de esta y su objetivo es “Disminuir la accidentalidad y mejorar las condiciones de seguridad en las que se adelantan las actividades en el sector minero del país, a través de la construcción e implementación de una cultura de la prevención, la cual estará a cargo de las partes interesadas para la prevención de accidentes, fatalidades y enfermedades laborales.” </w:t>
      </w:r>
    </w:p>
    <w:p w:rsidRPr="008A22DF" w:rsidR="00E9513B" w:rsidP="00E9513B" w:rsidRDefault="00E9513B" w14:paraId="467FD467" w14:textId="77777777">
      <w:pPr>
        <w:spacing w:after="0"/>
        <w:jc w:val="both"/>
        <w:rPr>
          <w:rFonts w:ascii="Calibri" w:hAnsi="Calibri" w:eastAsia="Calibri" w:cs="Calibri"/>
          <w:color w:val="000000" w:themeColor="text1"/>
        </w:rPr>
      </w:pPr>
    </w:p>
    <w:p w:rsidRPr="008A22DF" w:rsidR="00E9513B" w:rsidP="00E9513B" w:rsidRDefault="53C0A85E" w14:paraId="31045773" w14:textId="01EEAF00">
      <w:pPr>
        <w:spacing w:after="0"/>
        <w:jc w:val="both"/>
        <w:rPr>
          <w:rFonts w:ascii="Calibri" w:hAnsi="Calibri" w:eastAsia="Calibri" w:cs="Calibri"/>
          <w:color w:val="000000" w:themeColor="text1"/>
        </w:rPr>
      </w:pPr>
      <w:r w:rsidRPr="3845A57C">
        <w:rPr>
          <w:rFonts w:ascii="Calibri" w:hAnsi="Calibri" w:eastAsia="Calibri" w:cs="Calibri"/>
          <w:color w:val="000000" w:themeColor="text1"/>
        </w:rPr>
        <w:t xml:space="preserve">Esta Política cuenta con las siguientes líneas estratégicas: i) Gestión de la cultura de la prevención en seguridad minera, </w:t>
      </w:r>
      <w:proofErr w:type="spellStart"/>
      <w:r w:rsidRPr="3845A57C">
        <w:rPr>
          <w:rFonts w:ascii="Calibri" w:hAnsi="Calibri" w:eastAsia="Calibri" w:cs="Calibri"/>
          <w:color w:val="000000" w:themeColor="text1"/>
        </w:rPr>
        <w:t>ii</w:t>
      </w:r>
      <w:proofErr w:type="spellEnd"/>
      <w:r w:rsidRPr="3845A57C">
        <w:rPr>
          <w:rFonts w:ascii="Calibri" w:hAnsi="Calibri" w:eastAsia="Calibri" w:cs="Calibri"/>
          <w:color w:val="000000" w:themeColor="text1"/>
        </w:rPr>
        <w:t xml:space="preserve">) Seguimiento al cumplimiento de obligaciones y reporte de información para la toma de decisiones, </w:t>
      </w:r>
      <w:proofErr w:type="spellStart"/>
      <w:r w:rsidRPr="3845A57C">
        <w:rPr>
          <w:rFonts w:ascii="Calibri" w:hAnsi="Calibri" w:eastAsia="Calibri" w:cs="Calibri"/>
          <w:color w:val="000000" w:themeColor="text1"/>
        </w:rPr>
        <w:t>iii</w:t>
      </w:r>
      <w:proofErr w:type="spellEnd"/>
      <w:r w:rsidRPr="3845A57C">
        <w:rPr>
          <w:rFonts w:ascii="Calibri" w:hAnsi="Calibri" w:eastAsia="Calibri" w:cs="Calibri"/>
          <w:color w:val="000000" w:themeColor="text1"/>
        </w:rPr>
        <w:t xml:space="preserve">) Articulación para el ejercicio de la autoridad y gobernanza, </w:t>
      </w:r>
      <w:proofErr w:type="spellStart"/>
      <w:r w:rsidRPr="3845A57C">
        <w:rPr>
          <w:rFonts w:ascii="Calibri" w:hAnsi="Calibri" w:eastAsia="Calibri" w:cs="Calibri"/>
          <w:color w:val="000000" w:themeColor="text1"/>
        </w:rPr>
        <w:t>iv</w:t>
      </w:r>
      <w:proofErr w:type="spellEnd"/>
      <w:r w:rsidRPr="3845A57C">
        <w:rPr>
          <w:rFonts w:ascii="Calibri" w:hAnsi="Calibri" w:eastAsia="Calibri" w:cs="Calibri"/>
          <w:color w:val="000000" w:themeColor="text1"/>
        </w:rPr>
        <w:t xml:space="preserve">) Gestión de capacidades técnicas y transferencia de tecnología. Cada </w:t>
      </w:r>
      <w:r w:rsidRPr="3845A57C" w:rsidR="22E56778">
        <w:rPr>
          <w:rFonts w:ascii="Calibri" w:hAnsi="Calibri" w:eastAsia="Calibri" w:cs="Calibri"/>
          <w:color w:val="000000" w:themeColor="text1"/>
        </w:rPr>
        <w:t>línea</w:t>
      </w:r>
      <w:r w:rsidRPr="3845A57C">
        <w:rPr>
          <w:rFonts w:ascii="Calibri" w:hAnsi="Calibri" w:eastAsia="Calibri" w:cs="Calibri"/>
          <w:color w:val="000000" w:themeColor="text1"/>
        </w:rPr>
        <w:t xml:space="preserve"> cuenta con objetivos estratégicos, líneas estratégicas y acciones, así como con un plan de acción.  </w:t>
      </w:r>
    </w:p>
    <w:p w:rsidRPr="008A22DF" w:rsidR="00E9513B" w:rsidP="00E9513B" w:rsidRDefault="00E9513B" w14:paraId="2D8EE978" w14:textId="77777777">
      <w:pPr>
        <w:spacing w:after="0"/>
        <w:jc w:val="both"/>
        <w:rPr>
          <w:rFonts w:ascii="Calibri" w:hAnsi="Calibri" w:eastAsia="Calibri" w:cs="Calibri"/>
          <w:color w:val="000000" w:themeColor="text1"/>
        </w:rPr>
      </w:pPr>
    </w:p>
    <w:p w:rsidRPr="008A22DF" w:rsidR="00E9513B" w:rsidP="0076250F" w:rsidRDefault="00E9513B" w14:paraId="5E9F59C4" w14:textId="546A97DD">
      <w:pPr>
        <w:pStyle w:val="Heading3"/>
      </w:pPr>
      <w:bookmarkStart w:name="_Toc210292961" w:id="253"/>
      <w:r w:rsidRPr="008A22DF">
        <w:t>Política Nacional para la Minería de Subsistencia.</w:t>
      </w:r>
      <w:bookmarkEnd w:id="253"/>
      <w:r w:rsidRPr="008A22DF">
        <w:t xml:space="preserve"> </w:t>
      </w:r>
    </w:p>
    <w:p w:rsidRPr="008A22DF" w:rsidR="00E9513B" w:rsidP="00E9513B" w:rsidRDefault="00E9513B" w14:paraId="22439563" w14:textId="77777777">
      <w:pPr>
        <w:spacing w:after="0"/>
        <w:jc w:val="both"/>
        <w:rPr>
          <w:rFonts w:ascii="Calibri" w:hAnsi="Calibri" w:eastAsia="Calibri" w:cs="Calibri"/>
          <w:color w:val="000000" w:themeColor="text1"/>
        </w:rPr>
      </w:pPr>
    </w:p>
    <w:p w:rsidRPr="008A22DF" w:rsidR="00E9513B" w:rsidP="00E9513B" w:rsidRDefault="53C0A85E" w14:paraId="04E6BBCD" w14:textId="2C47CDC8">
      <w:pPr>
        <w:spacing w:after="0"/>
        <w:jc w:val="both"/>
        <w:rPr>
          <w:rFonts w:ascii="Calibri" w:hAnsi="Calibri" w:eastAsia="Calibri" w:cs="Calibri"/>
          <w:color w:val="000000" w:themeColor="text1"/>
        </w:rPr>
      </w:pPr>
      <w:r w:rsidRPr="008A22DF">
        <w:rPr>
          <w:rFonts w:ascii="Calibri" w:hAnsi="Calibri" w:eastAsia="Calibri" w:cs="Calibri"/>
          <w:color w:val="000000" w:themeColor="text1"/>
        </w:rPr>
        <w:t xml:space="preserve">La </w:t>
      </w:r>
      <w:r w:rsidRPr="008A22DF" w:rsidR="7DBC09FE">
        <w:rPr>
          <w:rFonts w:ascii="Calibri" w:hAnsi="Calibri" w:eastAsia="Calibri" w:cs="Calibri"/>
          <w:color w:val="000000" w:themeColor="text1"/>
        </w:rPr>
        <w:t>P</w:t>
      </w:r>
      <w:r w:rsidRPr="008A22DF">
        <w:rPr>
          <w:rFonts w:ascii="Calibri" w:hAnsi="Calibri" w:eastAsia="Calibri" w:cs="Calibri"/>
          <w:color w:val="000000" w:themeColor="text1"/>
        </w:rPr>
        <w:t xml:space="preserve">olítica </w:t>
      </w:r>
      <w:r w:rsidRPr="008A22DF" w:rsidR="7C8189D2">
        <w:rPr>
          <w:rFonts w:ascii="Calibri" w:hAnsi="Calibri" w:eastAsia="Calibri" w:cs="Calibri"/>
          <w:color w:val="000000" w:themeColor="text1"/>
        </w:rPr>
        <w:t>N</w:t>
      </w:r>
      <w:r w:rsidRPr="008A22DF">
        <w:rPr>
          <w:rFonts w:ascii="Calibri" w:hAnsi="Calibri" w:eastAsia="Calibri" w:cs="Calibri"/>
          <w:color w:val="000000" w:themeColor="text1"/>
        </w:rPr>
        <w:t xml:space="preserve">acional para la </w:t>
      </w:r>
      <w:r w:rsidRPr="008A22DF" w:rsidR="43B80F8D">
        <w:rPr>
          <w:rFonts w:ascii="Calibri" w:hAnsi="Calibri" w:eastAsia="Calibri" w:cs="Calibri"/>
          <w:color w:val="000000" w:themeColor="text1"/>
        </w:rPr>
        <w:t>M</w:t>
      </w:r>
      <w:r w:rsidRPr="008A22DF">
        <w:rPr>
          <w:rFonts w:ascii="Calibri" w:hAnsi="Calibri" w:eastAsia="Calibri" w:cs="Calibri"/>
          <w:color w:val="000000" w:themeColor="text1"/>
        </w:rPr>
        <w:t xml:space="preserve">inería de </w:t>
      </w:r>
      <w:r w:rsidRPr="008A22DF" w:rsidR="20AFC5C4">
        <w:rPr>
          <w:rFonts w:ascii="Calibri" w:hAnsi="Calibri" w:eastAsia="Calibri" w:cs="Calibri"/>
          <w:color w:val="000000" w:themeColor="text1"/>
        </w:rPr>
        <w:t>S</w:t>
      </w:r>
      <w:r w:rsidRPr="008A22DF">
        <w:rPr>
          <w:rFonts w:ascii="Calibri" w:hAnsi="Calibri" w:eastAsia="Calibri" w:cs="Calibri"/>
          <w:color w:val="000000" w:themeColor="text1"/>
        </w:rPr>
        <w:t xml:space="preserve">ubsistencia fue adoptada mediante </w:t>
      </w:r>
      <w:r w:rsidRPr="008A22DF" w:rsidR="414E7D23">
        <w:rPr>
          <w:rFonts w:ascii="Calibri" w:hAnsi="Calibri" w:eastAsia="Calibri" w:cs="Calibri"/>
          <w:color w:val="000000" w:themeColor="text1"/>
        </w:rPr>
        <w:t>R</w:t>
      </w:r>
      <w:r w:rsidRPr="008A22DF">
        <w:rPr>
          <w:rFonts w:ascii="Calibri" w:hAnsi="Calibri" w:eastAsia="Calibri" w:cs="Calibri"/>
          <w:color w:val="000000" w:themeColor="text1"/>
        </w:rPr>
        <w:t>esolución N° 40217 del 28 de junio de 2022</w:t>
      </w:r>
      <w:r w:rsidRPr="008A22DF" w:rsidR="00E9513B">
        <w:rPr>
          <w:rStyle w:val="FootnoteReference"/>
          <w:rFonts w:ascii="Calibri" w:hAnsi="Calibri" w:eastAsia="Calibri" w:cs="Calibri"/>
          <w:color w:val="000000" w:themeColor="text1"/>
        </w:rPr>
        <w:footnoteReference w:id="20"/>
      </w:r>
      <w:r w:rsidRPr="008A22DF">
        <w:rPr>
          <w:rFonts w:ascii="Calibri" w:hAnsi="Calibri" w:eastAsia="Calibri" w:cs="Calibri"/>
          <w:color w:val="000000" w:themeColor="text1"/>
        </w:rPr>
        <w:t>. Como su nombre lo indica, esta política está dirigida a los mineros de subsistencia y demás actores que puedan verse vinculados en la implementación de esta</w:t>
      </w:r>
      <w:r w:rsidRPr="008A22DF" w:rsidR="05EA99BA">
        <w:rPr>
          <w:rFonts w:ascii="Calibri" w:hAnsi="Calibri" w:eastAsia="Calibri" w:cs="Calibri"/>
          <w:color w:val="000000" w:themeColor="text1"/>
        </w:rPr>
        <w:t>. S</w:t>
      </w:r>
      <w:r w:rsidRPr="008A22DF">
        <w:rPr>
          <w:rFonts w:ascii="Calibri" w:hAnsi="Calibri" w:eastAsia="Calibri" w:cs="Calibri"/>
          <w:color w:val="000000" w:themeColor="text1"/>
        </w:rPr>
        <w:t>u objetivo es “</w:t>
      </w:r>
      <w:r w:rsidRPr="34D1E0F9">
        <w:rPr>
          <w:rFonts w:ascii="Calibri" w:hAnsi="Calibri" w:eastAsia="Calibri" w:cs="Calibri"/>
          <w:i/>
          <w:iCs/>
          <w:color w:val="000000" w:themeColor="text1"/>
        </w:rPr>
        <w:t>Orientar el ejercicio de la minería de subsistencia en Colombia para que se adelante de manera organizada, con parámetros de legalidad y trazabilidad, permitiendo la diferenciación a partir de los factores sociales y culturales de poblaciones que, por tradición, han ejercido la actividad</w:t>
      </w:r>
      <w:r w:rsidRPr="008A22DF">
        <w:rPr>
          <w:rFonts w:ascii="Calibri" w:hAnsi="Calibri" w:eastAsia="Calibri" w:cs="Calibri"/>
          <w:color w:val="000000" w:themeColor="text1"/>
        </w:rPr>
        <w:t>”</w:t>
      </w:r>
      <w:sdt>
        <w:sdtPr>
          <w:rPr>
            <w:rFonts w:ascii="Calibri" w:hAnsi="Calibri" w:eastAsia="Calibri" w:cs="Calibri"/>
            <w:color w:val="000000" w:themeColor="text1"/>
          </w:rPr>
          <w:id w:val="1926381969"/>
          <w:citation/>
        </w:sdtPr>
        <w:sdtEndPr/>
        <w:sdtContent>
          <w:r w:rsidR="00535777">
            <w:rPr>
              <w:rFonts w:ascii="Calibri" w:hAnsi="Calibri" w:eastAsia="Calibri" w:cs="Calibri"/>
              <w:color w:val="000000" w:themeColor="text1"/>
            </w:rPr>
            <w:fldChar w:fldCharType="begin"/>
          </w:r>
          <w:r w:rsidR="00535777">
            <w:rPr>
              <w:rFonts w:ascii="Calibri" w:hAnsi="Calibri" w:eastAsia="Calibri" w:cs="Calibri"/>
              <w:color w:val="000000" w:themeColor="text1"/>
            </w:rPr>
            <w:instrText xml:space="preserve">CITATION MME223 \l 9226 </w:instrText>
          </w:r>
          <w:r w:rsidR="00535777">
            <w:rPr>
              <w:rFonts w:ascii="Calibri" w:hAnsi="Calibri" w:eastAsia="Calibri" w:cs="Calibri"/>
              <w:color w:val="000000" w:themeColor="text1"/>
            </w:rPr>
            <w:fldChar w:fldCharType="separate"/>
          </w:r>
          <w:r w:rsidR="00104221">
            <w:rPr>
              <w:rFonts w:ascii="Calibri" w:hAnsi="Calibri" w:eastAsia="Calibri" w:cs="Calibri"/>
              <w:noProof/>
              <w:color w:val="000000" w:themeColor="text1"/>
            </w:rPr>
            <w:t xml:space="preserve"> </w:t>
          </w:r>
          <w:r w:rsidRPr="00104221" w:rsidR="00104221">
            <w:rPr>
              <w:rFonts w:ascii="Calibri" w:hAnsi="Calibri" w:eastAsia="Calibri" w:cs="Calibri"/>
              <w:noProof/>
              <w:color w:val="000000" w:themeColor="text1"/>
            </w:rPr>
            <w:t>(MinEnergía, 2022a)</w:t>
          </w:r>
          <w:r w:rsidR="00535777">
            <w:rPr>
              <w:rFonts w:ascii="Calibri" w:hAnsi="Calibri" w:eastAsia="Calibri" w:cs="Calibri"/>
              <w:color w:val="000000" w:themeColor="text1"/>
            </w:rPr>
            <w:fldChar w:fldCharType="end"/>
          </w:r>
        </w:sdtContent>
      </w:sdt>
      <w:r w:rsidR="00535777">
        <w:rPr>
          <w:rFonts w:ascii="Calibri" w:hAnsi="Calibri" w:eastAsia="Calibri" w:cs="Calibri"/>
          <w:color w:val="000000" w:themeColor="text1"/>
        </w:rPr>
        <w:t>.</w:t>
      </w:r>
    </w:p>
    <w:p w:rsidR="3845A57C" w:rsidP="3845A57C" w:rsidRDefault="3845A57C" w14:paraId="01BC1104" w14:textId="5D1F068D">
      <w:pPr>
        <w:spacing w:after="0"/>
        <w:jc w:val="both"/>
        <w:rPr>
          <w:rFonts w:ascii="Calibri" w:hAnsi="Calibri" w:eastAsia="Calibri" w:cs="Calibri"/>
          <w:color w:val="000000" w:themeColor="text1"/>
        </w:rPr>
      </w:pPr>
    </w:p>
    <w:p w:rsidRPr="008A22DF" w:rsidR="00E9513B" w:rsidP="00E9513B" w:rsidRDefault="00E9513B" w14:paraId="22BF4DB0" w14:textId="77777777">
      <w:pPr>
        <w:spacing w:after="0"/>
        <w:jc w:val="both"/>
        <w:rPr>
          <w:rFonts w:ascii="Calibri" w:hAnsi="Calibri" w:eastAsia="Calibri" w:cs="Calibri"/>
          <w:color w:val="000000" w:themeColor="text1"/>
        </w:rPr>
      </w:pPr>
      <w:r w:rsidRPr="008A22DF">
        <w:rPr>
          <w:rFonts w:ascii="Calibri" w:hAnsi="Calibri" w:eastAsia="Calibri" w:cs="Calibri"/>
          <w:color w:val="000000" w:themeColor="text1"/>
        </w:rPr>
        <w:t xml:space="preserve">Esta Política cuenta con las siguientes líneas estratégicas: i) Fortalecimiento Institucional, </w:t>
      </w:r>
      <w:proofErr w:type="spellStart"/>
      <w:r w:rsidRPr="008A22DF">
        <w:rPr>
          <w:rFonts w:ascii="Calibri" w:hAnsi="Calibri" w:eastAsia="Calibri" w:cs="Calibri"/>
          <w:color w:val="000000" w:themeColor="text1"/>
        </w:rPr>
        <w:t>ii</w:t>
      </w:r>
      <w:proofErr w:type="spellEnd"/>
      <w:r w:rsidRPr="008A22DF">
        <w:rPr>
          <w:rFonts w:ascii="Calibri" w:hAnsi="Calibri" w:eastAsia="Calibri" w:cs="Calibri"/>
          <w:color w:val="000000" w:themeColor="text1"/>
        </w:rPr>
        <w:t xml:space="preserve">) Inclusión Social, </w:t>
      </w:r>
      <w:proofErr w:type="spellStart"/>
      <w:r w:rsidRPr="008A22DF">
        <w:rPr>
          <w:rFonts w:ascii="Calibri" w:hAnsi="Calibri" w:eastAsia="Calibri" w:cs="Calibri"/>
          <w:color w:val="000000" w:themeColor="text1"/>
        </w:rPr>
        <w:t>iii</w:t>
      </w:r>
      <w:proofErr w:type="spellEnd"/>
      <w:r w:rsidRPr="008A22DF">
        <w:rPr>
          <w:rFonts w:ascii="Calibri" w:hAnsi="Calibri" w:eastAsia="Calibri" w:cs="Calibri"/>
          <w:color w:val="000000" w:themeColor="text1"/>
        </w:rPr>
        <w:t xml:space="preserve">) Promover, en las organizaciones existentes, la participación de mujeres y jóvenes en la toma de decisiones. Fortalecimiento Asociativo, </w:t>
      </w:r>
      <w:proofErr w:type="spellStart"/>
      <w:r w:rsidRPr="008A22DF">
        <w:rPr>
          <w:rFonts w:ascii="Calibri" w:hAnsi="Calibri" w:eastAsia="Calibri" w:cs="Calibri"/>
          <w:color w:val="000000" w:themeColor="text1"/>
        </w:rPr>
        <w:t>iv</w:t>
      </w:r>
      <w:proofErr w:type="spellEnd"/>
      <w:r w:rsidRPr="008A22DF">
        <w:rPr>
          <w:rFonts w:ascii="Calibri" w:hAnsi="Calibri" w:eastAsia="Calibri" w:cs="Calibri"/>
          <w:color w:val="000000" w:themeColor="text1"/>
        </w:rPr>
        <w:t xml:space="preserve">) Encadenamiento Productivo, v) Mejores Prácticas y vi) Regulación y Análisis Sectorial. Cada </w:t>
      </w:r>
      <w:proofErr w:type="spellStart"/>
      <w:r w:rsidRPr="008A22DF">
        <w:rPr>
          <w:rFonts w:ascii="Calibri" w:hAnsi="Calibri" w:eastAsia="Calibri" w:cs="Calibri"/>
          <w:color w:val="000000" w:themeColor="text1"/>
        </w:rPr>
        <w:t>linea</w:t>
      </w:r>
      <w:proofErr w:type="spellEnd"/>
      <w:r w:rsidRPr="008A22DF">
        <w:rPr>
          <w:rFonts w:ascii="Calibri" w:hAnsi="Calibri" w:eastAsia="Calibri" w:cs="Calibri"/>
          <w:color w:val="000000" w:themeColor="text1"/>
        </w:rPr>
        <w:t xml:space="preserve"> cuenta con objetivos estratégicos, líneas estratégicas y acciones, así como con un plan de acción.  </w:t>
      </w:r>
    </w:p>
    <w:p w:rsidRPr="008A22DF" w:rsidR="00E9513B" w:rsidP="00E9513B" w:rsidRDefault="00E9513B" w14:paraId="201424D8" w14:textId="77777777">
      <w:pPr>
        <w:spacing w:after="0"/>
        <w:jc w:val="both"/>
        <w:rPr>
          <w:rFonts w:ascii="Calibri" w:hAnsi="Calibri" w:eastAsia="Calibri" w:cs="Calibri"/>
          <w:color w:val="000000" w:themeColor="text1"/>
        </w:rPr>
      </w:pPr>
    </w:p>
    <w:p w:rsidRPr="008A22DF" w:rsidR="00E9513B" w:rsidP="0076250F" w:rsidRDefault="00E9513B" w14:paraId="3FD62605" w14:textId="1F3232B1">
      <w:pPr>
        <w:pStyle w:val="Heading3"/>
      </w:pPr>
      <w:bookmarkStart w:name="_Toc210292962" w:id="254"/>
      <w:r w:rsidRPr="0076250F">
        <w:t>Plan</w:t>
      </w:r>
      <w:r w:rsidRPr="008A22DF">
        <w:t xml:space="preserve"> Único de Legalización y Formalización Minera.</w:t>
      </w:r>
      <w:bookmarkEnd w:id="254"/>
    </w:p>
    <w:p w:rsidRPr="008A22DF" w:rsidR="00E9513B" w:rsidP="00E9513B" w:rsidRDefault="00E9513B" w14:paraId="157D6676" w14:textId="77777777">
      <w:pPr>
        <w:spacing w:after="0"/>
        <w:jc w:val="both"/>
        <w:rPr>
          <w:rFonts w:ascii="Calibri" w:hAnsi="Calibri" w:eastAsia="Calibri" w:cs="Calibri"/>
          <w:color w:val="000000" w:themeColor="text1"/>
        </w:rPr>
      </w:pPr>
    </w:p>
    <w:p w:rsidRPr="008A22DF" w:rsidR="00EC0B16" w:rsidP="00EC0B16" w:rsidRDefault="553EB953" w14:paraId="671EE9E2" w14:textId="3909F31D">
      <w:pPr>
        <w:spacing w:after="0"/>
        <w:jc w:val="both"/>
        <w:rPr>
          <w:rFonts w:ascii="Calibri" w:hAnsi="Calibri" w:eastAsia="Calibri" w:cs="Calibri"/>
          <w:color w:val="000000" w:themeColor="text1"/>
        </w:rPr>
      </w:pPr>
      <w:r w:rsidRPr="008A22DF">
        <w:rPr>
          <w:rFonts w:ascii="Calibri" w:hAnsi="Calibri" w:eastAsia="Calibri" w:cs="Calibri"/>
          <w:color w:val="000000" w:themeColor="text1"/>
        </w:rPr>
        <w:t>Dando cumplimiento a lo establecido en el artículo 5 de la Ley 2250 de 2022, el 18 de abril de 2023, el Ministerio de Minas y Energía, oficializó el Plan Único de Legalización y Formalización Minera</w:t>
      </w:r>
      <w:r w:rsidRPr="008A22DF" w:rsidR="00EC0B16">
        <w:rPr>
          <w:rStyle w:val="FootnoteReference"/>
          <w:rFonts w:ascii="Calibri" w:hAnsi="Calibri" w:eastAsia="Calibri" w:cs="Calibri"/>
          <w:color w:val="000000" w:themeColor="text1"/>
        </w:rPr>
        <w:footnoteReference w:id="21"/>
      </w:r>
      <w:r w:rsidRPr="008A22DF">
        <w:rPr>
          <w:rFonts w:ascii="Calibri" w:hAnsi="Calibri" w:eastAsia="Calibri" w:cs="Calibri"/>
          <w:color w:val="000000" w:themeColor="text1"/>
        </w:rPr>
        <w:t xml:space="preserve">  elaborado con la Agencia Nacional de Minería. Este plan tiene por objeto </w:t>
      </w:r>
      <w:r w:rsidRPr="34D1E0F9">
        <w:rPr>
          <w:rFonts w:ascii="Calibri" w:hAnsi="Calibri" w:eastAsia="Calibri" w:cs="Calibri"/>
          <w:i/>
          <w:iCs/>
          <w:color w:val="000000" w:themeColor="text1"/>
        </w:rPr>
        <w:t>“establecer e implementar acciones sistemáticas y organizadas para garantizar el acceso a la formalización de la pequeña minería, con base en las figuras legales existentes, propendiendo por la dignificación de la práctica minera y la mejora en las condiciones de vida de los beneficiarios; la superación de los obstáculos y brechas a la regularización; la sustentabilidad ambiental, social y la rentabilidad económica; y, el fortalecimiento de las cadenas productivas y de valor, mediante un mayor y mejor involucramiento del Estado”</w:t>
      </w:r>
      <w:r w:rsidRPr="008A22DF">
        <w:rPr>
          <w:rFonts w:ascii="Calibri" w:hAnsi="Calibri" w:eastAsia="Calibri" w:cs="Calibri"/>
          <w:color w:val="000000" w:themeColor="text1"/>
        </w:rPr>
        <w:t>.</w:t>
      </w:r>
    </w:p>
    <w:p w:rsidR="3845A57C" w:rsidP="3845A57C" w:rsidRDefault="3845A57C" w14:paraId="00F977ED" w14:textId="226E6594">
      <w:pPr>
        <w:spacing w:after="0"/>
        <w:jc w:val="both"/>
        <w:rPr>
          <w:rFonts w:ascii="Calibri" w:hAnsi="Calibri" w:eastAsia="Calibri" w:cs="Calibri"/>
          <w:color w:val="000000" w:themeColor="text1"/>
        </w:rPr>
      </w:pPr>
    </w:p>
    <w:p w:rsidRPr="008A22DF" w:rsidR="00EC0B16" w:rsidP="00EC0B16" w:rsidRDefault="00EC0B16" w14:paraId="27FF6E8D" w14:textId="77777777">
      <w:pPr>
        <w:spacing w:after="0"/>
        <w:jc w:val="both"/>
        <w:rPr>
          <w:rFonts w:ascii="Calibri" w:hAnsi="Calibri" w:eastAsia="Calibri" w:cs="Calibri"/>
          <w:color w:val="000000" w:themeColor="text1"/>
        </w:rPr>
      </w:pPr>
      <w:r w:rsidRPr="008A22DF">
        <w:rPr>
          <w:rFonts w:ascii="Calibri" w:hAnsi="Calibri" w:eastAsia="Calibri" w:cs="Calibri"/>
          <w:color w:val="000000" w:themeColor="text1"/>
        </w:rPr>
        <w:t>Para garantizar la sustentabilidad socioambiental de las operaciones, en condiciones de seguridad, rentabilidad y respeto por la diversidad cultural, el Plan Único de Legalización y Formalización Minera se implementa mediante un ejercicio de diálogo social con comunidades y autoridades competentes. En coherencia con la transición energética justa y los retos de la crisis climática, el plan establece metas e indicadores claros, tal como lo exige el artículo 5 de la Ley 2250 de 2022. Sus ejes estratégicos —enfoque diferenciado, simplificación de trámites, articulación institucional y acompañamiento de la autoridad minera— se diseñan a partir del análisis de los obstáculos que han limitado los procesos de formalización, con el fin de superar los cuellos de botella y avanzar en el mejoramiento de la pequeña minería en el país.</w:t>
      </w:r>
    </w:p>
    <w:p w:rsidRPr="008A22DF" w:rsidR="00E9513B" w:rsidP="00E9513B" w:rsidRDefault="00EC0B16" w14:paraId="3246A52F" w14:textId="74B1B372">
      <w:pPr>
        <w:spacing w:after="0"/>
        <w:jc w:val="both"/>
        <w:rPr>
          <w:rFonts w:ascii="Calibri" w:hAnsi="Calibri" w:eastAsia="Calibri" w:cs="Calibri"/>
          <w:color w:val="000000" w:themeColor="text1"/>
        </w:rPr>
      </w:pPr>
      <w:r w:rsidRPr="008A22DF">
        <w:rPr>
          <w:rFonts w:ascii="Calibri" w:hAnsi="Calibri" w:eastAsia="Calibri" w:cs="Calibri"/>
          <w:color w:val="000000" w:themeColor="text1"/>
        </w:rPr>
        <w:t xml:space="preserve"> </w:t>
      </w:r>
    </w:p>
    <w:p w:rsidRPr="008A22DF" w:rsidR="00E9513B" w:rsidP="0076250F" w:rsidRDefault="00E9513B" w14:paraId="5B3BB77E" w14:textId="3C1BD587">
      <w:pPr>
        <w:pStyle w:val="Heading3"/>
      </w:pPr>
      <w:bookmarkStart w:name="_Toc210292963" w:id="255"/>
      <w:r w:rsidRPr="008A22DF">
        <w:t>Plan de acción MAPE</w:t>
      </w:r>
      <w:bookmarkEnd w:id="255"/>
    </w:p>
    <w:p w:rsidRPr="008A22DF" w:rsidR="00E9513B" w:rsidP="00E9513B" w:rsidRDefault="00E9513B" w14:paraId="1CFB3830" w14:textId="77777777">
      <w:pPr>
        <w:spacing w:after="0"/>
        <w:jc w:val="both"/>
        <w:rPr>
          <w:rFonts w:ascii="Calibri" w:hAnsi="Calibri" w:eastAsia="Calibri" w:cs="Calibri"/>
          <w:color w:val="000000" w:themeColor="text1"/>
        </w:rPr>
      </w:pPr>
    </w:p>
    <w:p w:rsidRPr="008A22DF" w:rsidR="00E9513B" w:rsidP="00E9513B" w:rsidRDefault="00E9513B" w14:paraId="6CA753FD" w14:textId="77777777">
      <w:pPr>
        <w:spacing w:after="0"/>
        <w:jc w:val="both"/>
        <w:rPr>
          <w:rFonts w:ascii="Calibri" w:hAnsi="Calibri" w:eastAsia="Calibri" w:cs="Calibri"/>
          <w:color w:val="000000" w:themeColor="text1"/>
        </w:rPr>
      </w:pPr>
      <w:r w:rsidRPr="008A22DF">
        <w:rPr>
          <w:rFonts w:ascii="Calibri" w:hAnsi="Calibri" w:eastAsia="Calibri" w:cs="Calibri"/>
          <w:color w:val="000000" w:themeColor="text1"/>
        </w:rPr>
        <w:t>Colombia ha adoptado un marco normativo integral para cumplir con los compromisos adquiridos al ratificar el Convenio de Minamata sobre el Mercurio, con el objetivo de proteger la salud humana y el medio ambiente frente a las emisiones y liberaciones de mercurio. Este proceso inició con la Ley 1658 de 2013, que estableció la prohibición progresiva del uso del mercurio en el territorio nacional, imponiendo plazos concretos: hasta 2018 para eliminar su uso en la minería y hasta 2023 para otros sectores industriales. Mediante el Decreto 2133 de 2016 se establecieron controles a la importación y comercialización de productos que contienen mercurio en el país y en 2018 mediante la ley 1892 se aprobó el Convenio de Minamata sobre el Mercurio en Colombia, la cual fue declarada exequible por la Corte Constitucional a través de la sentencia C</w:t>
      </w:r>
      <w:r w:rsidRPr="008A22DF">
        <w:rPr>
          <w:rFonts w:ascii="Cambria Math" w:hAnsi="Cambria Math" w:eastAsia="Calibri" w:cs="Cambria Math"/>
          <w:color w:val="000000" w:themeColor="text1"/>
        </w:rPr>
        <w:t>‑</w:t>
      </w:r>
      <w:r w:rsidRPr="008A22DF">
        <w:rPr>
          <w:rFonts w:ascii="Calibri" w:hAnsi="Calibri" w:eastAsia="Calibri" w:cs="Calibri"/>
          <w:color w:val="000000" w:themeColor="text1"/>
        </w:rPr>
        <w:t xml:space="preserve">275 de 2019, lo que permitió su efectiva implementación en el país. El Convenio de Minamata tiene como objetivo principal proteger la salud humana y el ambiente frente a las emisiones y liberaciones antropogénicas de mercurio y sus compuestos, estableciendo marcos legales para controlar su uso, promover mejores técnicas disponibles y prácticas ambientales </w:t>
      </w:r>
    </w:p>
    <w:p w:rsidRPr="008A22DF" w:rsidR="00E9513B" w:rsidP="00E9513B" w:rsidRDefault="00E9513B" w14:paraId="6A4E06D8" w14:textId="77777777">
      <w:pPr>
        <w:spacing w:after="0"/>
        <w:jc w:val="both"/>
        <w:rPr>
          <w:rFonts w:ascii="Calibri" w:hAnsi="Calibri" w:eastAsia="Calibri" w:cs="Calibri"/>
          <w:color w:val="000000" w:themeColor="text1"/>
        </w:rPr>
      </w:pPr>
    </w:p>
    <w:p w:rsidR="00E9513B" w:rsidP="00E9513B" w:rsidRDefault="53C0A85E" w14:paraId="03FB5889" w14:textId="03DA5623">
      <w:pPr>
        <w:spacing w:after="0"/>
        <w:jc w:val="both"/>
        <w:rPr>
          <w:rFonts w:ascii="Calibri" w:hAnsi="Calibri" w:eastAsia="Calibri" w:cs="Calibri"/>
          <w:color w:val="000000" w:themeColor="text1"/>
        </w:rPr>
      </w:pPr>
      <w:r w:rsidRPr="008A22DF">
        <w:rPr>
          <w:rFonts w:ascii="Calibri" w:hAnsi="Calibri" w:eastAsia="Calibri" w:cs="Calibri"/>
          <w:color w:val="000000" w:themeColor="text1"/>
        </w:rPr>
        <w:t>En 2023 se estructuró el Plan de Acción Nacional sobre Mercurio en la Minería Artesanal y de Pequeña Escala de oro en Colombia (PAN Hg MAPE – 2024 a 2026)</w:t>
      </w:r>
      <w:r w:rsidRPr="008A22DF" w:rsidR="00EC0B16">
        <w:rPr>
          <w:rStyle w:val="FootnoteReference"/>
          <w:rFonts w:ascii="Calibri" w:hAnsi="Calibri" w:eastAsia="Calibri" w:cs="Calibri"/>
          <w:color w:val="000000" w:themeColor="text1"/>
        </w:rPr>
        <w:footnoteReference w:id="22"/>
      </w:r>
      <w:r w:rsidRPr="008A22DF">
        <w:rPr>
          <w:rFonts w:ascii="Calibri" w:hAnsi="Calibri" w:eastAsia="Calibri" w:cs="Calibri"/>
          <w:color w:val="000000" w:themeColor="text1"/>
        </w:rPr>
        <w:t xml:space="preserve"> diseñado para proteger la vida, la salud humana y el medio ambiente de los impactos del mercurio y sus compuestos en las zonas afectadas por estas actividades, cuya finalidad es que, para el año 2035 Colombia haya mitigado significativamente dichos riesgos mediante la ejecución de estrategias interinstitucionales a nivel nacional, regional y local, promoviendo la formalización de la MAPE, la introducción de técnicas y tecnologías alternativas sin mercurio, la gestión del conocimiento, el control del comercio ilegal y contrabando, y la participación activa de las comunidades mediante la implementación de las 9 estrategias, 39 actividades y 132 acciones a cargo de las entidades participantes.</w:t>
      </w:r>
    </w:p>
    <w:p w:rsidRPr="00742773" w:rsidR="00742773" w:rsidP="3845A57C" w:rsidRDefault="00742773" w14:paraId="746731DE" w14:textId="34CA6DA6">
      <w:pPr>
        <w:spacing w:after="0"/>
        <w:jc w:val="both"/>
        <w:rPr>
          <w:rFonts w:ascii="Calibri" w:hAnsi="Calibri" w:eastAsia="Calibri" w:cs="Calibri"/>
          <w:color w:val="000000" w:themeColor="text1"/>
        </w:rPr>
      </w:pPr>
    </w:p>
    <w:p w:rsidRPr="00934EA6" w:rsidR="00203125" w:rsidP="00934EA6" w:rsidRDefault="00203125" w14:paraId="4A8D8A3A" w14:textId="03444308">
      <w:pPr>
        <w:spacing w:line="257" w:lineRule="auto"/>
        <w:jc w:val="both"/>
        <w:rPr>
          <w:rFonts w:ascii="Calibri" w:hAnsi="Calibri" w:eastAsia="Calibri" w:cs="Calibri"/>
        </w:rPr>
      </w:pPr>
      <w:r w:rsidRPr="5734DBB2">
        <w:rPr>
          <w:rFonts w:ascii="Calibri" w:hAnsi="Calibri" w:eastAsia="Calibri" w:cs="Calibri"/>
        </w:rPr>
        <w:t>La nueva Política Minera de Colombia no solo cumple con las órdenes judiciales internas y los principios constitucionales aplicables, también articula compromisos internacionales vigentes para el Estado colombiano</w:t>
      </w:r>
      <w:r w:rsidR="00934EA6">
        <w:rPr>
          <w:rFonts w:ascii="Calibri" w:hAnsi="Calibri" w:eastAsia="Calibri" w:cs="Calibri"/>
        </w:rPr>
        <w:t xml:space="preserve"> que incluye </w:t>
      </w:r>
      <w:r w:rsidRPr="1A52A16F" w:rsidR="00934EA6">
        <w:rPr>
          <w:rFonts w:ascii="Calibri" w:hAnsi="Calibri" w:eastAsia="Calibri" w:cs="Calibri"/>
        </w:rPr>
        <w:t>diversos convenios y tratados que deben orientar y permear el desarrollo de las actividades mineras. Estos compromisos internacionales, incorporados al ordenamiento jurídico interno, establecen obligaciones concretas para que el sector minero avance hacia modelos de producción responsables, respetuosos con la biodiversidad, los ecosistemas y los derechos de las comunidades. Entre estos instrumentos se encuentran:</w:t>
      </w:r>
    </w:p>
    <w:p w:rsidR="00BC4531" w:rsidP="00203125" w:rsidRDefault="00BC4531" w14:paraId="598EA0DE" w14:textId="77777777">
      <w:pPr>
        <w:pStyle w:val="ListParagraph"/>
        <w:numPr>
          <w:ilvl w:val="0"/>
          <w:numId w:val="6"/>
        </w:numPr>
        <w:spacing w:after="0" w:line="257" w:lineRule="auto"/>
        <w:jc w:val="both"/>
        <w:rPr>
          <w:rFonts w:ascii="Calibri" w:hAnsi="Calibri" w:eastAsia="Calibri" w:cs="Calibri"/>
        </w:rPr>
      </w:pPr>
      <w:r w:rsidRPr="00BC4531">
        <w:rPr>
          <w:rFonts w:ascii="Calibri" w:hAnsi="Calibri" w:eastAsia="Calibri" w:cs="Calibri"/>
        </w:rPr>
        <w:t>Acuerdo de Escazú: Participación, Información Ambiental y Defensores de Derechos Humanos.</w:t>
      </w:r>
    </w:p>
    <w:p w:rsidR="00203125" w:rsidP="00203125" w:rsidRDefault="00203125" w14:paraId="4C04D79B" w14:textId="361EE046">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Convenio de Diversidad Biológica (CDB).</w:t>
      </w:r>
    </w:p>
    <w:p w:rsidR="00203125" w:rsidP="00203125" w:rsidRDefault="00203125" w14:paraId="70D030A5" w14:textId="77777777">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Convención de las Naciones Unidas de Lucha Contra la Desertificación y la Sequía (UNCCD).</w:t>
      </w:r>
    </w:p>
    <w:p w:rsidR="002C3DC5" w:rsidP="00203125" w:rsidRDefault="002C3DC5" w14:paraId="184C4510" w14:textId="449DD286">
      <w:pPr>
        <w:pStyle w:val="ListParagraph"/>
        <w:numPr>
          <w:ilvl w:val="0"/>
          <w:numId w:val="6"/>
        </w:numPr>
        <w:spacing w:after="0" w:line="257" w:lineRule="auto"/>
        <w:jc w:val="both"/>
        <w:rPr>
          <w:rFonts w:ascii="Calibri" w:hAnsi="Calibri" w:eastAsia="Calibri" w:cs="Calibri"/>
        </w:rPr>
      </w:pPr>
      <w:r w:rsidRPr="002C3DC5">
        <w:rPr>
          <w:rFonts w:ascii="Calibri" w:hAnsi="Calibri" w:eastAsia="Calibri" w:cs="Calibri"/>
        </w:rPr>
        <w:t>Convención de Ramsar: Protección de Humedales Estratégicos.</w:t>
      </w:r>
    </w:p>
    <w:p w:rsidR="00203125" w:rsidP="00203125" w:rsidRDefault="00203125" w14:paraId="7DE713E3" w14:textId="77777777">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Convenio de Basilea sobre el Control del Movimiento Transfronterizo de Desechos Peligrosos y su Eliminación.</w:t>
      </w:r>
    </w:p>
    <w:p w:rsidR="00203125" w:rsidP="00203125" w:rsidRDefault="00203125" w14:paraId="24F2E5AD" w14:textId="77777777">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Convenio de Rotterdam sobre el Consentimiento Informado Previo.</w:t>
      </w:r>
    </w:p>
    <w:p w:rsidR="00203125" w:rsidP="00203125" w:rsidRDefault="00203125" w14:paraId="1561DB38" w14:textId="77777777">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Convenio de Estocolmo sobre los Contaminantes Orgánicos Persistentes.</w:t>
      </w:r>
    </w:p>
    <w:p w:rsidR="00203125" w:rsidP="00203125" w:rsidRDefault="00203125" w14:paraId="66239DC0" w14:textId="77777777">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Tratado de Cooperación Amazónica (TCA).</w:t>
      </w:r>
    </w:p>
    <w:p w:rsidR="00934EA6" w:rsidP="00203125" w:rsidRDefault="00934EA6" w14:paraId="0756FC68" w14:textId="7C1C09C7">
      <w:pPr>
        <w:pStyle w:val="ListParagraph"/>
        <w:numPr>
          <w:ilvl w:val="0"/>
          <w:numId w:val="6"/>
        </w:numPr>
        <w:spacing w:after="0" w:line="257" w:lineRule="auto"/>
        <w:jc w:val="both"/>
        <w:rPr>
          <w:rFonts w:ascii="Calibri" w:hAnsi="Calibri" w:eastAsia="Calibri" w:cs="Calibri"/>
        </w:rPr>
      </w:pPr>
      <w:r w:rsidRPr="00934EA6">
        <w:rPr>
          <w:rFonts w:ascii="Calibri" w:hAnsi="Calibri" w:eastAsia="Calibri" w:cs="Calibri"/>
        </w:rPr>
        <w:t>Obligaciones derivadas de la Convención Americana sobre DD.HH.</w:t>
      </w:r>
    </w:p>
    <w:p w:rsidR="00203125" w:rsidP="00203125" w:rsidRDefault="00203125" w14:paraId="7F67C79B" w14:textId="77777777">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Convención Marco de Naciones Unidas sobre Cambio Climático (CMNUCC).</w:t>
      </w:r>
    </w:p>
    <w:p w:rsidR="00203125" w:rsidP="00203125" w:rsidRDefault="00203125" w14:paraId="4B6184FC" w14:textId="77777777">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Convenio de Cooperación para la Protección y el Desarrollo Sostenible de las Zonas Marinas y Costeras del Pacífico Nordeste.</w:t>
      </w:r>
    </w:p>
    <w:p w:rsidR="00203125" w:rsidP="00203125" w:rsidRDefault="00203125" w14:paraId="7737A52A" w14:textId="77777777">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Convenio de Minamata sobre Mercurio.</w:t>
      </w:r>
    </w:p>
    <w:p w:rsidR="00203125" w:rsidP="00203125" w:rsidRDefault="00203125" w14:paraId="2CC8327F" w14:textId="77777777">
      <w:pPr>
        <w:pStyle w:val="ListParagraph"/>
        <w:numPr>
          <w:ilvl w:val="0"/>
          <w:numId w:val="6"/>
        </w:numPr>
        <w:spacing w:after="0" w:line="257" w:lineRule="auto"/>
        <w:jc w:val="both"/>
        <w:rPr>
          <w:rFonts w:ascii="Calibri" w:hAnsi="Calibri" w:eastAsia="Calibri" w:cs="Calibri"/>
        </w:rPr>
      </w:pPr>
      <w:r w:rsidRPr="1A52A16F">
        <w:rPr>
          <w:rFonts w:ascii="Calibri" w:hAnsi="Calibri" w:eastAsia="Calibri" w:cs="Calibri"/>
        </w:rPr>
        <w:t>Comisión Ballenera Internacional (CBI).</w:t>
      </w:r>
    </w:p>
    <w:p w:rsidR="00203125" w:rsidP="00203125" w:rsidRDefault="00203125" w14:paraId="1745FDE4" w14:textId="63B4ADB0">
      <w:pPr>
        <w:spacing w:before="240" w:after="240" w:line="257" w:lineRule="auto"/>
        <w:jc w:val="both"/>
      </w:pPr>
      <w:r w:rsidRPr="1A52A16F">
        <w:rPr>
          <w:rFonts w:ascii="Calibri" w:hAnsi="Calibri" w:eastAsia="Calibri" w:cs="Calibri"/>
        </w:rPr>
        <w:t>Estos instrumentos no solo constituyen compromisos internacionales, sino que son referentes técnicos y jurídicos indispensables para la formulación de políticas públicas, normas sectoriales y la implementación de buenas prácticas en la gestión minera. Por tanto, el Ministerio de Minas y Energía y el Gobierno Nacional tienen el reto de implementar</w:t>
      </w:r>
      <w:r w:rsidR="008A22DF">
        <w:rPr>
          <w:rFonts w:ascii="Calibri" w:hAnsi="Calibri" w:eastAsia="Calibri" w:cs="Calibri"/>
        </w:rPr>
        <w:t xml:space="preserve">los </w:t>
      </w:r>
      <w:r w:rsidRPr="1A52A16F">
        <w:rPr>
          <w:rFonts w:ascii="Calibri" w:hAnsi="Calibri" w:eastAsia="Calibri" w:cs="Calibri"/>
        </w:rPr>
        <w:t>como marco de referencia para la expedición de nuevas normatividades e instrumentos que aseguren un sector minero competitivo, sostenible y alineado con los más altos estándares internacionales.</w:t>
      </w:r>
    </w:p>
    <w:p w:rsidR="00203125" w:rsidP="00203125" w:rsidRDefault="00203125" w14:paraId="7329DFCD" w14:textId="77777777">
      <w:pPr>
        <w:spacing w:line="257" w:lineRule="auto"/>
        <w:jc w:val="both"/>
      </w:pPr>
      <w:r w:rsidRPr="1A52A16F">
        <w:rPr>
          <w:rFonts w:ascii="Calibri" w:hAnsi="Calibri" w:eastAsia="Calibri" w:cs="Calibri"/>
        </w:rPr>
        <w:t>En conclusión, la nueva Política Pública Minera Nacional no es un esfuerzo aislado, sino que refleja una responsabilidad compartida de Colombia con la comunidad internacional en materia de derechos humanos y ambiente. Con su expedición se avanza en el cumplimiento de un mandato judicial y los compromisos internacionales asumidos en la materia, fortaleciendo con ello el Estado de Derecho ambiental.</w:t>
      </w:r>
    </w:p>
    <w:p w:rsidR="00203125" w:rsidP="00203125" w:rsidRDefault="00203125" w14:paraId="287BC2B8" w14:textId="77777777">
      <w:pPr>
        <w:spacing w:after="0"/>
      </w:pPr>
    </w:p>
    <w:p w:rsidR="00203125" w:rsidP="0007391F" w:rsidRDefault="00203125" w14:paraId="6BEF3B25" w14:textId="41F519A9">
      <w:pPr>
        <w:spacing w:after="0" w:line="240" w:lineRule="auto"/>
        <w:jc w:val="both"/>
        <w:rPr>
          <w:rFonts w:eastAsia="calibri cuerpo"/>
          <w:lang w:val="es-ES"/>
        </w:rPr>
      </w:pPr>
    </w:p>
    <w:p w:rsidR="0007391F" w:rsidP="0007391F" w:rsidRDefault="0007391F" w14:paraId="3F326197" w14:textId="77777777" w14:noSpellErr="1">
      <w:pPr>
        <w:pStyle w:val="Heading1"/>
        <w:spacing w:before="0" w:after="160"/>
        <w:ind w:left="720"/>
        <w:rPr>
          <w:rFonts w:ascii="Calibri" w:hAnsi="Calibri" w:eastAsia="Arial"/>
          <w:color w:val="000000" w:themeColor="text1"/>
          <w:sz w:val="22"/>
          <w:szCs w:val="22"/>
        </w:rPr>
      </w:pPr>
      <w:bookmarkStart w:name="_Toc601226024" w:id="256"/>
      <w:bookmarkStart w:name="_Toc1247578220" w:id="257"/>
      <w:bookmarkStart w:name="_Toc283931839" w:id="258"/>
      <w:bookmarkStart w:name="_Toc927715608" w:id="259"/>
      <w:bookmarkStart w:name="_Toc1194176711" w:id="260"/>
      <w:bookmarkStart w:name="_Toc1999222408" w:id="261"/>
      <w:bookmarkStart w:name="_Toc379102656" w:id="262"/>
      <w:bookmarkStart w:name="_Toc111145729" w:id="263"/>
      <w:bookmarkStart w:name="_Toc876554519" w:id="264"/>
      <w:bookmarkStart w:name="_Toc761737784" w:id="265"/>
      <w:bookmarkStart w:name="_Toc317576909" w:id="266"/>
      <w:bookmarkStart w:name="_Toc2067564377" w:id="267"/>
      <w:bookmarkStart w:name="_Toc1284117283" w:id="268"/>
      <w:bookmarkStart w:name="_Toc2016248459" w:id="269"/>
      <w:bookmarkStart w:name="_Toc880877326" w:id="270"/>
      <w:bookmarkStart w:name="_Toc518048599" w:id="271"/>
      <w:bookmarkStart w:name="_Toc141166279" w:id="272"/>
      <w:bookmarkStart w:name="_Toc1790323048" w:id="273"/>
      <w:bookmarkStart w:name="_Toc1006814050" w:id="274"/>
      <w:bookmarkStart w:name="_Toc118074818" w:id="275"/>
      <w:bookmarkStart w:name="_Toc200373985" w:id="276"/>
      <w:bookmarkStart w:name="_Toc1699591470" w:id="277"/>
      <w:bookmarkStart w:name="_Toc1304068575" w:id="278"/>
      <w:bookmarkStart w:name="_Toc1743030542" w:id="279"/>
      <w:bookmarkStart w:name="_Toc1706811704" w:id="280"/>
      <w:bookmarkStart w:name="_Toc676011796" w:id="281"/>
      <w:bookmarkStart w:name="_Toc210292964" w:id="282"/>
      <w:r w:rsidR="0007391F">
        <w:rPr/>
        <w:t xml:space="preserve">Marco </w:t>
      </w:r>
      <w:r w:rsidR="0007391F">
        <w:rPr/>
        <w:t>Conceptual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sidR="0007391F">
        <w:rPr/>
        <w:t xml:space="preserve"> </w:t>
      </w:r>
      <w:bookmarkEnd w:id="282"/>
    </w:p>
    <w:p w:rsidR="0007391F" w:rsidP="0007391F" w:rsidRDefault="3605FFD0" w14:paraId="0AD6B7FF" w14:textId="65826797">
      <w:pPr>
        <w:spacing w:before="240" w:after="240"/>
        <w:jc w:val="both"/>
        <w:rPr>
          <w:rFonts w:ascii="Calibri" w:hAnsi="Calibri" w:eastAsia="Calibri" w:cs="Calibri"/>
          <w:color w:val="000000" w:themeColor="text1"/>
        </w:rPr>
      </w:pPr>
      <w:r w:rsidRPr="3845A57C">
        <w:rPr>
          <w:rFonts w:ascii="Calibri" w:hAnsi="Calibri" w:eastAsia="Calibri" w:cs="Calibri"/>
          <w:color w:val="000000" w:themeColor="text1"/>
        </w:rPr>
        <w:t xml:space="preserve">El sector minero, en consonancia con lo establecido </w:t>
      </w:r>
      <w:r w:rsidRPr="3845A57C" w:rsidR="2D835561">
        <w:rPr>
          <w:rFonts w:ascii="Calibri" w:hAnsi="Calibri" w:eastAsia="Calibri" w:cs="Calibri"/>
          <w:color w:val="000000" w:themeColor="text1"/>
        </w:rPr>
        <w:t xml:space="preserve">en </w:t>
      </w:r>
      <w:r w:rsidRPr="3845A57C">
        <w:rPr>
          <w:rFonts w:ascii="Calibri" w:hAnsi="Calibri" w:eastAsia="Calibri" w:cs="Calibri"/>
          <w:color w:val="000000" w:themeColor="text1"/>
        </w:rPr>
        <w:t xml:space="preserve">el Plan Nacional </w:t>
      </w:r>
      <w:r w:rsidRPr="3845A57C" w:rsidR="7DF81832">
        <w:rPr>
          <w:rFonts w:ascii="Calibri" w:hAnsi="Calibri" w:eastAsia="Calibri" w:cs="Calibri"/>
          <w:color w:val="000000" w:themeColor="text1"/>
        </w:rPr>
        <w:t>d</w:t>
      </w:r>
      <w:r w:rsidRPr="3845A57C">
        <w:rPr>
          <w:rFonts w:ascii="Calibri" w:hAnsi="Calibri" w:eastAsia="Calibri" w:cs="Calibri"/>
          <w:color w:val="000000" w:themeColor="text1"/>
        </w:rPr>
        <w:t>e Desarrollo</w:t>
      </w:r>
      <w:r w:rsidRPr="3845A57C">
        <w:rPr>
          <w:rFonts w:ascii="Calibri" w:hAnsi="Calibri" w:eastAsia="Calibri" w:cs="Calibri"/>
        </w:rPr>
        <w:t xml:space="preserve"> 2022- 2026 </w:t>
      </w:r>
      <w:r w:rsidRPr="3845A57C" w:rsidR="2D835561">
        <w:rPr>
          <w:rFonts w:ascii="Calibri" w:hAnsi="Calibri" w:eastAsia="Calibri" w:cs="Calibri"/>
        </w:rPr>
        <w:t>“</w:t>
      </w:r>
      <w:r w:rsidRPr="3845A57C">
        <w:rPr>
          <w:rFonts w:ascii="Calibri" w:hAnsi="Calibri" w:eastAsia="Calibri" w:cs="Calibri"/>
          <w:i/>
          <w:iCs/>
        </w:rPr>
        <w:t>Colombia Potencia Mundial de la Vida</w:t>
      </w:r>
      <w:r w:rsidRPr="3845A57C" w:rsidR="2D835561">
        <w:rPr>
          <w:rFonts w:ascii="Calibri" w:hAnsi="Calibri" w:eastAsia="Calibri" w:cs="Calibri"/>
        </w:rPr>
        <w:t>”</w:t>
      </w:r>
      <w:r w:rsidRPr="3845A57C">
        <w:rPr>
          <w:rFonts w:ascii="Calibri" w:hAnsi="Calibri" w:eastAsia="Calibri" w:cs="Calibri"/>
        </w:rPr>
        <w:t>,</w:t>
      </w:r>
      <w:r w:rsidRPr="3845A57C">
        <w:rPr>
          <w:rFonts w:ascii="Calibri" w:hAnsi="Calibri" w:eastAsia="Calibri" w:cs="Calibri"/>
          <w:color w:val="000000" w:themeColor="text1"/>
        </w:rPr>
        <w:t xml:space="preserve"> debe impulsar estrategias y acciones que garanticen el cuidado de la vida y promueva el ordenamiento alrededor del agua, así como el valor de lo público, mediante mecanismos de participación efectiva e inclusión. Así como acciones que sienten las bases para luchar por la protección de la vida, la humanidad y la naturaleza. </w:t>
      </w:r>
    </w:p>
    <w:p w:rsidR="0007391F" w:rsidP="0007391F" w:rsidRDefault="1F16A6A4" w14:paraId="6A5D78D1" w14:textId="686BBE9E">
      <w:pPr>
        <w:spacing w:before="240" w:after="240"/>
        <w:jc w:val="both"/>
        <w:rPr>
          <w:rFonts w:ascii="Calibri" w:hAnsi="Calibri" w:eastAsia="Calibri" w:cs="Calibri"/>
          <w:color w:val="000000" w:themeColor="text1"/>
        </w:rPr>
      </w:pPr>
      <w:r w:rsidRPr="3845A57C">
        <w:rPr>
          <w:rFonts w:ascii="Calibri" w:hAnsi="Calibri" w:eastAsia="Calibri" w:cs="Calibri"/>
          <w:color w:val="000000" w:themeColor="text1"/>
        </w:rPr>
        <w:t xml:space="preserve">El enfoque de la nueva política minera se sustenta en la noción de una </w:t>
      </w:r>
      <w:r w:rsidRPr="3845A57C">
        <w:rPr>
          <w:rFonts w:ascii="Calibri" w:hAnsi="Calibri" w:eastAsia="Calibri" w:cs="Calibri"/>
          <w:i/>
          <w:iCs/>
          <w:color w:val="000000" w:themeColor="text1"/>
        </w:rPr>
        <w:t>“minería para la vida”</w:t>
      </w:r>
      <w:r w:rsidRPr="3845A57C">
        <w:rPr>
          <w:rFonts w:ascii="Calibri" w:hAnsi="Calibri" w:eastAsia="Calibri" w:cs="Calibri"/>
          <w:color w:val="000000" w:themeColor="text1"/>
        </w:rPr>
        <w:t>, la cual plantea una manera renovada de ejercer la actividad minera, basada en prácticas que reivindiquen la vida digna en los territorios. Este enfoque convoca a todos los actores de la cadena de valor minera a asumirse como agentes de cambio social y promotores de transformaciones que demandan una articulación efectiva entre el sector minero y el sector ambie</w:t>
      </w:r>
      <w:r w:rsidRPr="3845A57C">
        <w:rPr>
          <w:rFonts w:ascii="Calibri" w:hAnsi="Calibri" w:eastAsia="Calibri" w:cs="Calibri"/>
        </w:rPr>
        <w:t>ntal</w:t>
      </w:r>
      <w:r w:rsidRPr="3845A57C" w:rsidR="3605FFD0">
        <w:rPr>
          <w:rFonts w:ascii="Calibri" w:hAnsi="Calibri" w:eastAsia="Calibri" w:cs="Calibri"/>
        </w:rPr>
        <w:t xml:space="preserve">. </w:t>
      </w:r>
    </w:p>
    <w:p w:rsidR="00836A60" w:rsidP="00836A60" w:rsidRDefault="00836A60" w14:paraId="177008C7" w14:textId="6DEFFEB3">
      <w:pPr>
        <w:spacing w:before="240" w:after="240"/>
        <w:jc w:val="both"/>
        <w:rPr>
          <w:rFonts w:ascii="Calibri" w:hAnsi="Calibri" w:eastAsia="Calibri" w:cs="Calibri"/>
          <w:color w:val="000000" w:themeColor="text1"/>
          <w:lang w:val="es-ES"/>
        </w:rPr>
      </w:pPr>
      <w:r w:rsidRPr="34D1E0F9">
        <w:rPr>
          <w:rFonts w:ascii="Calibri" w:hAnsi="Calibri" w:eastAsia="Calibri" w:cs="Calibri"/>
          <w:color w:val="000000" w:themeColor="text1"/>
          <w:lang w:val="es-ES"/>
        </w:rPr>
        <w:t>Atendiendo a estos principios, los cambios requieren de una acción política transformadora que permita transitar de un modelo predominantemente extractivista hacía una actividad minera que incorpore los saberes ancestrales, ambientales, territoriales y comunitarios, al tiempo que fomente un sector empresarial comprometido con el medio ambiente. De este modo, la nueva política minera debe responder a un cambio estructural que supere la concepción tradicional de la actividad como “motor del desarrollo”</w:t>
      </w:r>
      <w:r w:rsidRPr="34D1E0F9" w:rsidR="5D41E35F">
        <w:rPr>
          <w:rFonts w:ascii="Calibri" w:hAnsi="Calibri" w:eastAsia="Calibri" w:cs="Calibri"/>
          <w:color w:val="000000" w:themeColor="text1"/>
          <w:lang w:val="es-ES"/>
        </w:rPr>
        <w:t xml:space="preserve"> y así </w:t>
      </w:r>
      <w:r w:rsidRPr="34D1E0F9">
        <w:rPr>
          <w:rFonts w:ascii="Calibri" w:hAnsi="Calibri" w:eastAsia="Calibri" w:cs="Calibri"/>
          <w:color w:val="000000" w:themeColor="text1"/>
          <w:lang w:val="es-ES"/>
        </w:rPr>
        <w:t>posicionarla como promotora de un aprovechamiento minero sustentable, orientado a la generación de espacios y mecanismos de participación, al fortalecimiento del modelo de control y fiscalización y a la articulación efectiva entre el Estado, las autoridades territoriales y los sectores minero y ambiental.</w:t>
      </w:r>
    </w:p>
    <w:p w:rsidRPr="00836A60" w:rsidR="00836A60" w:rsidP="00836A60" w:rsidRDefault="00836A60" w14:paraId="6F7283E6" w14:textId="1F8BAB85">
      <w:pPr>
        <w:spacing w:before="240" w:after="240"/>
        <w:jc w:val="both"/>
        <w:rPr>
          <w:rFonts w:ascii="Calibri" w:hAnsi="Calibri" w:eastAsia="Calibri" w:cs="Calibri"/>
          <w:color w:val="000000" w:themeColor="text1"/>
          <w:lang w:val="es-ES"/>
        </w:rPr>
      </w:pPr>
      <w:r w:rsidRPr="34D1E0F9">
        <w:rPr>
          <w:rFonts w:ascii="Calibri" w:hAnsi="Calibri" w:eastAsia="Calibri" w:cs="Calibri"/>
          <w:color w:val="000000" w:themeColor="text1"/>
          <w:lang w:val="es-ES"/>
        </w:rPr>
        <w:t xml:space="preserve">Otra de las apuestas es poder incorporar el concepto de desarrollo sostenible desde una mirada crítica </w:t>
      </w:r>
      <w:r w:rsidRPr="34D1E0F9">
        <w:rPr>
          <w:rFonts w:ascii="Calibri" w:hAnsi="Calibri" w:eastAsia="Calibri" w:cs="Calibri"/>
          <w:color w:val="000000" w:themeColor="text1"/>
        </w:rPr>
        <w:t>que trascienda su uso discursivo y se convierta en una herramienta real de transformación social con enfoque territorial</w:t>
      </w:r>
      <w:r w:rsidRPr="34D1E0F9" w:rsidR="00D07C5C">
        <w:rPr>
          <w:rFonts w:ascii="Calibri" w:hAnsi="Calibri" w:eastAsia="Calibri" w:cs="Calibri"/>
          <w:color w:val="000000" w:themeColor="text1"/>
        </w:rPr>
        <w:t xml:space="preserve">, y permita cuestionar de fondo las relaciones de poder, las desigualdades territoriales </w:t>
      </w:r>
      <w:r w:rsidRPr="34D1E0F9" w:rsidR="11A61DCD">
        <w:rPr>
          <w:rFonts w:ascii="Calibri" w:hAnsi="Calibri" w:eastAsia="Calibri" w:cs="Calibri"/>
          <w:color w:val="000000" w:themeColor="text1"/>
        </w:rPr>
        <w:t>y</w:t>
      </w:r>
      <w:r w:rsidRPr="34D1E0F9" w:rsidR="00D07C5C">
        <w:rPr>
          <w:rFonts w:ascii="Calibri" w:hAnsi="Calibri" w:eastAsia="Calibri" w:cs="Calibri"/>
          <w:color w:val="000000" w:themeColor="text1"/>
        </w:rPr>
        <w:t xml:space="preserve"> la destrucción de los ecosistemas.</w:t>
      </w:r>
      <w:r w:rsidRPr="34D1E0F9">
        <w:rPr>
          <w:rFonts w:ascii="Calibri" w:hAnsi="Calibri" w:eastAsia="Calibri" w:cs="Calibri"/>
          <w:color w:val="000000" w:themeColor="text1"/>
          <w:lang w:val="es-ES"/>
        </w:rPr>
        <w:t xml:space="preserve"> Esto implica la implementación </w:t>
      </w:r>
      <w:r w:rsidRPr="34D1E0F9" w:rsidR="00D07C5C">
        <w:rPr>
          <w:rFonts w:ascii="Calibri" w:hAnsi="Calibri" w:eastAsia="Calibri" w:cs="Calibri"/>
          <w:color w:val="000000" w:themeColor="text1"/>
          <w:lang w:val="es-ES"/>
        </w:rPr>
        <w:t xml:space="preserve">efectiva y contextualizada </w:t>
      </w:r>
      <w:r w:rsidRPr="34D1E0F9">
        <w:rPr>
          <w:rFonts w:ascii="Calibri" w:hAnsi="Calibri" w:eastAsia="Calibri" w:cs="Calibri"/>
          <w:color w:val="000000" w:themeColor="text1"/>
          <w:lang w:val="es-ES"/>
        </w:rPr>
        <w:t xml:space="preserve">de prácticas responsables que minimicen los efectos ambientales y sociales, a través de una planeación sectorial centrada en prácticas mineras sostenibles, eficientes en la gestión de residuos, la economía circular, la rehabilitación y/o recuperación de áreas afectadas o intervenidas por la minería y la promoción de tecnologías limpias, asegurando la conservación del entorno y el </w:t>
      </w:r>
      <w:r w:rsidRPr="34D1E0F9" w:rsidR="00D07C5C">
        <w:rPr>
          <w:rFonts w:ascii="Calibri" w:hAnsi="Calibri" w:eastAsia="Calibri" w:cs="Calibri"/>
          <w:color w:val="000000" w:themeColor="text1"/>
          <w:lang w:val="es-ES"/>
        </w:rPr>
        <w:t>consenso</w:t>
      </w:r>
      <w:r w:rsidRPr="34D1E0F9">
        <w:rPr>
          <w:rFonts w:ascii="Calibri" w:hAnsi="Calibri" w:eastAsia="Calibri" w:cs="Calibri"/>
          <w:color w:val="000000" w:themeColor="text1"/>
          <w:lang w:val="es-ES"/>
        </w:rPr>
        <w:t xml:space="preserve"> con</w:t>
      </w:r>
      <w:r w:rsidRPr="34D1E0F9" w:rsidR="00D07C5C">
        <w:rPr>
          <w:rFonts w:ascii="Calibri" w:hAnsi="Calibri" w:eastAsia="Calibri" w:cs="Calibri"/>
          <w:color w:val="000000" w:themeColor="text1"/>
          <w:lang w:val="es-ES"/>
        </w:rPr>
        <w:t xml:space="preserve"> las</w:t>
      </w:r>
      <w:r w:rsidRPr="34D1E0F9">
        <w:rPr>
          <w:rFonts w:ascii="Calibri" w:hAnsi="Calibri" w:eastAsia="Calibri" w:cs="Calibri"/>
          <w:color w:val="000000" w:themeColor="text1"/>
          <w:lang w:val="es-ES"/>
        </w:rPr>
        <w:t xml:space="preserve"> comunidades.</w:t>
      </w:r>
    </w:p>
    <w:p w:rsidRPr="00D07C5C" w:rsidR="00D07C5C" w:rsidP="00D07C5C" w:rsidRDefault="00D07C5C" w14:paraId="00BEAC00" w14:textId="00FD50D2">
      <w:pPr>
        <w:spacing w:before="240" w:after="240"/>
        <w:jc w:val="both"/>
        <w:rPr>
          <w:rFonts w:ascii="Calibri" w:hAnsi="Calibri" w:eastAsia="Calibri" w:cs="Calibri"/>
          <w:lang w:val="es-ES"/>
        </w:rPr>
      </w:pPr>
      <w:r w:rsidRPr="00D07C5C">
        <w:rPr>
          <w:rFonts w:ascii="Calibri" w:hAnsi="Calibri" w:eastAsia="Calibri" w:cs="Calibri"/>
          <w:lang w:val="es-ES"/>
        </w:rPr>
        <w:t>En este marco, la inclusión</w:t>
      </w:r>
      <w:r>
        <w:rPr>
          <w:rFonts w:ascii="Calibri" w:hAnsi="Calibri" w:eastAsia="Calibri" w:cs="Calibri"/>
          <w:lang w:val="es-ES"/>
        </w:rPr>
        <w:t xml:space="preserve"> de</w:t>
      </w:r>
      <w:r w:rsidRPr="00D07C5C">
        <w:rPr>
          <w:rFonts w:ascii="Calibri" w:hAnsi="Calibri" w:eastAsia="Calibri" w:cs="Calibri"/>
          <w:lang w:val="es-ES"/>
        </w:rPr>
        <w:t xml:space="preserve"> la comunidad internacional será estratégica, en tanto aporta experiencias y enfoques que pueden contribuir a trazar nuevas hojas de ruta para la protección de los recursos naturales y la integridad de los ecosistemas. Estos aportes permitirán robustecer la construcción de un modelo alternativo, gestado desde los sectores populares y aplicable a todas las escalas de la minería, que supere la lógica centrada exclusivamente en los intereses corporativos y dé paso a un proyecto con visión popular y de largo plazo. Ello exige reconocer a la ciudadanía como un sujeto político activo, con capacidad real de incidir y participar en los procesos de planeación y toma de decisiones, trascendiendo los esquemas unilaterales de gestión sectorial.</w:t>
      </w:r>
    </w:p>
    <w:p w:rsidRPr="00D07C5C" w:rsidR="00D07C5C" w:rsidP="00D07C5C" w:rsidRDefault="00D07C5C" w14:paraId="43CDC232" w14:textId="147AB0F4">
      <w:pPr>
        <w:spacing w:before="240" w:after="240"/>
        <w:jc w:val="both"/>
        <w:rPr>
          <w:rFonts w:ascii="Calibri" w:hAnsi="Calibri" w:eastAsia="Calibri" w:cs="Calibri"/>
          <w:color w:val="000000" w:themeColor="text1"/>
          <w:lang w:val="es-ES"/>
        </w:rPr>
      </w:pPr>
      <w:r w:rsidRPr="00D07C5C">
        <w:rPr>
          <w:rFonts w:ascii="Calibri" w:hAnsi="Calibri" w:eastAsia="Calibri" w:cs="Calibri"/>
          <w:color w:val="000000" w:themeColor="text1"/>
          <w:lang w:val="es-ES"/>
        </w:rPr>
        <w:t xml:space="preserve">Sobre esta base, </w:t>
      </w:r>
      <w:r>
        <w:rPr>
          <w:rFonts w:ascii="Calibri" w:hAnsi="Calibri" w:eastAsia="Calibri" w:cs="Calibri"/>
          <w:color w:val="000000" w:themeColor="text1"/>
          <w:lang w:val="es-ES"/>
        </w:rPr>
        <w:t>l</w:t>
      </w:r>
      <w:r w:rsidRPr="00D07C5C">
        <w:rPr>
          <w:rFonts w:ascii="Calibri" w:hAnsi="Calibri" w:eastAsia="Calibri" w:cs="Calibri"/>
          <w:color w:val="000000" w:themeColor="text1"/>
          <w:lang w:val="es-ES"/>
        </w:rPr>
        <w:t>a articulación de los enfoques orientadores con una perspectiva territorial, permitirán diversificar las prioridades del sector minero y promover su transformación tecnológica en coherencia con las realidades socioeconómicas, mineras y ambientales de cada región. Este planteamiento implica, además, fortalecer los mecanismos de participación efectiva, asegurando la inclusión de mujeres, jóvenes, población LGBTIQ+, personas con discapacidad y adultos mayores en los distintos eslabones de la cadena minera. Así, la integridad regional se erige como eje estructural para guiar los cambios y transformaciones del sector, favoreciendo la consolidación de una política minera intercultural, territorialmente diferenciada y regionalizada, que visibilice y articule la diversidad de actores presentes en todas las escalas de la actividad minera.</w:t>
      </w:r>
    </w:p>
    <w:p w:rsidRPr="00D07C5C" w:rsidR="00D07C5C" w:rsidP="00D07C5C" w:rsidRDefault="21AFFE9F" w14:paraId="04948140" w14:textId="610C1C3B">
      <w:pPr>
        <w:spacing w:line="276" w:lineRule="auto"/>
        <w:jc w:val="both"/>
        <w:rPr>
          <w:rFonts w:ascii="Calibri" w:hAnsi="Calibri" w:eastAsia="Calibri" w:cs="Calibri"/>
          <w:color w:val="000000" w:themeColor="text1"/>
          <w:lang w:val="es-ES"/>
        </w:rPr>
      </w:pPr>
      <w:r w:rsidRPr="34D1E0F9">
        <w:rPr>
          <w:rFonts w:ascii="Calibri" w:hAnsi="Calibri" w:eastAsia="Calibri" w:cs="Calibri"/>
          <w:color w:val="000000" w:themeColor="text1"/>
          <w:lang w:val="es-ES"/>
        </w:rPr>
        <w:t>Así es como el Plan Nacional de Desarrollo 2022–2026</w:t>
      </w:r>
      <w:r w:rsidRPr="34D1E0F9">
        <w:rPr>
          <w:rFonts w:ascii="Calibri" w:hAnsi="Calibri" w:eastAsia="Calibri" w:cs="Calibri"/>
          <w:b/>
          <w:bCs/>
          <w:color w:val="000000" w:themeColor="text1"/>
          <w:lang w:val="es-ES"/>
        </w:rPr>
        <w:t xml:space="preserve"> </w:t>
      </w:r>
      <w:r w:rsidRPr="34D1E0F9">
        <w:rPr>
          <w:rFonts w:ascii="Calibri" w:hAnsi="Calibri" w:eastAsia="Calibri" w:cs="Calibri"/>
          <w:color w:val="000000" w:themeColor="text1"/>
          <w:lang w:val="es-ES"/>
        </w:rPr>
        <w:t>se constituye como eje rector de la presente Política Pública Minera, al definir el marco estratégico del desarrollo nacional y orientar el cambio de paradigma en la gestión del sector. Dicho plan establece ideas centrales que sitúan al agua, la naturaleza, la biodiversidad y las personas como focos del ordenamiento territorial, promoviendo un tránsito hacia una economía productiva basada en el respeto a la naturaleza y en la sostenibilidad social y ambiental. Este nuevo enfoque busca dejar atrás la dependencia exclusiva de actividades extractivas, potenciando las capacidades territoriales en armonía con los ecosistemas y reconociendo a las comunidades como actores activos en los procesos de decisión minero-ambiental. De esta manera, se impulsa un modelo que integra las dimensiones ecológicas, culturales y sociales, consolidando una visión transformadora de largo plazo para el sector minero y para el desarrollo del país.</w:t>
      </w:r>
    </w:p>
    <w:p w:rsidRPr="002A26BE" w:rsidR="002A26BE" w:rsidP="0007391F" w:rsidRDefault="002A26BE" w14:paraId="34E02B1F" w14:textId="7D4ECE9E">
      <w:pPr>
        <w:spacing w:line="276" w:lineRule="auto"/>
        <w:jc w:val="both"/>
        <w:rPr>
          <w:rFonts w:ascii="Calibri" w:hAnsi="Calibri" w:eastAsia="Calibri" w:cs="Calibri"/>
          <w:lang w:val="es-ES"/>
        </w:rPr>
      </w:pPr>
      <w:r w:rsidRPr="002A26BE">
        <w:rPr>
          <w:rFonts w:ascii="Calibri" w:hAnsi="Calibri" w:eastAsia="Calibri" w:cs="Calibri"/>
          <w:lang w:val="es-ES"/>
        </w:rPr>
        <w:t xml:space="preserve">La nueva Política Minera pretende una transformación estructural del sector en Colombia, fortaleciendo el papel del Estado en la inversión pública, la distribución justa de la riqueza y la mejora de las condiciones de vida de las comunidades. Su </w:t>
      </w:r>
      <w:r>
        <w:rPr>
          <w:rFonts w:ascii="Calibri" w:hAnsi="Calibri" w:eastAsia="Calibri" w:cs="Calibri"/>
          <w:lang w:val="es-ES"/>
        </w:rPr>
        <w:t>propósito</w:t>
      </w:r>
      <w:r w:rsidRPr="002A26BE">
        <w:rPr>
          <w:rFonts w:ascii="Calibri" w:hAnsi="Calibri" w:eastAsia="Calibri" w:cs="Calibri"/>
          <w:lang w:val="es-ES"/>
        </w:rPr>
        <w:t xml:space="preserve"> está orientado a reducir la dependencia de los hidrocarburos y minerales tradicionales, a través de la cooperación regional y el impulso a una economía sostenible con empleos de calidad. En esta perspectiva, se integran acciones específicas para la transición energética justa (TEJ), fundamentadas en el respeto a la naturaleza y la justicia social. </w:t>
      </w:r>
    </w:p>
    <w:p w:rsidRPr="002A26BE" w:rsidR="002A26BE" w:rsidP="002A26BE" w:rsidRDefault="49E81BBE" w14:paraId="5A494742" w14:textId="165C3185">
      <w:pPr>
        <w:spacing w:line="276" w:lineRule="auto"/>
        <w:jc w:val="both"/>
        <w:rPr>
          <w:rFonts w:ascii="Calibri" w:hAnsi="Calibri" w:eastAsia="Calibri" w:cs="Calibri"/>
        </w:rPr>
      </w:pPr>
      <w:r w:rsidRPr="3845A57C">
        <w:rPr>
          <w:rFonts w:ascii="Calibri" w:hAnsi="Calibri" w:eastAsia="Calibri" w:cs="Calibri"/>
        </w:rPr>
        <w:t xml:space="preserve">Con este propósito, la </w:t>
      </w:r>
      <w:r w:rsidRPr="3845A57C" w:rsidR="41481075">
        <w:rPr>
          <w:rFonts w:ascii="Calibri" w:hAnsi="Calibri" w:eastAsia="Calibri" w:cs="Calibri"/>
        </w:rPr>
        <w:t>P</w:t>
      </w:r>
      <w:r w:rsidRPr="3845A57C">
        <w:rPr>
          <w:rFonts w:ascii="Calibri" w:hAnsi="Calibri" w:eastAsia="Calibri" w:cs="Calibri"/>
        </w:rPr>
        <w:t xml:space="preserve">olítica </w:t>
      </w:r>
      <w:r w:rsidRPr="3845A57C" w:rsidR="216EEF2A">
        <w:rPr>
          <w:rFonts w:ascii="Calibri" w:hAnsi="Calibri" w:eastAsia="Calibri" w:cs="Calibri"/>
        </w:rPr>
        <w:t>P</w:t>
      </w:r>
      <w:r w:rsidRPr="3845A57C">
        <w:rPr>
          <w:rFonts w:ascii="Calibri" w:hAnsi="Calibri" w:eastAsia="Calibri" w:cs="Calibri"/>
        </w:rPr>
        <w:t xml:space="preserve">ública </w:t>
      </w:r>
      <w:r w:rsidRPr="3845A57C" w:rsidR="26A86A1E">
        <w:rPr>
          <w:rFonts w:ascii="Calibri" w:hAnsi="Calibri" w:eastAsia="Calibri" w:cs="Calibri"/>
        </w:rPr>
        <w:t>M</w:t>
      </w:r>
      <w:r w:rsidRPr="3845A57C">
        <w:rPr>
          <w:rFonts w:ascii="Calibri" w:hAnsi="Calibri" w:eastAsia="Calibri" w:cs="Calibri"/>
        </w:rPr>
        <w:t xml:space="preserve">inera contempla la importancia de reconocer un marco internacional para guiar el desarrollo sostenible y resiliente del sector desde las realidades territoriales. Por esto se parte de la Convención Marco de las Naciones Unidas sobre el Cambio Climático de 1992, que establece que los países tienen derecho al desarrollo sostenible, y que las políticas y medidas para proteger el sistema climático contra el cambio inducido por el ser humano deberían ser apropiadas para las condiciones específicas de cada territorio, además de estar integradas en los instrumentos de política. </w:t>
      </w:r>
    </w:p>
    <w:p w:rsidRPr="002A26BE" w:rsidR="002A26BE" w:rsidP="002A26BE" w:rsidRDefault="002A26BE" w14:paraId="483F93D4" w14:textId="77777777">
      <w:pPr>
        <w:spacing w:line="276" w:lineRule="auto"/>
        <w:jc w:val="both"/>
        <w:rPr>
          <w:rFonts w:ascii="Calibri" w:hAnsi="Calibri" w:eastAsia="Calibri" w:cs="Calibri"/>
        </w:rPr>
      </w:pPr>
      <w:r w:rsidRPr="002A26BE">
        <w:rPr>
          <w:rFonts w:ascii="Calibri" w:hAnsi="Calibri" w:eastAsia="Calibri" w:cs="Calibri"/>
        </w:rPr>
        <w:t>Referentes internacionales como el Protocolo de Kioto de 1997, adoptado en el marco de la Convención de las Naciones Unidas sobre el Cambio Climático, establecen que, para promover el desarrollo sostenible, los países deben comprometerse con la limitación y reducción de emisiones. En la misma línea, el Acuerdo de París de 2015 refuerza la respuesta global frente a la amenaza del cambio climático, en el marco del desarrollo sostenible y de los esfuerzos por erradicar la pobreza. De lo anterior se desprende que toda medida orientada a enfrentar el cambio climático debe estar acompañada de acciones que garanticen el respeto de los derechos humanos y promuevan la inclusión y la equidad, principios esenciales para la sostenibilidad y la justicia social.</w:t>
      </w:r>
    </w:p>
    <w:p w:rsidRPr="002A26BE" w:rsidR="002A26BE" w:rsidP="002A26BE" w:rsidRDefault="002A26BE" w14:paraId="4A171896" w14:textId="77777777">
      <w:pPr>
        <w:spacing w:line="276" w:lineRule="auto"/>
        <w:jc w:val="both"/>
        <w:rPr>
          <w:rFonts w:ascii="Calibri" w:hAnsi="Calibri" w:eastAsia="Calibri" w:cs="Calibri"/>
        </w:rPr>
      </w:pPr>
      <w:r w:rsidRPr="002A26BE">
        <w:rPr>
          <w:rFonts w:ascii="Calibri" w:hAnsi="Calibri" w:eastAsia="Calibri" w:cs="Calibri"/>
        </w:rPr>
        <w:t>De esta manera, aun cuando no exista total consenso respecto a todos sus alcances, estos instrumentos internacionales ofrecen marcos de referencia relevantes para la articulación global, en tanto orientan la formulación de estrategias sectoriales que, al ser adaptadas a los contextos territoriales, aportan una visión más amplia y coherente del desarrollo.</w:t>
      </w:r>
    </w:p>
    <w:p w:rsidRPr="002A26BE" w:rsidR="002A26BE" w:rsidP="002A26BE" w:rsidRDefault="002A26BE" w14:paraId="731713E5" w14:textId="77777777">
      <w:pPr>
        <w:spacing w:line="276" w:lineRule="auto"/>
        <w:jc w:val="both"/>
        <w:rPr>
          <w:rFonts w:ascii="Calibri" w:hAnsi="Calibri" w:eastAsia="Calibri" w:cs="Calibri"/>
        </w:rPr>
      </w:pPr>
      <w:r w:rsidRPr="002A26BE">
        <w:rPr>
          <w:rFonts w:ascii="Calibri" w:hAnsi="Calibri" w:eastAsia="Calibri" w:cs="Calibri"/>
        </w:rPr>
        <w:t>En esa misma dirección, los Objetivos de Desarrollo Sostenible (ODS) deben ser considerados como un marco universal para la construcción de un sector minero incluyente y equitativo. Su incorporación en la política pública contribuye a consolidar un enfoque integral de planeación, en el que confluyan de manera coordinada las dimensiones económicas, sociales y ambientales de la actividad minera, sin desconocer los debates y particularidades que plantea su aplicación en los territorios.</w:t>
      </w:r>
    </w:p>
    <w:p w:rsidR="0007391F" w:rsidP="002A26BE" w:rsidRDefault="002A26BE" w14:paraId="58A98142" w14:textId="57633D7D">
      <w:pPr>
        <w:spacing w:line="276" w:lineRule="auto"/>
        <w:jc w:val="both"/>
        <w:rPr>
          <w:rFonts w:ascii="Calibri" w:hAnsi="Calibri" w:eastAsia="Calibri" w:cs="Calibri"/>
        </w:rPr>
      </w:pPr>
      <w:r w:rsidRPr="002A26BE">
        <w:rPr>
          <w:rFonts w:ascii="Calibri" w:hAnsi="Calibri" w:eastAsia="Calibri" w:cs="Calibri"/>
        </w:rPr>
        <w:t>Los Objetivos de Desarrollo Sostenible (ODS) se constituyen en un referente para la Política Pública Minera, al orientar la construcción de un sector más sostenible que integre de manera equilibrada la protección del medio ambiente, el respeto y garantía de los derechos humanos, la promoción de la paz social y la productividad económica. Para avanzar en este propósito, resulta esencial la articulación entre el Estado, la industria y las comunidades, garantizando escenarios de participación efectiva que fortalezcan la gobernanza del sector y la apropiación territorial de sus beneficios.</w:t>
      </w:r>
    </w:p>
    <w:p w:rsidR="0007391F" w:rsidP="0007391F" w:rsidRDefault="0007391F" w14:paraId="04AC9269" w14:textId="77777777">
      <w:pPr>
        <w:spacing w:line="276" w:lineRule="auto"/>
        <w:jc w:val="both"/>
        <w:rPr>
          <w:rFonts w:ascii="Calibri" w:hAnsi="Calibri" w:eastAsia="Calibri" w:cs="Calibri"/>
        </w:rPr>
      </w:pPr>
      <w:r w:rsidRPr="769A4CE5">
        <w:rPr>
          <w:rFonts w:ascii="Calibri" w:hAnsi="Calibri" w:eastAsia="Calibri" w:cs="Calibri"/>
        </w:rPr>
        <w:t xml:space="preserve"> </w:t>
      </w:r>
    </w:p>
    <w:p w:rsidR="008A22DF" w:rsidP="003F605D" w:rsidRDefault="008A22DF" w14:paraId="062DB51D" w14:textId="77777777">
      <w:pPr>
        <w:pStyle w:val="Heading1"/>
        <w:rPr>
          <w:highlight w:val="lightGray"/>
        </w:rPr>
      </w:pPr>
      <w:bookmarkStart w:name="_Toc113534322" w:id="286"/>
      <w:bookmarkStart w:name="_Toc2102623016" w:id="287"/>
      <w:bookmarkStart w:name="_Toc565827814" w:id="288"/>
      <w:bookmarkStart w:name="_Toc511246996" w:id="289"/>
      <w:bookmarkStart w:name="_Toc2081875472" w:id="290"/>
      <w:bookmarkStart w:name="_Toc156818188" w:id="291"/>
      <w:bookmarkStart w:name="_Toc1845690135" w:id="292"/>
      <w:bookmarkStart w:name="_Toc1817673240" w:id="293"/>
      <w:bookmarkStart w:name="_Toc1935273502" w:id="294"/>
      <w:bookmarkStart w:name="_Toc1372894884" w:id="295"/>
      <w:bookmarkStart w:name="_Toc1024067912" w:id="296"/>
      <w:bookmarkStart w:name="_Toc186094563" w:id="297"/>
      <w:bookmarkStart w:name="_Toc735199291" w:id="298"/>
      <w:bookmarkStart w:name="_Toc294414186" w:id="299"/>
      <w:bookmarkStart w:name="_Toc1038369046" w:id="300"/>
      <w:bookmarkStart w:name="_Toc1429276426" w:id="301"/>
      <w:bookmarkStart w:name="_Toc1808105827" w:id="302"/>
      <w:bookmarkStart w:name="_Toc1727237790" w:id="303"/>
      <w:bookmarkStart w:name="_Toc1203104184" w:id="304"/>
      <w:bookmarkStart w:name="_Toc1556689313" w:id="305"/>
      <w:bookmarkStart w:name="_Toc378945199" w:id="306"/>
      <w:bookmarkStart w:name="_Toc388534600" w:id="307"/>
      <w:bookmarkStart w:name="_Toc1799217040" w:id="308"/>
      <w:bookmarkStart w:name="_Toc2059753221" w:id="309"/>
      <w:bookmarkStart w:name="_Toc1417224305" w:id="310"/>
      <w:bookmarkStart w:name="_Toc1059799469" w:id="311"/>
      <w:bookmarkStart w:name="_Toc210292965" w:id="312"/>
      <w:r>
        <w:t>Enfoques Orientadores de la Nueva Visión de la Minería en Colombia</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8A22DF" w:rsidP="008A22DF" w:rsidRDefault="008A22DF" w14:paraId="2289BFE7" w14:textId="77777777">
      <w:pPr>
        <w:rPr>
          <w:rFonts w:eastAsiaTheme="majorEastAsia" w:cstheme="majorBidi"/>
          <w:sz w:val="32"/>
          <w:szCs w:val="32"/>
        </w:rPr>
      </w:pPr>
    </w:p>
    <w:p w:rsidR="008A22DF" w:rsidP="008A22DF" w:rsidRDefault="008A22DF" w14:paraId="1993B465" w14:textId="77777777">
      <w:pPr>
        <w:jc w:val="both"/>
        <w:rPr>
          <w:rFonts w:cs="Arial"/>
        </w:rPr>
      </w:pPr>
      <w:r w:rsidRPr="17F8AA9B">
        <w:rPr>
          <w:rFonts w:cs="Arial"/>
        </w:rPr>
        <w:t xml:space="preserve">Esta política orienta el desarrollo de la actividad minera en Colombia hacia objetivos estratégicos como la reindustrialización, la transición energética justa, la soberanía alimentaria, el fortalecimiento de la infraestructura pública y el aprovechamiento sostenible de los minerales, garantizando la protección de los ecosistemas, el agua y la vida, así como la reducción de la conflictividad social. </w:t>
      </w:r>
    </w:p>
    <w:p w:rsidR="008A22DF" w:rsidP="008A22DF" w:rsidRDefault="1DAE43FD" w14:paraId="527C585D" w14:textId="77777777">
      <w:pPr>
        <w:jc w:val="both"/>
        <w:rPr>
          <w:rFonts w:cs="Arial"/>
        </w:rPr>
      </w:pPr>
      <w:r w:rsidRPr="3845A57C">
        <w:rPr>
          <w:rFonts w:cs="Arial"/>
        </w:rPr>
        <w:t>Esta nueva visión parte del desarrollo colectivo con énfasis en diferentes sectores de la sociedad, por ello aborda seis enfoques orientadores, transversales y alineados con escenarios internacionales y otras políticas sectoriales, que permiten avanzar hacia una gestión integral del sector minero.</w:t>
      </w:r>
    </w:p>
    <w:p w:rsidR="3845A57C" w:rsidP="3845A57C" w:rsidRDefault="3845A57C" w14:paraId="07703A24" w14:textId="7DBDBE51">
      <w:pPr>
        <w:jc w:val="both"/>
        <w:rPr>
          <w:rFonts w:cs="Arial"/>
        </w:rPr>
      </w:pPr>
    </w:p>
    <w:p w:rsidRPr="008300BA" w:rsidR="008A22DF" w:rsidP="006534CF" w:rsidRDefault="006534CF" w14:paraId="0756C12E" w14:textId="48E36C01">
      <w:pPr>
        <w:pStyle w:val="Heading3"/>
      </w:pPr>
      <w:bookmarkStart w:name="_Toc1350206759" w:id="313"/>
      <w:bookmarkStart w:name="_Toc961297639" w:id="314"/>
      <w:bookmarkStart w:name="_Toc1550462549" w:id="315"/>
      <w:bookmarkStart w:name="_Toc269201848" w:id="316"/>
      <w:bookmarkStart w:name="_Toc1724251877" w:id="317"/>
      <w:bookmarkStart w:name="_Toc599705614" w:id="318"/>
      <w:bookmarkStart w:name="_Toc1731092895" w:id="319"/>
      <w:bookmarkStart w:name="_Toc1401011757" w:id="320"/>
      <w:bookmarkStart w:name="_Toc968274189" w:id="321"/>
      <w:bookmarkStart w:name="_Toc1990976929" w:id="322"/>
      <w:bookmarkStart w:name="_Toc724982604" w:id="323"/>
      <w:bookmarkStart w:name="_Toc54268956" w:id="324"/>
      <w:bookmarkStart w:name="_Toc211976060" w:id="325"/>
      <w:bookmarkStart w:name="_Toc1092260487" w:id="326"/>
      <w:bookmarkStart w:name="_Toc663454813" w:id="327"/>
      <w:bookmarkStart w:name="_Toc2078299350" w:id="328"/>
      <w:bookmarkStart w:name="_Toc1804703743" w:id="329"/>
      <w:bookmarkStart w:name="_Toc1317682144" w:id="330"/>
      <w:bookmarkStart w:name="_Toc234585965" w:id="331"/>
      <w:bookmarkStart w:name="_Toc1232815890" w:id="332"/>
      <w:bookmarkStart w:name="_Toc1461988119" w:id="333"/>
      <w:bookmarkStart w:name="_Toc382438517" w:id="334"/>
      <w:bookmarkStart w:name="_Toc1254848424" w:id="335"/>
      <w:bookmarkStart w:name="_Toc300693845" w:id="336"/>
      <w:bookmarkStart w:name="_Toc1528653302" w:id="337"/>
      <w:bookmarkStart w:name="_Toc1335846947" w:id="338"/>
      <w:bookmarkStart w:name="_Toc210292966" w:id="339"/>
      <w:r>
        <w:t xml:space="preserve">1. </w:t>
      </w:r>
      <w:r w:rsidR="008A22DF">
        <w:t>Enfoque de Derechos Humanos.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rsidR="008A22DF">
        <w:t xml:space="preserve"> </w:t>
      </w:r>
    </w:p>
    <w:p w:rsidR="008A22DF" w:rsidP="008A22DF" w:rsidRDefault="008A22DF" w14:paraId="263DA993" w14:textId="77777777"/>
    <w:p w:rsidR="008A22DF" w:rsidP="008A22DF" w:rsidRDefault="008A22DF" w14:paraId="17AF67B9" w14:textId="2A5F7FC9">
      <w:pPr>
        <w:spacing w:after="200"/>
        <w:jc w:val="both"/>
      </w:pPr>
      <w:r>
        <w:t xml:space="preserve">Este enfoque promueve que todas las acciones del sector minero (programas, proyectos y decisiones) deben planificarse e implementarse desde la garantía, el respeto y la protección integral de los derechos humanos </w:t>
      </w:r>
      <w:r w:rsidRPr="008A22DF">
        <w:t xml:space="preserve">con especial énfasis en las poblaciones en situación de vulnerabilidad en línea con la Política de Derechos Humanos del sector minero energético adoptada en 2018 </w:t>
      </w:r>
      <w:r>
        <w:t>(</w:t>
      </w:r>
      <w:r w:rsidRPr="17F8AA9B">
        <w:rPr>
          <w:rFonts w:ascii="Calibri" w:hAnsi="Calibri" w:eastAsia="Calibri" w:cs="Calibri"/>
        </w:rPr>
        <w:t>actualmente en proceso de actualización</w:t>
      </w:r>
      <w:r>
        <w:rPr>
          <w:rFonts w:ascii="Calibri" w:hAnsi="Calibri" w:eastAsia="Calibri" w:cs="Calibri"/>
        </w:rPr>
        <w:t>)</w:t>
      </w:r>
      <w:r w:rsidRPr="008A22DF">
        <w:t xml:space="preserve"> y con la apuesta del gobierno nacional en materia de empresas y derechos humanos</w:t>
      </w:r>
      <w:r>
        <w:t xml:space="preserve">, </w:t>
      </w:r>
      <w:r w:rsidRPr="17F8AA9B">
        <w:rPr>
          <w:rFonts w:ascii="Calibri" w:hAnsi="Calibri" w:eastAsia="Calibri" w:cs="Calibri"/>
        </w:rPr>
        <w:t xml:space="preserve">en coherencia con los Principios Rectores de Naciones Unidas, el Acuerdo de Escazú y </w:t>
      </w:r>
      <w:r>
        <w:t>los estándares del sistema interamericano.</w:t>
      </w:r>
    </w:p>
    <w:p w:rsidRPr="00E932D3" w:rsidR="00E932D3" w:rsidP="00E932D3" w:rsidRDefault="00E932D3" w14:paraId="7E21BCD8" w14:textId="77777777">
      <w:pPr>
        <w:spacing w:after="200"/>
        <w:jc w:val="both"/>
        <w:rPr>
          <w:rFonts w:eastAsia="Arial" w:cs="Arial"/>
          <w:color w:val="000000" w:themeColor="text1"/>
        </w:rPr>
      </w:pPr>
      <w:r w:rsidRPr="00E932D3">
        <w:rPr>
          <w:rFonts w:eastAsia="Arial" w:cs="Arial"/>
          <w:color w:val="000000" w:themeColor="text1"/>
        </w:rPr>
        <w:t>Las acciones de esta política en cuanto al enfoque esperan que parte de las obligaciones de las empresas mineras sea contar con políticas claras y mecanismos de debida diligencia que prevengan, mitiguen y reparen posibles impactos sobre las personas y los territorios. Esto implica establecer relaciones respetuosas y transparentes con comunidades, pueblos étnicos y personas defensoras de derechos humanos y del ambiente, así como garantizar espacios de participación efectiva y procesos de empoderamiento comunitario que fortalezcan sus capacidades frente a vulneraciones. Igualmente, se requiere asegurar el acceso a mecanismos de queja eficaces, accesibles y culturalmente pertinentes, acompañados de medidas contra la discriminación, la estigmatización y las represalias, garantizando así entornos seguros para el ejercicio de la participación y la defensa de los derechos.</w:t>
      </w:r>
    </w:p>
    <w:p w:rsidR="00E932D3" w:rsidP="00E932D3" w:rsidRDefault="00E932D3" w14:paraId="6F56B383" w14:textId="77777777">
      <w:pPr>
        <w:spacing w:after="200"/>
        <w:jc w:val="both"/>
        <w:rPr>
          <w:rFonts w:eastAsia="Arial" w:cs="Arial"/>
          <w:color w:val="000000" w:themeColor="text1"/>
        </w:rPr>
      </w:pPr>
      <w:r w:rsidRPr="00E932D3">
        <w:rPr>
          <w:rFonts w:eastAsia="Arial" w:cs="Arial"/>
          <w:color w:val="000000" w:themeColor="text1"/>
        </w:rPr>
        <w:t>De igual manera, este enfoque reconoce el deber del Estado de proteger a las personas y comunidades frente a posibles afectaciones derivadas de la actividad minera. Esto supone regular y supervisar de manera estricta las operaciones del sector, establecer directrices claras, fortalecer las capacidades institucionales y promover una gobernanza minera orientada al respeto y garantía de los derechos y la adopción de medidas oportunas y eficaces frente a los impactos sociales, ambientales y culturales.</w:t>
      </w:r>
    </w:p>
    <w:p w:rsidRPr="00E932D3" w:rsidR="00E932D3" w:rsidP="00E932D3" w:rsidRDefault="00E932D3" w14:paraId="18CC55D6" w14:textId="77777777">
      <w:pPr>
        <w:spacing w:after="200"/>
        <w:jc w:val="both"/>
        <w:rPr>
          <w:rFonts w:eastAsia="Arial" w:cs="Arial"/>
          <w:color w:val="000000" w:themeColor="text1"/>
        </w:rPr>
      </w:pPr>
    </w:p>
    <w:p w:rsidR="008A22DF" w:rsidP="3845A57C" w:rsidRDefault="1DAE43FD" w14:paraId="5D6C2743" w14:textId="1518E609">
      <w:pPr>
        <w:pStyle w:val="Heading3"/>
      </w:pPr>
      <w:bookmarkStart w:name="_Toc1395650511" w:id="340"/>
      <w:bookmarkStart w:name="_Toc1970963779" w:id="341"/>
      <w:bookmarkStart w:name="_Toc428005326" w:id="342"/>
      <w:bookmarkStart w:name="_Toc913983983" w:id="343"/>
      <w:bookmarkStart w:name="_Toc1212327920" w:id="344"/>
      <w:bookmarkStart w:name="_Toc1993813617" w:id="345"/>
      <w:bookmarkStart w:name="_Toc1590272116" w:id="346"/>
      <w:bookmarkStart w:name="_Toc2105769255" w:id="347"/>
      <w:bookmarkStart w:name="_Toc401285350" w:id="348"/>
      <w:bookmarkStart w:name="_Toc325292717" w:id="349"/>
      <w:bookmarkStart w:name="_Toc783702703" w:id="350"/>
      <w:bookmarkStart w:name="_Toc987330325" w:id="351"/>
      <w:bookmarkStart w:name="_Toc1144631537" w:id="352"/>
      <w:bookmarkStart w:name="_Toc873090822" w:id="353"/>
      <w:bookmarkStart w:name="_Toc989876872" w:id="354"/>
      <w:bookmarkStart w:name="_Toc1403915164" w:id="355"/>
      <w:bookmarkStart w:name="_Toc1054799126" w:id="356"/>
      <w:bookmarkStart w:name="_Toc1102651124" w:id="357"/>
      <w:bookmarkStart w:name="_Toc743627332" w:id="358"/>
      <w:bookmarkStart w:name="_Toc854119761" w:id="359"/>
      <w:bookmarkStart w:name="_Toc212631068" w:id="360"/>
      <w:bookmarkStart w:name="_Toc1466096322" w:id="361"/>
      <w:bookmarkStart w:name="_Toc1854278747" w:id="362"/>
      <w:bookmarkStart w:name="_Toc2010842920" w:id="363"/>
      <w:bookmarkStart w:name="_Toc1675172990" w:id="364"/>
      <w:bookmarkStart w:name="_Toc2009784094" w:id="365"/>
      <w:bookmarkStart w:name="_Toc210292967" w:id="366"/>
      <w:r>
        <w:t>2.</w:t>
      </w:r>
      <w:r w:rsidR="006534CF">
        <w:t xml:space="preserve"> </w:t>
      </w:r>
      <w:r>
        <w:t>Enfoque de Género.</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rsidR="3845A57C" w:rsidP="3845A57C" w:rsidRDefault="3845A57C" w14:paraId="5E085FD6" w14:textId="19157BC9"/>
    <w:p w:rsidR="008A22DF" w:rsidP="3845A57C" w:rsidRDefault="1DAE43FD" w14:paraId="192B14F3" w14:textId="037A6FCE">
      <w:pPr>
        <w:jc w:val="both"/>
        <w:rPr>
          <w:rFonts w:eastAsia="Times New Roman" w:cs="Arial"/>
          <w:lang w:eastAsia="es-CO"/>
        </w:rPr>
      </w:pPr>
      <w:r w:rsidRPr="50847D6A">
        <w:rPr>
          <w:rFonts w:eastAsia="Times New Roman" w:cs="Arial"/>
          <w:lang w:eastAsia="es-CO"/>
        </w:rPr>
        <w:t>Siguiendo los lineamientos de género para el sector minero energético</w:t>
      </w:r>
      <w:sdt>
        <w:sdtPr>
          <w:rPr>
            <w:rFonts w:eastAsia="Times New Roman" w:cs="Arial"/>
            <w:lang w:eastAsia="es-CO"/>
          </w:rPr>
          <w:id w:val="-887794912"/>
          <w:citation/>
        </w:sdtPr>
        <w:sdtEndPr/>
        <w:sdtContent>
          <w:r w:rsidR="00ED4EC9">
            <w:rPr>
              <w:rFonts w:eastAsia="Times New Roman" w:cs="Arial"/>
              <w:lang w:eastAsia="es-CO"/>
            </w:rPr>
            <w:fldChar w:fldCharType="begin"/>
          </w:r>
          <w:r w:rsidR="00ED4EC9">
            <w:rPr>
              <w:rFonts w:eastAsia="Times New Roman" w:cs="Arial"/>
              <w:lang w:eastAsia="es-CO"/>
            </w:rPr>
            <w:instrText xml:space="preserve"> CITATION MME20 \l 9226 </w:instrText>
          </w:r>
          <w:r w:rsidR="00ED4EC9">
            <w:rPr>
              <w:rFonts w:eastAsia="Times New Roman" w:cs="Arial"/>
              <w:lang w:eastAsia="es-CO"/>
            </w:rPr>
            <w:fldChar w:fldCharType="separate"/>
          </w:r>
          <w:r w:rsidR="00104221">
            <w:rPr>
              <w:rFonts w:eastAsia="Times New Roman" w:cs="Arial"/>
              <w:noProof/>
              <w:lang w:eastAsia="es-CO"/>
            </w:rPr>
            <w:t xml:space="preserve"> </w:t>
          </w:r>
          <w:r w:rsidRPr="00104221" w:rsidR="00104221">
            <w:rPr>
              <w:rFonts w:eastAsia="Times New Roman" w:cs="Arial"/>
              <w:noProof/>
              <w:lang w:eastAsia="es-CO"/>
            </w:rPr>
            <w:t>(MinEnergía, 2020)</w:t>
          </w:r>
          <w:r w:rsidR="00ED4EC9">
            <w:rPr>
              <w:rFonts w:eastAsia="Times New Roman" w:cs="Arial"/>
              <w:lang w:eastAsia="es-CO"/>
            </w:rPr>
            <w:fldChar w:fldCharType="end"/>
          </w:r>
        </w:sdtContent>
      </w:sdt>
      <w:r w:rsidRPr="50847D6A">
        <w:rPr>
          <w:rFonts w:eastAsia="Times New Roman" w:cs="Arial"/>
          <w:lang w:eastAsia="es-CO"/>
        </w:rPr>
        <w:t xml:space="preserve"> y la apuesta del gobierno nacional en materia de igualdad de género, es necesario avanzar en la promoción, articulación y fortalecimiento de iniciativas orientadas a la integración del enfoque de género en lo laboral, comunitario y de cuidado</w:t>
      </w:r>
      <w:r w:rsidRPr="50847D6A" w:rsidR="008A22DF">
        <w:rPr>
          <w:rStyle w:val="FootnoteReference"/>
          <w:rFonts w:eastAsia="Times New Roman" w:cs="Arial"/>
          <w:lang w:eastAsia="es-CO"/>
        </w:rPr>
        <w:footnoteReference w:id="23"/>
      </w:r>
      <w:r w:rsidRPr="50847D6A">
        <w:rPr>
          <w:rFonts w:eastAsia="Times New Roman" w:cs="Arial"/>
          <w:lang w:eastAsia="es-CO"/>
        </w:rPr>
        <w:t xml:space="preserve">. El enfoque de género implica hacer visibles y explícitas las desigualdades e inequidades que se configuran en las relaciones sociales en especial aquellas que se establecen entre hombres y mujeres </w:t>
      </w:r>
      <w:sdt>
        <w:sdtPr>
          <w:rPr>
            <w:rFonts w:eastAsia="Times New Roman" w:cs="Arial"/>
            <w:lang w:eastAsia="es-CO"/>
          </w:rPr>
          <w:id w:val="1021670843"/>
          <w:citation/>
        </w:sdtPr>
        <w:sdtEndPr/>
        <w:sdtContent>
          <w:r w:rsidR="00E932D3">
            <w:rPr>
              <w:rFonts w:eastAsia="Times New Roman" w:cs="Arial"/>
              <w:lang w:eastAsia="es-CO"/>
            </w:rPr>
            <w:fldChar w:fldCharType="begin"/>
          </w:r>
          <w:r w:rsidR="00E932D3">
            <w:rPr>
              <w:rFonts w:eastAsia="Times New Roman" w:cs="Arial"/>
              <w:lang w:eastAsia="es-CO"/>
            </w:rPr>
            <w:instrText xml:space="preserve"> CITATION Liz18 \l 9226 </w:instrText>
          </w:r>
          <w:r w:rsidR="00E932D3">
            <w:rPr>
              <w:rFonts w:eastAsia="Times New Roman" w:cs="Arial"/>
              <w:lang w:eastAsia="es-CO"/>
            </w:rPr>
            <w:fldChar w:fldCharType="separate"/>
          </w:r>
          <w:r w:rsidRPr="00104221" w:rsidR="00104221">
            <w:rPr>
              <w:rFonts w:eastAsia="Times New Roman" w:cs="Arial"/>
              <w:noProof/>
              <w:lang w:eastAsia="es-CO"/>
            </w:rPr>
            <w:t>(Reyes, 2018)</w:t>
          </w:r>
          <w:r w:rsidR="00E932D3">
            <w:rPr>
              <w:rFonts w:eastAsia="Times New Roman" w:cs="Arial"/>
              <w:lang w:eastAsia="es-CO"/>
            </w:rPr>
            <w:fldChar w:fldCharType="end"/>
          </w:r>
        </w:sdtContent>
      </w:sdt>
      <w:r w:rsidRPr="50847D6A">
        <w:rPr>
          <w:rFonts w:eastAsia="Times New Roman" w:cs="Arial"/>
          <w:lang w:eastAsia="es-CO"/>
        </w:rPr>
        <w:t xml:space="preserve"> y/o que afectan de manera particular a personas con orientaciones sexuales e identidades y expresiones de género diversas, de modo que puedan gestionarse los impactos diferenciados del sector sobre estas poblaciones</w:t>
      </w:r>
      <w:r w:rsidRPr="50847D6A" w:rsidR="41C56465">
        <w:rPr>
          <w:rFonts w:eastAsia="Times New Roman" w:cs="Arial"/>
          <w:lang w:eastAsia="es-CO"/>
        </w:rPr>
        <w:t>.</w:t>
      </w:r>
    </w:p>
    <w:p w:rsidR="008A22DF" w:rsidP="008A22DF" w:rsidRDefault="008A22DF" w14:paraId="24CF7F6D" w14:textId="77777777">
      <w:pPr>
        <w:jc w:val="both"/>
        <w:rPr>
          <w:rFonts w:eastAsia="Times New Roman" w:cs="Arial"/>
          <w:lang w:eastAsia="es-CO"/>
        </w:rPr>
      </w:pPr>
      <w:r w:rsidRPr="50847D6A">
        <w:rPr>
          <w:rFonts w:eastAsia="Times New Roman" w:cs="Arial"/>
          <w:lang w:eastAsia="es-CO"/>
        </w:rPr>
        <w:t>En este sentido, esta política debe: (i) propender por la vinculación de mujeres y personas LGBTIQ+ en empleos directos, indirectos, cargos de decisión, escenarios de participación comunitaria y en la cadena de valor del sector, (</w:t>
      </w:r>
      <w:proofErr w:type="spellStart"/>
      <w:r w:rsidRPr="50847D6A">
        <w:rPr>
          <w:rFonts w:eastAsia="Times New Roman" w:cs="Arial"/>
          <w:lang w:eastAsia="es-CO"/>
        </w:rPr>
        <w:t>ii</w:t>
      </w:r>
      <w:proofErr w:type="spellEnd"/>
      <w:r w:rsidRPr="50847D6A">
        <w:rPr>
          <w:rFonts w:eastAsia="Times New Roman" w:cs="Arial"/>
          <w:lang w:eastAsia="es-CO"/>
        </w:rPr>
        <w:t>) fomentar una cultura para la equidad de género, que contribuya a la modificación progresiva de imaginarios, sesgos, comportamientos y roles, (</w:t>
      </w:r>
      <w:proofErr w:type="spellStart"/>
      <w:r w:rsidRPr="50847D6A">
        <w:rPr>
          <w:rFonts w:eastAsia="Times New Roman" w:cs="Arial"/>
          <w:lang w:eastAsia="es-CO"/>
        </w:rPr>
        <w:t>iii</w:t>
      </w:r>
      <w:proofErr w:type="spellEnd"/>
      <w:r w:rsidRPr="50847D6A">
        <w:rPr>
          <w:rFonts w:eastAsia="Times New Roman" w:cs="Arial"/>
          <w:lang w:eastAsia="es-CO"/>
        </w:rPr>
        <w:t>) garantizar la articulación de acciones diferenciadas para la eliminación de barreras de género (</w:t>
      </w:r>
      <w:proofErr w:type="spellStart"/>
      <w:r w:rsidRPr="50847D6A">
        <w:rPr>
          <w:rFonts w:eastAsia="Times New Roman" w:cs="Arial"/>
          <w:lang w:eastAsia="es-CO"/>
        </w:rPr>
        <w:t>iv</w:t>
      </w:r>
      <w:proofErr w:type="spellEnd"/>
      <w:r w:rsidRPr="50847D6A">
        <w:rPr>
          <w:rFonts w:eastAsia="Times New Roman" w:cs="Arial"/>
          <w:lang w:eastAsia="es-CO"/>
        </w:rPr>
        <w:t xml:space="preserve">) prevenir los tipos de violencia en contra de las mujeres y/o basadas en género, así como otras formas de discriminación en la industria y en las comunidades del área de influencia de los proyectos del sector y (v) gestar espacios que cuidado que promuevan la inclusión a la vida laboral y espacios de participación a madres y cuidadoras. </w:t>
      </w:r>
    </w:p>
    <w:p w:rsidR="008A22DF" w:rsidP="008A22DF" w:rsidRDefault="008A22DF" w14:paraId="47584792" w14:textId="1E3B54DD">
      <w:pPr>
        <w:jc w:val="both"/>
      </w:pPr>
      <w:r w:rsidRPr="50847D6A">
        <w:rPr>
          <w:rFonts w:eastAsia="Times New Roman" w:cs="Arial"/>
          <w:lang w:eastAsia="es-CO"/>
        </w:rPr>
        <w:t>Específicamente, en el ámbito comunitario, se hace necesaria la implementación de acciones de impacto que comprendan el fortalecimiento de capacidades sobre exigibilidad de derechos, acceso a oportunidades de formación técnica y profesional en áreas STEM</w:t>
      </w:r>
      <w:r w:rsidR="00B2265E">
        <w:rPr>
          <w:rFonts w:eastAsia="Times New Roman" w:cs="Arial"/>
          <w:lang w:eastAsia="es-CO"/>
        </w:rPr>
        <w:t>,</w:t>
      </w:r>
      <w:r w:rsidRPr="50847D6A">
        <w:rPr>
          <w:rFonts w:eastAsia="Times New Roman" w:cs="Arial"/>
          <w:lang w:eastAsia="es-CO"/>
        </w:rPr>
        <w:t xml:space="preserve"> empoderamiento femenino, resiliencia y autonomía económica, prevención de violencias basadas en género, trabajo en masculinidades alternativas o responsables, herramientas para la participación incidente en los escenarios de toma de decisiones, el reconocimiento, reducción y redistribución de las labores de cuidado en el marco de la transición energética justa, entre otros.</w:t>
      </w:r>
    </w:p>
    <w:p w:rsidR="008A22DF" w:rsidP="008A22DF" w:rsidRDefault="008A22DF" w14:paraId="20BE971D" w14:textId="77777777">
      <w:pPr>
        <w:jc w:val="both"/>
        <w:rPr>
          <w:rFonts w:eastAsia="Times New Roman" w:cs="Arial"/>
          <w:lang w:eastAsia="es-CO"/>
        </w:rPr>
      </w:pPr>
      <w:r w:rsidRPr="17F8AA9B">
        <w:rPr>
          <w:rFonts w:eastAsia="Times New Roman" w:cs="Arial"/>
          <w:lang w:eastAsia="es-CO"/>
        </w:rPr>
        <w:t xml:space="preserve">Así mismo, se debe avanzar en la identificación de liderazgos femeninos, y organizaciones de mujeres y de sectores LGBTIQ+ que permitan su participación en las actividades de la industria y las demás relacionadas o derivadas en los encadenamientos y/o proyectos productivos y en la resolución de conflictividades asociadas al género en el sector, en los encadenamientos y/o proyectos productivos que les permitan mejorar sus condiciones de vida, y las de sus familias y de sus comunidades.   </w:t>
      </w:r>
    </w:p>
    <w:p w:rsidR="008A22DF" w:rsidP="008A22DF" w:rsidRDefault="008A22DF" w14:paraId="4AB7FCAA" w14:textId="77777777">
      <w:pPr>
        <w:jc w:val="both"/>
        <w:rPr>
          <w:rFonts w:eastAsia="Times New Roman" w:cs="Arial"/>
          <w:lang w:eastAsia="es-CO"/>
        </w:rPr>
      </w:pPr>
    </w:p>
    <w:p w:rsidR="008A22DF" w:rsidP="008A22DF" w:rsidRDefault="008A22DF" w14:paraId="0F64EA64" w14:textId="77777777">
      <w:pPr>
        <w:pStyle w:val="Heading3"/>
      </w:pPr>
      <w:bookmarkStart w:name="_Toc2146383145" w:id="367"/>
      <w:bookmarkStart w:name="_Toc1622476876" w:id="368"/>
      <w:bookmarkStart w:name="_Toc330140662" w:id="369"/>
      <w:bookmarkStart w:name="_Toc1282792942" w:id="370"/>
      <w:bookmarkStart w:name="_Toc693434818" w:id="371"/>
      <w:bookmarkStart w:name="_Toc1182663185" w:id="372"/>
      <w:bookmarkStart w:name="_Toc767360737" w:id="373"/>
      <w:bookmarkStart w:name="_Toc2136662432" w:id="374"/>
      <w:bookmarkStart w:name="_Toc723944994" w:id="375"/>
      <w:bookmarkStart w:name="_Toc1292241343" w:id="376"/>
      <w:bookmarkStart w:name="_Toc424618844" w:id="377"/>
      <w:bookmarkStart w:name="_Toc1440756348" w:id="378"/>
      <w:bookmarkStart w:name="_Toc1247568756" w:id="379"/>
      <w:bookmarkStart w:name="_Toc184369144" w:id="380"/>
      <w:bookmarkStart w:name="_Toc1964998189" w:id="381"/>
      <w:bookmarkStart w:name="_Toc1727079498" w:id="382"/>
      <w:bookmarkStart w:name="_Toc705696869" w:id="383"/>
      <w:bookmarkStart w:name="_Toc1895664720" w:id="384"/>
      <w:bookmarkStart w:name="_Toc119349499" w:id="385"/>
      <w:bookmarkStart w:name="_Toc1261286075" w:id="386"/>
      <w:bookmarkStart w:name="_Toc679029150" w:id="387"/>
      <w:bookmarkStart w:name="_Toc1112822875" w:id="388"/>
      <w:bookmarkStart w:name="_Toc1685387265" w:id="389"/>
      <w:bookmarkStart w:name="_Toc55044222" w:id="390"/>
      <w:bookmarkStart w:name="_Toc879702859" w:id="391"/>
      <w:bookmarkStart w:name="_Toc1633453492" w:id="392"/>
      <w:bookmarkStart w:name="_Toc210292968" w:id="393"/>
      <w:r>
        <w:t>3. Enfoques Diferenciales.</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rsidR="008A22DF" w:rsidP="008A22DF" w:rsidRDefault="008A22DF" w14:paraId="2D80AFA2" w14:textId="77777777">
      <w:pPr>
        <w:spacing w:line="278" w:lineRule="auto"/>
      </w:pPr>
    </w:p>
    <w:p w:rsidR="008A22DF" w:rsidP="008A22DF" w:rsidRDefault="008A22DF" w14:paraId="43DD3EC9" w14:textId="77777777">
      <w:pPr>
        <w:spacing w:line="278" w:lineRule="auto"/>
        <w:jc w:val="both"/>
      </w:pPr>
      <w:r>
        <w:t xml:space="preserve">En relación con el enfoque diferencial étnico, su base normativa se encuentra en la Constitución Política de 1991 que reconoce a Colombia como un país pluriétnico y multicultural, donde los pueblos y comunidades indígenas, negros, afrocolombianos, raizales y palenqueros tienen derechos colectivos especiales que deben ser protegidos y garantizados en el marco de cualquier política pública. </w:t>
      </w:r>
    </w:p>
    <w:p w:rsidRPr="00527E4B" w:rsidR="008A22DF" w:rsidP="008A22DF" w:rsidRDefault="008A22DF" w14:paraId="19BE8EBF" w14:textId="77777777">
      <w:pPr>
        <w:spacing w:line="278" w:lineRule="auto"/>
        <w:jc w:val="both"/>
      </w:pPr>
      <w:r>
        <w:t>En esa medida, la Política Pública Minera reconoce el enfoque diferencial desde una mirada étnico-territorial como orientador transversal, con el objetivo de asegurar la inclusión, participación, reconocimiento y protección de los derechos de las comunidades étnicas frente a las actividades mineras, y orienta las actuaciones en función del respeto por la cosmovisión, cultura, origen e identidad de los pueblos étnicos.</w:t>
      </w:r>
    </w:p>
    <w:p w:rsidR="008A22DF" w:rsidP="008A22DF" w:rsidRDefault="1DAE43FD" w14:paraId="3E76F42D" w14:textId="77777777">
      <w:pPr>
        <w:spacing w:before="240" w:after="240"/>
        <w:jc w:val="both"/>
        <w:rPr>
          <w:rFonts w:ascii="Calibri" w:hAnsi="Calibri" w:eastAsia="Calibri" w:cs="Calibri"/>
        </w:rPr>
      </w:pPr>
      <w:r w:rsidRPr="50847D6A">
        <w:rPr>
          <w:rFonts w:ascii="Calibri" w:hAnsi="Calibri" w:eastAsia="Calibri" w:cs="Calibri"/>
        </w:rPr>
        <w:t>Est</w:t>
      </w:r>
      <w:r w:rsidRPr="5734DBB2">
        <w:rPr>
          <w:rFonts w:ascii="Calibri" w:hAnsi="Calibri" w:eastAsia="Calibri" w:cs="Calibri"/>
        </w:rPr>
        <w:t xml:space="preserve">e enfoque </w:t>
      </w:r>
      <w:r w:rsidRPr="50847D6A">
        <w:rPr>
          <w:rFonts w:ascii="Calibri" w:hAnsi="Calibri" w:eastAsia="Calibri" w:cs="Calibri"/>
        </w:rPr>
        <w:t>reconoce las desigualdades y barreras que las poblaciones étnicas y racializadas han enfrentado a lo largo de la historia. En este contexto, incorpora un enfoque diferencial con el propósito de garantizar la inclusión efectiva de grupos históricamente marginados en la toma de decisiones sobre el desarrollo minero. Este enfoque se enmarca en el cumplimiento de los estándares nacionales e internacionales relacionados con los derechos fundamentales, entre ellos el derecho a la consulta previa, libre e informada, consagrado en el Convenio 169 de la OIT (Ley 21 de 1991), la Constitución Política de Colombia (artículos 1, 7, 70 y 330), y la Ley 70 de 1993 en el caso de comunidades negras, afrocolombianas, raizales y palenqueras.</w:t>
      </w:r>
      <w:r w:rsidRPr="004A46AC" w:rsidR="008A22DF">
        <w:rPr>
          <w:rFonts w:ascii="Calibri" w:hAnsi="Calibri" w:eastAsia="Calibri" w:cs="Calibri"/>
          <w:vertAlign w:val="superscript"/>
        </w:rPr>
        <w:footnoteReference w:id="24"/>
      </w:r>
    </w:p>
    <w:p w:rsidR="008A22DF" w:rsidP="008A22DF" w:rsidRDefault="008A22DF" w14:paraId="7482446D" w14:textId="77777777">
      <w:pPr>
        <w:spacing w:before="240" w:after="240"/>
        <w:jc w:val="both"/>
        <w:rPr>
          <w:rFonts w:ascii="Calibri" w:hAnsi="Calibri" w:eastAsia="Calibri" w:cs="Calibri"/>
        </w:rPr>
      </w:pPr>
      <w:r w:rsidRPr="17F8AA9B">
        <w:rPr>
          <w:rFonts w:ascii="Calibri" w:hAnsi="Calibri" w:eastAsia="Calibri" w:cs="Calibri"/>
        </w:rPr>
        <w:t xml:space="preserve">El objetivo es garantizar y generar condiciones de participación, fortalecer la confianza y promover el diálogo intercultural para prevenir escenarios de exclusión, conflicto o afectaciones a los derechos colectivos. </w:t>
      </w:r>
    </w:p>
    <w:p w:rsidR="008A22DF" w:rsidP="008A22DF" w:rsidRDefault="008A22DF" w14:paraId="448800E2" w14:textId="77777777">
      <w:pPr>
        <w:spacing w:before="240" w:after="240"/>
        <w:jc w:val="both"/>
        <w:rPr>
          <w:rFonts w:ascii="Calibri" w:hAnsi="Calibri" w:eastAsia="Calibri" w:cs="Calibri"/>
        </w:rPr>
      </w:pPr>
      <w:r w:rsidRPr="17F8AA9B">
        <w:rPr>
          <w:rFonts w:ascii="Calibri" w:hAnsi="Calibri" w:eastAsia="Calibri" w:cs="Calibri"/>
        </w:rPr>
        <w:t>Además, este enfoque se extiende a otros grupos poblacionales de especial protección constitucional, como personas con discapacidad (Ley 1618 de 2013), adultos mayores (Ley 1251 de 2008), jóvenes (Ley 1622 de 2013), población LGBTIQ+ (Decreto 762 de 2018), y comunidades en condición de vulnerabilidad social, económica o ambiental.</w:t>
      </w:r>
    </w:p>
    <w:p w:rsidRPr="004345C6" w:rsidR="008A22DF" w:rsidP="008A22DF" w:rsidRDefault="008A22DF" w14:paraId="3096BE89" w14:textId="77777777">
      <w:pPr>
        <w:pStyle w:val="Heading3"/>
      </w:pPr>
      <w:bookmarkStart w:name="_Toc1773248542" w:id="394"/>
      <w:bookmarkStart w:name="_Toc1026469090" w:id="395"/>
      <w:bookmarkStart w:name="_Toc253801356" w:id="396"/>
      <w:bookmarkStart w:name="_Toc2121137837" w:id="397"/>
      <w:bookmarkStart w:name="_Toc1472858997" w:id="398"/>
      <w:bookmarkStart w:name="_Toc1913256980" w:id="399"/>
      <w:bookmarkStart w:name="_Toc1507725989" w:id="400"/>
      <w:bookmarkStart w:name="_Toc1156679492" w:id="401"/>
      <w:bookmarkStart w:name="_Toc680985226" w:id="402"/>
      <w:bookmarkStart w:name="_Toc204237561" w:id="403"/>
      <w:bookmarkStart w:name="_Toc1120358124" w:id="404"/>
      <w:bookmarkStart w:name="_Toc1062753870" w:id="405"/>
      <w:bookmarkStart w:name="_Toc163515253" w:id="406"/>
      <w:bookmarkStart w:name="_Toc2095334017" w:id="407"/>
      <w:bookmarkStart w:name="_Toc235135399" w:id="408"/>
      <w:bookmarkStart w:name="_Toc1032833848" w:id="409"/>
      <w:bookmarkStart w:name="_Toc1344012525" w:id="410"/>
      <w:bookmarkStart w:name="_Toc1229277495" w:id="411"/>
      <w:bookmarkStart w:name="_Toc448522135" w:id="412"/>
      <w:bookmarkStart w:name="_Toc2018564532" w:id="413"/>
      <w:bookmarkStart w:name="_Toc1058966564" w:id="414"/>
      <w:bookmarkStart w:name="_Toc523867516" w:id="415"/>
      <w:bookmarkStart w:name="_Toc221693842" w:id="416"/>
      <w:bookmarkStart w:name="_Toc2091606270" w:id="417"/>
      <w:bookmarkStart w:name="_Toc1178277277" w:id="418"/>
      <w:bookmarkStart w:name="_Toc1941160777" w:id="419"/>
      <w:bookmarkStart w:name="_Toc210292969" w:id="420"/>
      <w:r>
        <w:t>4. Enfoque de Gestión Integral del Cambio Climático.</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8A22DF" w:rsidP="008A22DF" w:rsidRDefault="008A22DF" w14:paraId="22185ED8" w14:textId="77777777">
      <w:pPr>
        <w:rPr>
          <w:rFonts w:eastAsia="Times New Roman" w:cs="Arial"/>
          <w:lang w:val="es-ES" w:eastAsia="es-ES"/>
        </w:rPr>
      </w:pPr>
    </w:p>
    <w:p w:rsidR="008A22DF" w:rsidP="008A22DF" w:rsidRDefault="008A22DF" w14:paraId="1BFB4C7A" w14:textId="6F32C95E">
      <w:pPr>
        <w:jc w:val="both"/>
      </w:pPr>
      <w:r>
        <w:t xml:space="preserve">Existe un consenso internacional sobre el incremento de los impactos severos e interconectados del cambio climático en los ecosistemas, biodiversidad y sistemas humanos </w:t>
      </w:r>
      <w:sdt>
        <w:sdtPr>
          <w:id w:val="73409183"/>
          <w:citation/>
        </w:sdtPr>
        <w:sdtEndPr/>
        <w:sdtContent>
          <w:r w:rsidR="00ED4EC9">
            <w:fldChar w:fldCharType="begin"/>
          </w:r>
          <w:r w:rsidR="00ED4EC9">
            <w:instrText xml:space="preserve"> CITATION IPC22 \l 9226 </w:instrText>
          </w:r>
          <w:r w:rsidR="00ED4EC9">
            <w:fldChar w:fldCharType="separate"/>
          </w:r>
          <w:r w:rsidR="00104221">
            <w:rPr>
              <w:noProof/>
            </w:rPr>
            <w:t>(IPCC, 2022)</w:t>
          </w:r>
          <w:r w:rsidR="00ED4EC9">
            <w:fldChar w:fldCharType="end"/>
          </w:r>
        </w:sdtContent>
      </w:sdt>
      <w:r w:rsidR="00ED4EC9">
        <w:t xml:space="preserve">. </w:t>
      </w:r>
      <w:r>
        <w:t>Es necesario que confluyan esfuerzos institucionales para gestionar los impactos ambientales y la huella climática asociada al aumento de las actividades mineras y el uso de combustibles fósiles.</w:t>
      </w:r>
    </w:p>
    <w:p w:rsidR="008A22DF" w:rsidP="008A22DF" w:rsidRDefault="008A22DF" w14:paraId="12B1AD27" w14:textId="0E7639E7">
      <w:pPr>
        <w:jc w:val="both"/>
      </w:pPr>
      <w:r>
        <w:t xml:space="preserve">La transición energética justa desempeña un papel crucial en la lucha contra la crisis climática. Sin embargo, entre 2017 y 2022, la demanda de minerales críticos aumentó significativamente por parte del sector energético y, según la Agencia Internacional de Energía (IEA por sus siglas en inglés), esta demanda seguirá creciendo en las próximas décadas </w:t>
      </w:r>
      <w:sdt>
        <w:sdtPr>
          <w:id w:val="-1436438516"/>
          <w:citation/>
        </w:sdtPr>
        <w:sdtEndPr/>
        <w:sdtContent>
          <w:r w:rsidR="00ED4EC9">
            <w:fldChar w:fldCharType="begin"/>
          </w:r>
          <w:r w:rsidR="00ED4EC9">
            <w:instrText xml:space="preserve"> CITATION IEA23A \l 9226 </w:instrText>
          </w:r>
          <w:r w:rsidR="00ED4EC9">
            <w:fldChar w:fldCharType="separate"/>
          </w:r>
          <w:r w:rsidR="00104221">
            <w:rPr>
              <w:noProof/>
            </w:rPr>
            <w:t>(IEA, 2023)</w:t>
          </w:r>
          <w:r w:rsidR="00ED4EC9">
            <w:fldChar w:fldCharType="end"/>
          </w:r>
        </w:sdtContent>
      </w:sdt>
      <w:r w:rsidR="00ED4EC9">
        <w:t xml:space="preserve">. </w:t>
      </w:r>
      <w:r>
        <w:t xml:space="preserve">Así, se hace necesario gestionar esta demanda en el proceso del incentivo de medidas de mitigación de la crisis climática.  </w:t>
      </w:r>
    </w:p>
    <w:p w:rsidR="008A22DF" w:rsidP="7DF7D6D5" w:rsidRDefault="1DAE43FD" w14:paraId="454C79EC" w14:textId="65C81902">
      <w:pPr>
        <w:jc w:val="both"/>
        <w:rPr>
          <w:rStyle w:val="FootnoteReference"/>
        </w:rPr>
      </w:pPr>
      <w:r>
        <w:t>El sector minero-energético colombiano formuló el Plan Integral de Gestión del Cambio Climático del Sector Minero Energético (</w:t>
      </w:r>
      <w:proofErr w:type="spellStart"/>
      <w:r>
        <w:t>PIGCCme</w:t>
      </w:r>
      <w:proofErr w:type="spellEnd"/>
      <w:r>
        <w:t>), el cual fue actualizado en el año 2021.</w:t>
      </w:r>
      <w:r w:rsidRPr="50847D6A" w:rsidR="008A22DF">
        <w:rPr>
          <w:rStyle w:val="FootnoteReference"/>
        </w:rPr>
        <w:footnoteReference w:id="25"/>
      </w:r>
      <w:r>
        <w:t xml:space="preserve"> Su objetivo es la reducción de la vulnerabilidad ante el cambio climático y la promoción de un desarrollo bajo en carbono a largo plazo. Este plan está diseñado para la gestión mediante 13 líneas estratégicas y 116 actividades, entre otras, la reducción de 11,2 Mt de CO2eq</w:t>
      </w:r>
      <w:r w:rsidRPr="50847D6A" w:rsidR="008A22DF">
        <w:rPr>
          <w:rStyle w:val="FootnoteReference"/>
        </w:rPr>
        <w:footnoteReference w:id="26"/>
      </w:r>
      <w:r>
        <w:t xml:space="preserve"> a 2030 y alcanzar la carbono neutralidad al año 2050. Incluye instrumentos de planeación sectorial que contengan variables de adaptación; incentivando que las empresas del sector minero energético cuenten de manera voluntaria con planes de cambio climático empresariales.</w:t>
      </w:r>
    </w:p>
    <w:p w:rsidR="008A22DF" w:rsidDel="005E33EE" w:rsidP="008A22DF" w:rsidRDefault="1DAE43FD" w14:paraId="21EE3AE3" w14:textId="7849CA7E">
      <w:pPr>
        <w:jc w:val="both"/>
      </w:pPr>
      <w:r>
        <w:t>Así, la gestión y gobernanza del sector minero debe orientarse con las apuestas por fortalecer la gestión integral del cambio climático, a partir de la equidad, la gradualidad, la soberanía, la confiabilidad, la participación social vinculante y el conocimiento. Por ello, actualmente se convoca a los sectores del nivel local, regional y nacional para construir los componentes de la Transición Energética Justa, gradual y el crecimiento verde con justicia ambiental, desde la visión y necesidades de las comunidades. Teniendo en cuenta el papel de la actividad minera en los territorios, la creciente demanda de minerales requeridos para la transición energética justa y, sumado a esto, la variabilidad climática</w:t>
      </w:r>
      <w:r w:rsidRPr="50847D6A" w:rsidR="008A22DF">
        <w:rPr>
          <w:rStyle w:val="FootnoteReference"/>
        </w:rPr>
        <w:footnoteReference w:id="27"/>
      </w:r>
      <w:r>
        <w:t xml:space="preserve"> que afecta a nuestra región, se hace necesario que, en el desarrollo de proyectos mineros, se implementen acciones de adaptación y de mitigación al cambio climático con el enfoque de una minería responsable y climáticamente inteligente.</w:t>
      </w:r>
    </w:p>
    <w:p w:rsidR="3845A57C" w:rsidP="3845A57C" w:rsidRDefault="3845A57C" w14:paraId="01270E33" w14:textId="5D627E71">
      <w:pPr>
        <w:jc w:val="both"/>
      </w:pPr>
    </w:p>
    <w:p w:rsidRPr="004345C6" w:rsidR="008A22DF" w:rsidP="008A22DF" w:rsidRDefault="008A22DF" w14:paraId="4B55DC5F" w14:textId="77777777">
      <w:pPr>
        <w:pStyle w:val="Heading3"/>
      </w:pPr>
      <w:bookmarkStart w:name="_Toc379423769" w:id="421"/>
      <w:bookmarkStart w:name="_Toc2005912935" w:id="422"/>
      <w:bookmarkStart w:name="_Toc267472670" w:id="423"/>
      <w:bookmarkStart w:name="_Toc1393045458" w:id="424"/>
      <w:bookmarkStart w:name="_Toc274837837" w:id="425"/>
      <w:bookmarkStart w:name="_Toc740553103" w:id="426"/>
      <w:bookmarkStart w:name="_Toc733802158" w:id="427"/>
      <w:bookmarkStart w:name="_Toc2059041328" w:id="428"/>
      <w:bookmarkStart w:name="_Toc964824261" w:id="429"/>
      <w:bookmarkStart w:name="_Toc915554275" w:id="430"/>
      <w:bookmarkStart w:name="_Toc1788495457" w:id="431"/>
      <w:bookmarkStart w:name="_Toc299119331" w:id="432"/>
      <w:bookmarkStart w:name="_Toc2075474321" w:id="433"/>
      <w:bookmarkStart w:name="_Toc1384171169" w:id="434"/>
      <w:bookmarkStart w:name="_Toc752805990" w:id="435"/>
      <w:bookmarkStart w:name="_Toc372642852" w:id="436"/>
      <w:bookmarkStart w:name="_Toc1634063782" w:id="437"/>
      <w:bookmarkStart w:name="_Toc1407898385" w:id="438"/>
      <w:bookmarkStart w:name="_Toc319635362" w:id="439"/>
      <w:bookmarkStart w:name="_Toc187397062" w:id="440"/>
      <w:bookmarkStart w:name="_Toc852928955" w:id="441"/>
      <w:bookmarkStart w:name="_Toc1383774799" w:id="442"/>
      <w:bookmarkStart w:name="_Toc717056336" w:id="443"/>
      <w:bookmarkStart w:name="_Toc488109968" w:id="444"/>
      <w:bookmarkStart w:name="_Toc801482175" w:id="445"/>
      <w:bookmarkStart w:name="_Toc229929612" w:id="446"/>
      <w:bookmarkStart w:name="_Toc210292970" w:id="447"/>
      <w:r>
        <w:t>5. Enfoque Sistémico.</w:t>
      </w:r>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rsidR="008A22DF" w:rsidP="008A22DF" w:rsidRDefault="008A22DF" w14:paraId="37F41469" w14:textId="77777777">
      <w:pPr>
        <w:rPr>
          <w:lang w:val="es-ES" w:eastAsia="es-CO"/>
        </w:rPr>
      </w:pPr>
    </w:p>
    <w:p w:rsidR="008A22DF" w:rsidP="008A22DF" w:rsidRDefault="008A22DF" w14:paraId="29BFC934" w14:textId="77777777">
      <w:pPr>
        <w:jc w:val="both"/>
      </w:pPr>
      <w:r>
        <w:t xml:space="preserve">Esta política adopta un enfoque sistémico para comprender integralmente el sector minero y sus impactos, tanto positivos como negativos en los territorios y comunidades, con la intención de dar respuestas igualmente integrales. Este enfoque permite comprender el sector minero como un sistema definido por las relaciones existentes entre los actores, procesos y entornos que están conectados a la actividad minera. De esta forma, se abordan las problemáticas de manera holística, considerando las implicaciones de las decisiones y acciones en todo el sector. </w:t>
      </w:r>
    </w:p>
    <w:p w:rsidR="008A22DF" w:rsidP="008A22DF" w:rsidRDefault="1DAE43FD" w14:paraId="3D968730" w14:textId="77777777">
      <w:pPr>
        <w:jc w:val="both"/>
      </w:pPr>
      <w:r>
        <w:t>Por esto, la política minera se basa en el principio de integralidad. Lo que implica hacer interdependientes todos los aspectos contemplados en su formulación. Este enfoque implica que los diferentes apartados de la política no pueden ser abordados de manera aislada, sino que deben ser considerados en una relación mutua y en contexto de todo el sistema minero para garantizar en su implementación una gestión eficiente y sustentable del sector.</w:t>
      </w:r>
    </w:p>
    <w:p w:rsidR="3845A57C" w:rsidP="3845A57C" w:rsidRDefault="3845A57C" w14:paraId="6C83AB8C" w14:textId="1655C9DD">
      <w:pPr>
        <w:jc w:val="both"/>
      </w:pPr>
    </w:p>
    <w:p w:rsidR="008A22DF" w:rsidP="008A22DF" w:rsidRDefault="008A22DF" w14:paraId="52CD1839" w14:textId="77777777">
      <w:pPr>
        <w:pStyle w:val="Heading3"/>
        <w:rPr>
          <w:rFonts w:eastAsia="Arial" w:cs="Arial"/>
        </w:rPr>
      </w:pPr>
      <w:bookmarkStart w:name="_Toc1425615137" w:id="448"/>
      <w:bookmarkStart w:name="_Toc119906764" w:id="449"/>
      <w:bookmarkStart w:name="_Toc1656336924" w:id="450"/>
      <w:bookmarkStart w:name="_Toc1147105814" w:id="451"/>
      <w:bookmarkStart w:name="_Toc2067439544" w:id="452"/>
      <w:bookmarkStart w:name="_Toc695903732" w:id="453"/>
      <w:bookmarkStart w:name="_Toc1318031254" w:id="454"/>
      <w:bookmarkStart w:name="_Toc421080835" w:id="455"/>
      <w:bookmarkStart w:name="_Toc1929068191" w:id="456"/>
      <w:bookmarkStart w:name="_Toc1230368935" w:id="457"/>
      <w:bookmarkStart w:name="_Toc1436579216" w:id="458"/>
      <w:bookmarkStart w:name="_Toc1311002260" w:id="459"/>
      <w:bookmarkStart w:name="_Toc1875389846" w:id="460"/>
      <w:bookmarkStart w:name="_Toc1457205673" w:id="461"/>
      <w:bookmarkStart w:name="_Toc1281009788" w:id="462"/>
      <w:bookmarkStart w:name="_Toc1870995049" w:id="463"/>
      <w:bookmarkStart w:name="_Toc1463500497" w:id="464"/>
      <w:bookmarkStart w:name="_Toc97804659" w:id="465"/>
      <w:bookmarkStart w:name="_Toc24998279" w:id="466"/>
      <w:bookmarkStart w:name="_Toc638590037" w:id="467"/>
      <w:bookmarkStart w:name="_Toc1224538508" w:id="468"/>
      <w:bookmarkStart w:name="_Toc1487264834" w:id="469"/>
      <w:bookmarkStart w:name="_Toc1243718935" w:id="470"/>
      <w:bookmarkStart w:name="_Toc1833543548" w:id="471"/>
      <w:bookmarkStart w:name="_Toc1231473297" w:id="472"/>
      <w:bookmarkStart w:name="_Toc1840395138" w:id="473"/>
      <w:bookmarkStart w:name="_Toc210292971" w:id="474"/>
      <w:r>
        <w:t>6. Enfoque Territorial.</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rsidR="008A22DF" w:rsidP="008A22DF" w:rsidRDefault="008A22DF" w14:paraId="2127301B" w14:textId="77777777">
      <w:pPr>
        <w:jc w:val="both"/>
        <w:rPr>
          <w:rFonts w:eastAsiaTheme="minorEastAsia"/>
        </w:rPr>
      </w:pPr>
    </w:p>
    <w:p w:rsidR="008A22DF" w:rsidP="008A22DF" w:rsidRDefault="008A22DF" w14:paraId="776D36C6" w14:textId="38FA01F8">
      <w:pPr>
        <w:jc w:val="both"/>
        <w:rPr>
          <w:rFonts w:eastAsiaTheme="minorEastAsia"/>
        </w:rPr>
      </w:pPr>
      <w:r w:rsidRPr="50847D6A">
        <w:rPr>
          <w:rFonts w:eastAsiaTheme="minorEastAsia"/>
        </w:rPr>
        <w:t xml:space="preserve">Adoptar un enfoque territorial en la política minera implica superar la visión tradicional que considera la minería como una actividad meramente sectorial, desconectada de las dinámicas y realidades del lugar donde se asienta. En su lugar, se reconoce que cada territorio es un sistema complejo y único, con particularidades ecosistémicas, socioculturales, económicas e institucionales que deben ser el punto de partida para la planificación y gestión de cualquier proyecto minero. Este enfoque exige que la política no sea una fórmula aplicada de manera homogénea en todo el país, sino un marco adaptable que dialogue con las vocaciones productivas, los planes de vida de las comunidades étnicas y campesinas, la biodiversidad, el cuidado del agua, las fragilidades ambientales y las capacidades de los actores y gobiernos locales. </w:t>
      </w:r>
    </w:p>
    <w:p w:rsidR="008A22DF" w:rsidP="008A22DF" w:rsidRDefault="008A22DF" w14:paraId="33DB4843" w14:textId="77777777">
      <w:pPr>
        <w:jc w:val="both"/>
        <w:rPr>
          <w:rFonts w:eastAsiaTheme="minorEastAsia"/>
        </w:rPr>
      </w:pPr>
      <w:r w:rsidRPr="50847D6A">
        <w:rPr>
          <w:rFonts w:eastAsiaTheme="minorEastAsia"/>
        </w:rPr>
        <w:t>La implementación de este enfoque requiere una transformación profunda de la gobernanza minera, transitando de un modelo centralizado a uno que promueva la articulación multinivel y la participación ciudadana efectiva. Esto significa que la política debe establecer mecanismos claros para que las decisiones mineras se coordinen con los instrumentos de planificación territorial, como los Planes de Ordenamiento Territorial (POT) a nivel municipal y los planes de desarrollo departamentales. No se puede concebir la minería como una imposición sobre el territorio; por el contrario, debe ser un componente discutido y concertado dentro de una visión compartida del desarrollo local. Esto implica fortalecer las capacidades de las autoridades municipales para que puedan ejercer su rol en la gestión del suelo y el ambiente, y crear espacios de diálogo vinculantes donde las comunidades locales, las empresas y el Estado puedan construir acuerdos sobre las condiciones, los beneficios y las salvaguardas de la actividad minera.</w:t>
      </w:r>
    </w:p>
    <w:p w:rsidR="008A22DF" w:rsidP="008A22DF" w:rsidRDefault="008A22DF" w14:paraId="7E6FEF67" w14:textId="77777777">
      <w:pPr>
        <w:jc w:val="both"/>
        <w:rPr>
          <w:rFonts w:eastAsiaTheme="minorEastAsia"/>
        </w:rPr>
      </w:pPr>
      <w:r w:rsidRPr="17F8AA9B">
        <w:rPr>
          <w:rFonts w:eastAsiaTheme="minorEastAsia"/>
        </w:rPr>
        <w:t>Finalmente, el objetivo último del enfoque territorial es asegurar que la minería contribuya de manera efectiva y tangible al bienestar de las regiones. Esto buscando que la actividad minera actúe como un catalizador para diversificar la economía local, fortalecer las cadenas de valor, mejorar la infraestructura y generar capacidades humanas que perduren más allá de la vida útil de la mina. Al entender y respetar las dinámicas territoriales, se aumenta la legitimidad de los proyectos, se previene la conflictividad social y ambiental, y se garantiza que la riqueza del subsuelo se traduzca en un bienestar duradero para la población que habita en el territorio, construyendo así una paz territorial estable y una industria minera socialmente responsable.</w:t>
      </w:r>
    </w:p>
    <w:p w:rsidRPr="0007391F" w:rsidR="00203125" w:rsidP="00203125" w:rsidRDefault="00203125" w14:paraId="504D0E19" w14:textId="77777777">
      <w:pPr>
        <w:jc w:val="both"/>
        <w:rPr>
          <w:rFonts w:eastAsia="calibri cuerpo"/>
        </w:rPr>
      </w:pPr>
    </w:p>
    <w:p w:rsidRPr="00C605DF" w:rsidR="00C443D6" w:rsidP="769A4CE5" w:rsidRDefault="5EFA0007" w14:paraId="44880E9F" w14:textId="70503CBE">
      <w:pPr>
        <w:pStyle w:val="Heading1"/>
        <w:rPr>
          <w:highlight w:val="lightGray"/>
        </w:rPr>
      </w:pPr>
      <w:bookmarkStart w:name="_Toc210292972" w:id="475"/>
      <w:r>
        <w:t>Metodología</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475"/>
    </w:p>
    <w:p w:rsidR="769A4CE5" w:rsidP="769A4CE5" w:rsidRDefault="769A4CE5" w14:paraId="448B26CF" w14:textId="55A714DA"/>
    <w:p w:rsidR="006C73CD" w:rsidP="006C73CD" w:rsidRDefault="700A96BA" w14:paraId="209AF769" w14:textId="6A23A893">
      <w:pPr>
        <w:pStyle w:val="paragraph"/>
        <w:spacing w:before="0" w:after="160"/>
        <w:rPr>
          <w:rFonts w:ascii="Calibri" w:hAnsi="Calibri"/>
          <w:kern w:val="3"/>
          <w:sz w:val="22"/>
          <w:szCs w:val="22"/>
          <w:lang w:eastAsia="en-US"/>
        </w:rPr>
      </w:pPr>
      <w:r>
        <w:rPr>
          <w:rFonts w:ascii="Calibri" w:hAnsi="Calibri"/>
          <w:kern w:val="3"/>
          <w:sz w:val="22"/>
          <w:szCs w:val="22"/>
          <w:lang w:eastAsia="en-US"/>
        </w:rPr>
        <w:t>E</w:t>
      </w:r>
      <w:r w:rsidR="3A49BD2E">
        <w:rPr>
          <w:rFonts w:ascii="Calibri" w:hAnsi="Calibri"/>
          <w:kern w:val="3"/>
          <w:sz w:val="22"/>
          <w:szCs w:val="22"/>
          <w:lang w:eastAsia="en-US"/>
        </w:rPr>
        <w:t xml:space="preserve">ste </w:t>
      </w:r>
      <w:r w:rsidR="6E77FA19">
        <w:rPr>
          <w:rFonts w:ascii="Calibri" w:hAnsi="Calibri"/>
          <w:kern w:val="3"/>
          <w:sz w:val="22"/>
          <w:szCs w:val="22"/>
          <w:lang w:eastAsia="en-US"/>
        </w:rPr>
        <w:t>proceso se desarrolló bajo un enfoque técnico, normativo, participativo, sistémico y multisectorial</w:t>
      </w:r>
      <w:r w:rsidR="2523D7DB">
        <w:rPr>
          <w:rFonts w:ascii="Calibri" w:hAnsi="Calibri"/>
          <w:kern w:val="3"/>
          <w:sz w:val="22"/>
          <w:szCs w:val="22"/>
          <w:lang w:eastAsia="en-US"/>
        </w:rPr>
        <w:t>,</w:t>
      </w:r>
      <w:r w:rsidR="6E77FA19">
        <w:rPr>
          <w:rFonts w:ascii="Calibri" w:hAnsi="Calibri"/>
          <w:kern w:val="3"/>
          <w:sz w:val="22"/>
          <w:szCs w:val="22"/>
          <w:lang w:eastAsia="en-US"/>
        </w:rPr>
        <w:t xml:space="preserve"> sustentado en lineamientos institucionales, </w:t>
      </w:r>
      <w:r w:rsidR="2523D7DB">
        <w:rPr>
          <w:rFonts w:ascii="Calibri" w:hAnsi="Calibri"/>
          <w:kern w:val="3"/>
          <w:sz w:val="22"/>
          <w:szCs w:val="22"/>
          <w:lang w:eastAsia="en-US"/>
        </w:rPr>
        <w:t xml:space="preserve">así como en </w:t>
      </w:r>
      <w:r w:rsidR="6E77FA19">
        <w:rPr>
          <w:rFonts w:ascii="Calibri" w:hAnsi="Calibri"/>
          <w:kern w:val="3"/>
          <w:sz w:val="22"/>
          <w:szCs w:val="22"/>
          <w:lang w:eastAsia="en-US"/>
        </w:rPr>
        <w:t xml:space="preserve">marcos metodológicos nacionales y participativos. </w:t>
      </w:r>
      <w:r w:rsidR="1A08FEFD">
        <w:rPr>
          <w:rFonts w:ascii="Calibri" w:hAnsi="Calibri"/>
          <w:kern w:val="3"/>
          <w:sz w:val="22"/>
          <w:szCs w:val="22"/>
          <w:lang w:eastAsia="en-US"/>
        </w:rPr>
        <w:t xml:space="preserve">De cara a lo anterior, se estructuraron las </w:t>
      </w:r>
      <w:r w:rsidR="6E77FA19">
        <w:rPr>
          <w:rFonts w:ascii="Calibri" w:hAnsi="Calibri"/>
          <w:kern w:val="3"/>
          <w:sz w:val="22"/>
          <w:szCs w:val="22"/>
          <w:lang w:eastAsia="en-US"/>
        </w:rPr>
        <w:t>seis (6) fases</w:t>
      </w:r>
      <w:r w:rsidR="1A08FEFD">
        <w:rPr>
          <w:rFonts w:ascii="Calibri" w:hAnsi="Calibri"/>
          <w:kern w:val="3"/>
          <w:sz w:val="22"/>
          <w:szCs w:val="22"/>
          <w:lang w:eastAsia="en-US"/>
        </w:rPr>
        <w:t xml:space="preserve"> descritas a continuación</w:t>
      </w:r>
      <w:r w:rsidR="6E77FA19">
        <w:rPr>
          <w:rFonts w:ascii="Calibri" w:hAnsi="Calibri"/>
          <w:kern w:val="3"/>
          <w:sz w:val="22"/>
          <w:szCs w:val="22"/>
          <w:lang w:eastAsia="en-US"/>
        </w:rPr>
        <w:t xml:space="preserve">: </w:t>
      </w:r>
    </w:p>
    <w:p w:rsidR="3845A57C" w:rsidP="3845A57C" w:rsidRDefault="3845A57C" w14:paraId="04A70E6C" w14:textId="1AA8A021">
      <w:pPr>
        <w:pStyle w:val="paragraph"/>
        <w:spacing w:before="0" w:after="160"/>
        <w:rPr>
          <w:rFonts w:ascii="Calibri" w:hAnsi="Calibri"/>
          <w:sz w:val="22"/>
          <w:szCs w:val="22"/>
          <w:lang w:eastAsia="en-US"/>
        </w:rPr>
      </w:pPr>
    </w:p>
    <w:p w:rsidR="1D0E4F87" w:rsidP="02062875" w:rsidRDefault="1D0E4F87" w14:paraId="33F3383A" w14:textId="45EE706E">
      <w:pPr>
        <w:pStyle w:val="paragraph"/>
        <w:spacing w:before="0" w:after="160"/>
      </w:pPr>
      <w:r>
        <w:rPr>
          <w:noProof/>
        </w:rPr>
        <w:drawing>
          <wp:inline distT="0" distB="0" distL="0" distR="0" wp14:anchorId="1020D6A3" wp14:editId="2449CFF8">
            <wp:extent cx="5534025" cy="4914900"/>
            <wp:effectExtent l="0" t="0" r="0" b="0"/>
            <wp:docPr id="14838545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54528" name=""/>
                    <pic:cNvPicPr/>
                  </pic:nvPicPr>
                  <pic:blipFill>
                    <a:blip r:embed="rId15">
                      <a:extLst>
                        <a:ext uri="{28A0092B-C50C-407E-A947-70E740481C1C}">
                          <a14:useLocalDpi xmlns:a14="http://schemas.microsoft.com/office/drawing/2010/main" val="0"/>
                        </a:ext>
                      </a:extLst>
                    </a:blip>
                    <a:stretch>
                      <a:fillRect/>
                    </a:stretch>
                  </pic:blipFill>
                  <pic:spPr>
                    <a:xfrm>
                      <a:off x="0" y="0"/>
                      <a:ext cx="5534025" cy="4914900"/>
                    </a:xfrm>
                    <a:prstGeom prst="rect">
                      <a:avLst/>
                    </a:prstGeom>
                  </pic:spPr>
                </pic:pic>
              </a:graphicData>
            </a:graphic>
          </wp:inline>
        </w:drawing>
      </w:r>
    </w:p>
    <w:p w:rsidR="1A52A16F" w:rsidP="02062875" w:rsidRDefault="1A52A16F" w14:paraId="7A628004" w14:textId="614B9861">
      <w:pPr>
        <w:pStyle w:val="NormalWeb"/>
        <w:spacing w:before="0" w:beforeAutospacing="0" w:after="160" w:afterAutospacing="0"/>
        <w:rPr>
          <w:rFonts w:ascii="Calibri" w:hAnsi="Calibri" w:eastAsia="Arial"/>
          <w:color w:val="000000" w:themeColor="text1"/>
          <w:sz w:val="22"/>
          <w:szCs w:val="22"/>
          <w:lang w:eastAsia="en-US"/>
        </w:rPr>
      </w:pPr>
      <w:bookmarkStart w:name="_Toc135903112" w:id="476"/>
      <w:bookmarkStart w:name="_Hlk199437988" w:id="477"/>
      <w:bookmarkStart w:name="_Toc135903114" w:id="478"/>
      <w:bookmarkEnd w:id="476"/>
      <w:bookmarkEnd w:id="477"/>
      <w:bookmarkEnd w:id="478"/>
    </w:p>
    <w:p w:rsidR="005F4BD4" w:rsidP="6CF7E57B" w:rsidRDefault="5EFA0007" w14:paraId="6B6B6659" w14:textId="30E820F8">
      <w:pPr>
        <w:pStyle w:val="Heading1"/>
      </w:pPr>
      <w:bookmarkStart w:name="_Toc135903118" w:id="479"/>
      <w:bookmarkStart w:name="_Toc854276365" w:id="480"/>
      <w:bookmarkStart w:name="_Toc430741044" w:id="481"/>
      <w:bookmarkStart w:name="_Toc28456449" w:id="482"/>
      <w:bookmarkStart w:name="_Toc1597403388" w:id="483"/>
      <w:bookmarkStart w:name="_Toc1210307359" w:id="484"/>
      <w:bookmarkStart w:name="_Toc1270002701" w:id="485"/>
      <w:bookmarkStart w:name="_Toc712839212" w:id="486"/>
      <w:bookmarkStart w:name="_Toc1049714057" w:id="487"/>
      <w:bookmarkStart w:name="_Toc2065385103" w:id="488"/>
      <w:bookmarkStart w:name="_Toc1942991703" w:id="489"/>
      <w:bookmarkStart w:name="_Toc1323300870" w:id="490"/>
      <w:bookmarkStart w:name="_Toc1749277967" w:id="491"/>
      <w:bookmarkStart w:name="_Toc2087450184" w:id="492"/>
      <w:bookmarkStart w:name="_Toc1963498438" w:id="493"/>
      <w:bookmarkStart w:name="_Toc621431333" w:id="494"/>
      <w:bookmarkStart w:name="_Toc1882817378" w:id="495"/>
      <w:bookmarkStart w:name="_Toc123942524" w:id="496"/>
      <w:bookmarkStart w:name="_Toc2132476302" w:id="497"/>
      <w:bookmarkStart w:name="_Toc339452761" w:id="498"/>
      <w:bookmarkStart w:name="_Toc1783220037" w:id="499"/>
      <w:bookmarkStart w:name="_Toc1875535318" w:id="500"/>
      <w:bookmarkStart w:name="_Toc1349477717" w:id="501"/>
      <w:bookmarkStart w:name="_Toc740841669" w:id="502"/>
      <w:bookmarkStart w:name="_Toc1378988464" w:id="503"/>
      <w:bookmarkStart w:name="_Toc733551650" w:id="504"/>
      <w:bookmarkStart w:name="_Toc705820053" w:id="505"/>
      <w:bookmarkStart w:name="_Toc210292973" w:id="506"/>
      <w:r>
        <w:t xml:space="preserve">Problemáticas </w:t>
      </w:r>
      <w:r w:rsidR="7BA8335B">
        <w:t>a</w:t>
      </w:r>
      <w:r>
        <w:t>sociadas</w:t>
      </w:r>
      <w:r w:rsidR="505C8730">
        <w:t xml:space="preserve"> a la </w:t>
      </w:r>
      <w:bookmarkEnd w:id="479"/>
      <w:r w:rsidR="505C8730">
        <w:t>Minería en Colombia</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p>
    <w:p w:rsidR="005F4BD4" w:rsidP="50847D6A" w:rsidRDefault="005F4BD4" w14:paraId="6113E820" w14:textId="0DEB80BE"/>
    <w:p w:rsidR="00743F75" w:rsidP="00743F75" w:rsidRDefault="6A87BF8B" w14:paraId="2DF4C27D" w14:textId="4A4EA7D3">
      <w:pPr>
        <w:jc w:val="both"/>
      </w:pPr>
      <w:r>
        <w:t>En Colombia</w:t>
      </w:r>
      <w:r w:rsidR="39ED1BAF">
        <w:t>,</w:t>
      </w:r>
      <w:r w:rsidR="55185A6B">
        <w:t xml:space="preserve"> la</w:t>
      </w:r>
      <w:r>
        <w:t xml:space="preserve"> minería ha sido </w:t>
      </w:r>
      <w:r w:rsidR="05123298">
        <w:t xml:space="preserve">históricamente </w:t>
      </w:r>
      <w:r>
        <w:t>una actividad dinamizadora de la economía</w:t>
      </w:r>
      <w:r w:rsidR="5F881524">
        <w:t xml:space="preserve">. Sin embargo, </w:t>
      </w:r>
      <w:r>
        <w:t xml:space="preserve">su desarrollo </w:t>
      </w:r>
      <w:r w:rsidR="0EAA1210">
        <w:t xml:space="preserve">ha carecido </w:t>
      </w:r>
      <w:r>
        <w:t>de medidas</w:t>
      </w:r>
      <w:r w:rsidR="1015360F">
        <w:t xml:space="preserve"> eficaces para</w:t>
      </w:r>
      <w:r>
        <w:t xml:space="preserve"> identificar y controlar de manera efectiva, los impactos ambientales, sociales y culturales que genera. </w:t>
      </w:r>
      <w:r w:rsidR="0321A59D">
        <w:t xml:space="preserve">La falta de mecanismos limita la consolidación de </w:t>
      </w:r>
      <w:r>
        <w:t xml:space="preserve">acciones de prevención y mitigación de estos impactos, lo que conduce a la generación de conflictos sociales y ambientales en los territorios que afectan especialmente a sectores sociales vulnerables, subrepresentados y excluidos. </w:t>
      </w:r>
    </w:p>
    <w:p w:rsidR="0085677D" w:rsidP="0085677D" w:rsidRDefault="0085677D" w14:paraId="212FDAF2" w14:textId="77777777">
      <w:pPr>
        <w:jc w:val="both"/>
      </w:pPr>
      <w:r>
        <w:t>Adicionalmente, de cara a la insuficiente y desarticulada respuesta interinstitucional brindada en esos escenarios, se evidencia que no existen procesos de planificación e intervención entre las entidades del sector minero y ambiental, tanto a nivel nacional como territorial, limitando la gestión integral de los recursos naturales no renovables (RNNR).</w:t>
      </w:r>
    </w:p>
    <w:p w:rsidR="0085677D" w:rsidP="0085677D" w:rsidRDefault="0085677D" w14:paraId="7373EF1D" w14:textId="77777777">
      <w:pPr>
        <w:jc w:val="both"/>
      </w:pPr>
      <w:r>
        <w:t xml:space="preserve">Aunque la anterior política minera contribuyó de forma positiva en ámbitos como la formalización, fortalecimiento institucional y sistemas de información, la actividad minera en el país sigue presentando grandes retos estructurales en la planificación minero-ambiental, articulación institucional, fiscalización y en cierres mineros, la baja participación e inclusión ciudadana, el respeto por los derechos humanos y las comunidades étnicas. Sumado a la ilegalidad e informalidad del sector, así como la limitada y baja presencia institucional en amplias zonas de del territorio. </w:t>
      </w:r>
    </w:p>
    <w:p w:rsidR="0047183C" w:rsidP="17F8AA9B" w:rsidRDefault="7145BE07" w14:paraId="37AAEFBF" w14:textId="0E42499D">
      <w:pPr>
        <w:jc w:val="both"/>
        <w:rPr>
          <w:strike/>
        </w:rPr>
      </w:pPr>
      <w:r>
        <w:t xml:space="preserve">Las problemáticas asociadas a la actividad minera se ven reflejadas tanto en las expresiones de inconformidad de las poblaciones afectadas y actores del sector, como en la jurisprudencia de las altas cortes y tribunales que han exhortado al gobierno nacional y a las entidades con funciones minero-ambientales a implementar acciones encaminadas a la planificación, ordenamiento, articulación intersectorial, fiscalización, control y seguimiento. A estos desafíos se le suman la necesidad de fortalecer la minería </w:t>
      </w:r>
      <w:r w:rsidR="00743F75">
        <w:t>de subsistencia</w:t>
      </w:r>
      <w:r>
        <w:t xml:space="preserve"> mediante tecnificación y enfoque asociativo; mejorar la seguridad minera; garantizar el cierre integral de las minas; la soberanía e industrialización de los minerales; avanzar en la diversificación y reconversión productiva; y ampliar el conocimiento del potencial geológico del país. </w:t>
      </w:r>
    </w:p>
    <w:p w:rsidR="005F4BD4" w:rsidP="005F4BD4" w:rsidRDefault="00C27F08" w14:paraId="32A3BCDB" w14:textId="7D5267E9">
      <w:pPr>
        <w:jc w:val="both"/>
      </w:pPr>
      <w:sdt>
        <w:sdtPr>
          <w:rPr>
            <w:color w:val="2B579A"/>
            <w:shd w:val="clear" w:color="auto" w:fill="E6E6E6"/>
          </w:rPr>
          <w:id w:val="-581374986"/>
          <w:citation/>
        </w:sdtPr>
        <w:sdtEndPr>
          <w:rPr>
            <w:color w:val="auto"/>
            <w:shd w:val="clear" w:color="auto" w:fill="auto"/>
          </w:rPr>
        </w:sdtEndPr>
        <w:sdtContent/>
      </w:sdt>
      <w:sdt>
        <w:sdtPr>
          <w:rPr>
            <w:color w:val="000000" w:themeColor="text1"/>
            <w:shd w:val="clear" w:color="auto" w:fill="E6E6E6"/>
          </w:rPr>
          <w:id w:val="-7679473"/>
          <w:citation/>
        </w:sdtPr>
        <w:sdtEndPr>
          <w:rPr>
            <w:color w:val="auto"/>
            <w:shd w:val="clear" w:color="auto" w:fill="auto"/>
          </w:rPr>
        </w:sdtEndPr>
        <w:sdtContent/>
      </w:sdt>
      <w:r w:rsidR="7893E0A1">
        <w:t>Ante las problemáticas del sector, las bases y el articulado del PND 2022-2026 – “</w:t>
      </w:r>
      <w:r w:rsidRPr="769A4CE5" w:rsidR="7893E0A1">
        <w:rPr>
          <w:i/>
          <w:iCs/>
        </w:rPr>
        <w:t>Colombia, potencia mundial de la vida</w:t>
      </w:r>
      <w:r w:rsidR="7893E0A1">
        <w:t>” reconocen la pertinencia de actualizar la política minera con</w:t>
      </w:r>
      <w:r w:rsidR="542FE915">
        <w:t xml:space="preserve"> énfasis en:</w:t>
      </w:r>
    </w:p>
    <w:p w:rsidR="005F4BD4" w:rsidP="005F4BD4" w:rsidRDefault="1B827697" w14:paraId="4E90EB42" w14:textId="380A7E4D">
      <w:pPr>
        <w:ind w:left="708"/>
        <w:jc w:val="both"/>
      </w:pPr>
      <w:r w:rsidRPr="5734DBB2">
        <w:rPr>
          <w:i/>
          <w:iCs/>
        </w:rPr>
        <w:t xml:space="preserve">i) el uso y gestión de mecanismos para el ordenamiento minero ambiental; </w:t>
      </w:r>
      <w:proofErr w:type="spellStart"/>
      <w:r w:rsidRPr="5734DBB2">
        <w:rPr>
          <w:i/>
          <w:iCs/>
        </w:rPr>
        <w:t>ii</w:t>
      </w:r>
      <w:proofErr w:type="spellEnd"/>
      <w:r w:rsidRPr="5734DBB2">
        <w:rPr>
          <w:i/>
          <w:iCs/>
        </w:rPr>
        <w:t xml:space="preserve">) creación de mecanismos de articulación para la aprobación de instrumentos técnicos (Programa de trabajos y obras-PTO y Estudio de Impacto ambiental-EIA); </w:t>
      </w:r>
      <w:proofErr w:type="spellStart"/>
      <w:r w:rsidRPr="5734DBB2">
        <w:rPr>
          <w:i/>
          <w:iCs/>
        </w:rPr>
        <w:t>iii</w:t>
      </w:r>
      <w:proofErr w:type="spellEnd"/>
      <w:r w:rsidRPr="5734DBB2">
        <w:rPr>
          <w:i/>
          <w:iCs/>
        </w:rPr>
        <w:t xml:space="preserve">) reconocimiento de derechos mineros ancestrales, artesanales y de pequeña escala, a partir de análisis diferenciados de problemáticas socio- ambientales; </w:t>
      </w:r>
      <w:proofErr w:type="spellStart"/>
      <w:r w:rsidRPr="5734DBB2">
        <w:rPr>
          <w:i/>
          <w:iCs/>
        </w:rPr>
        <w:t>iv</w:t>
      </w:r>
      <w:proofErr w:type="spellEnd"/>
      <w:r w:rsidRPr="5734DBB2">
        <w:rPr>
          <w:i/>
          <w:iCs/>
        </w:rPr>
        <w:t>) uso de tecnologías en la fiscalización, promoción y priorización de la exploración, extracción y comercialización formal de minerales estratégicos como oro, materiales de construcción, cobre, níquel, cobalto, (…) entre otros</w:t>
      </w:r>
      <w:r w:rsidRPr="00E13BCD">
        <w:t xml:space="preserve"> </w:t>
      </w:r>
      <w:sdt>
        <w:sdtPr>
          <w:rPr>
            <w:color w:val="000000" w:themeColor="text1"/>
            <w:shd w:val="clear" w:color="auto" w:fill="E6E6E6"/>
          </w:rPr>
          <w:id w:val="1488825939"/>
          <w:citation/>
        </w:sdtPr>
        <w:sdtEndPr>
          <w:rPr>
            <w:color w:val="auto"/>
            <w:shd w:val="clear" w:color="auto" w:fill="auto"/>
          </w:rPr>
        </w:sdtEndPr>
        <w:sdtContent>
          <w:r w:rsidRPr="769A4CE5" w:rsidR="005F4BD4">
            <w:rPr>
              <w:color w:val="000000" w:themeColor="text1"/>
              <w:shd w:val="clear" w:color="auto" w:fill="E6E6E6"/>
            </w:rPr>
            <w:fldChar w:fldCharType="begin"/>
          </w:r>
          <w:r w:rsidR="005F4BD4">
            <w:rPr>
              <w:lang w:val="es-ES"/>
            </w:rPr>
            <w:instrText xml:space="preserve">CITATION DNP22 \l 3082 </w:instrText>
          </w:r>
          <w:r w:rsidRPr="769A4CE5" w:rsidR="005F4BD4">
            <w:rPr>
              <w:color w:val="000000" w:themeColor="text1"/>
              <w:shd w:val="clear" w:color="auto" w:fill="E6E6E6"/>
            </w:rPr>
            <w:fldChar w:fldCharType="separate"/>
          </w:r>
          <w:r w:rsidR="00104221">
            <w:rPr>
              <w:noProof/>
              <w:lang w:val="es-ES"/>
            </w:rPr>
            <w:t>(DNP, 2022)</w:t>
          </w:r>
          <w:r w:rsidRPr="769A4CE5" w:rsidR="005F4BD4">
            <w:rPr>
              <w:color w:val="000000" w:themeColor="text1"/>
              <w:shd w:val="clear" w:color="auto" w:fill="E6E6E6"/>
            </w:rPr>
            <w:fldChar w:fldCharType="end"/>
          </w:r>
        </w:sdtContent>
      </w:sdt>
      <w:r>
        <w:t>.</w:t>
      </w:r>
    </w:p>
    <w:p w:rsidR="005F4BD4" w:rsidP="5734DBB2" w:rsidRDefault="66D8A767" w14:paraId="0DDA2DEE" w14:textId="75076F4C">
      <w:pPr>
        <w:spacing w:after="0"/>
        <w:jc w:val="both"/>
        <w:rPr>
          <w:rFonts w:ascii="Calibri" w:hAnsi="Calibri" w:eastAsia="Calibri" w:cs="Calibri"/>
          <w:color w:val="000000" w:themeColor="text1"/>
        </w:rPr>
      </w:pPr>
      <w:r w:rsidRPr="5734DBB2">
        <w:rPr>
          <w:rFonts w:ascii="Calibri" w:hAnsi="Calibri" w:eastAsia="Calibri" w:cs="Calibri"/>
          <w:color w:val="000000" w:themeColor="text1"/>
        </w:rPr>
        <w:t>E</w:t>
      </w:r>
      <w:r w:rsidRPr="5734DBB2" w:rsidR="7405B122">
        <w:rPr>
          <w:rFonts w:ascii="Calibri" w:hAnsi="Calibri" w:eastAsia="Calibri" w:cs="Calibri"/>
          <w:color w:val="000000" w:themeColor="text1"/>
        </w:rPr>
        <w:t>n</w:t>
      </w:r>
      <w:r w:rsidRPr="5734DBB2" w:rsidR="4175EB1C">
        <w:rPr>
          <w:rFonts w:ascii="Calibri" w:hAnsi="Calibri" w:eastAsia="Calibri" w:cs="Calibri"/>
          <w:color w:val="000000" w:themeColor="text1"/>
        </w:rPr>
        <w:t xml:space="preserve"> </w:t>
      </w:r>
      <w:r w:rsidRPr="5734DBB2" w:rsidR="26DD94DD">
        <w:rPr>
          <w:rFonts w:ascii="Calibri" w:hAnsi="Calibri" w:eastAsia="Calibri" w:cs="Calibri"/>
          <w:color w:val="000000" w:themeColor="text1"/>
        </w:rPr>
        <w:t xml:space="preserve">este </w:t>
      </w:r>
      <w:r w:rsidRPr="5734DBB2" w:rsidR="4175EB1C">
        <w:rPr>
          <w:rFonts w:ascii="Calibri" w:hAnsi="Calibri" w:eastAsia="Calibri" w:cs="Calibri"/>
          <w:color w:val="000000" w:themeColor="text1"/>
        </w:rPr>
        <w:t>mismo</w:t>
      </w:r>
      <w:r w:rsidRPr="5734DBB2" w:rsidR="5BD0C153">
        <w:rPr>
          <w:rFonts w:ascii="Calibri" w:hAnsi="Calibri" w:eastAsia="Calibri" w:cs="Calibri"/>
          <w:color w:val="000000" w:themeColor="text1"/>
        </w:rPr>
        <w:t xml:space="preserve"> sentido</w:t>
      </w:r>
      <w:r w:rsidRPr="5734DBB2" w:rsidR="4175EB1C">
        <w:rPr>
          <w:rFonts w:ascii="Calibri" w:hAnsi="Calibri" w:eastAsia="Calibri" w:cs="Calibri"/>
          <w:color w:val="000000" w:themeColor="text1"/>
        </w:rPr>
        <w:t xml:space="preserve">, </w:t>
      </w:r>
      <w:r w:rsidRPr="5734DBB2" w:rsidR="7CA0CD4A">
        <w:rPr>
          <w:rFonts w:ascii="Calibri" w:hAnsi="Calibri" w:eastAsia="Calibri" w:cs="Calibri"/>
          <w:color w:val="000000" w:themeColor="text1"/>
        </w:rPr>
        <w:t>l</w:t>
      </w:r>
      <w:r w:rsidRPr="5734DBB2" w:rsidR="4175EB1C">
        <w:rPr>
          <w:rFonts w:ascii="Calibri" w:hAnsi="Calibri" w:eastAsia="Calibri" w:cs="Calibri"/>
          <w:color w:val="000000" w:themeColor="text1"/>
        </w:rPr>
        <w:t>a sentencia de Ventanilla Minera</w:t>
      </w:r>
      <w:r w:rsidR="00743F75">
        <w:rPr>
          <w:rFonts w:ascii="Calibri" w:hAnsi="Calibri" w:eastAsia="Calibri" w:cs="Calibri"/>
          <w:color w:val="000000" w:themeColor="text1"/>
        </w:rPr>
        <w:t xml:space="preserve"> </w:t>
      </w:r>
      <w:r w:rsidR="0085677D">
        <w:rPr>
          <w:rFonts w:ascii="Calibri" w:hAnsi="Calibri" w:eastAsia="Calibri" w:cs="Calibri"/>
          <w:color w:val="000000" w:themeColor="text1"/>
        </w:rPr>
        <w:t xml:space="preserve">ratifica esta necesidad de actualización al </w:t>
      </w:r>
      <w:r w:rsidRPr="5734DBB2" w:rsidR="4175EB1C">
        <w:rPr>
          <w:rFonts w:ascii="Calibri" w:hAnsi="Calibri" w:eastAsia="Calibri" w:cs="Calibri"/>
          <w:color w:val="000000" w:themeColor="text1"/>
        </w:rPr>
        <w:t>identific</w:t>
      </w:r>
      <w:r w:rsidR="0085677D">
        <w:rPr>
          <w:rFonts w:ascii="Calibri" w:hAnsi="Calibri" w:eastAsia="Calibri" w:cs="Calibri"/>
          <w:color w:val="000000" w:themeColor="text1"/>
        </w:rPr>
        <w:t>ar</w:t>
      </w:r>
      <w:r w:rsidRPr="5734DBB2" w:rsidR="4175EB1C">
        <w:rPr>
          <w:rFonts w:ascii="Calibri" w:hAnsi="Calibri" w:eastAsia="Calibri" w:cs="Calibri"/>
          <w:color w:val="000000" w:themeColor="text1"/>
        </w:rPr>
        <w:t xml:space="preserve"> tres problemas </w:t>
      </w:r>
      <w:r w:rsidRPr="5734DBB2" w:rsidR="0E5F1F24">
        <w:rPr>
          <w:rFonts w:ascii="Calibri" w:hAnsi="Calibri" w:eastAsia="Calibri" w:cs="Calibri"/>
          <w:color w:val="000000" w:themeColor="text1"/>
        </w:rPr>
        <w:t>fundamentales</w:t>
      </w:r>
      <w:r w:rsidRPr="5734DBB2" w:rsidR="4175EB1C">
        <w:rPr>
          <w:rFonts w:ascii="Calibri" w:hAnsi="Calibri" w:eastAsia="Calibri" w:cs="Calibri"/>
          <w:color w:val="000000" w:themeColor="text1"/>
        </w:rPr>
        <w:t xml:space="preserve"> que afectan el sector</w:t>
      </w:r>
      <w:r w:rsidRPr="5734DBB2" w:rsidR="3E7C0595">
        <w:rPr>
          <w:rFonts w:ascii="Calibri" w:hAnsi="Calibri" w:eastAsia="Calibri" w:cs="Calibri"/>
          <w:color w:val="000000" w:themeColor="text1"/>
        </w:rPr>
        <w:t xml:space="preserve">, </w:t>
      </w:r>
      <w:r w:rsidRPr="5734DBB2" w:rsidR="79A0AE9D">
        <w:rPr>
          <w:rFonts w:ascii="Calibri" w:hAnsi="Calibri" w:eastAsia="Calibri" w:cs="Calibri"/>
          <w:color w:val="000000" w:themeColor="text1"/>
        </w:rPr>
        <w:t>comenzando por</w:t>
      </w:r>
      <w:r w:rsidRPr="5734DBB2" w:rsidR="4175EB1C">
        <w:rPr>
          <w:rFonts w:ascii="Calibri" w:hAnsi="Calibri" w:eastAsia="Calibri" w:cs="Calibri"/>
          <w:color w:val="000000" w:themeColor="text1"/>
        </w:rPr>
        <w:t xml:space="preserve"> el insuficiente ordenamiento territorial minero-ambiental</w:t>
      </w:r>
      <w:r w:rsidRPr="5734DBB2" w:rsidR="57F77844">
        <w:rPr>
          <w:rFonts w:ascii="Calibri" w:hAnsi="Calibri" w:eastAsia="Calibri" w:cs="Calibri"/>
          <w:color w:val="000000" w:themeColor="text1"/>
        </w:rPr>
        <w:t xml:space="preserve">, </w:t>
      </w:r>
      <w:r w:rsidRPr="5734DBB2" w:rsidR="4175EB1C">
        <w:rPr>
          <w:rFonts w:ascii="Calibri" w:hAnsi="Calibri" w:eastAsia="Calibri" w:cs="Calibri"/>
          <w:color w:val="000000" w:themeColor="text1"/>
        </w:rPr>
        <w:t>la desarticulación instituciona</w:t>
      </w:r>
      <w:r w:rsidR="00743F75">
        <w:rPr>
          <w:rFonts w:ascii="Calibri" w:hAnsi="Calibri" w:eastAsia="Calibri" w:cs="Calibri"/>
          <w:color w:val="000000" w:themeColor="text1"/>
        </w:rPr>
        <w:t>l y</w:t>
      </w:r>
      <w:r w:rsidRPr="5734DBB2" w:rsidR="4FF41533">
        <w:rPr>
          <w:rFonts w:ascii="Calibri" w:hAnsi="Calibri" w:eastAsia="Calibri" w:cs="Calibri"/>
          <w:color w:val="000000" w:themeColor="text1"/>
        </w:rPr>
        <w:t xml:space="preserve"> </w:t>
      </w:r>
      <w:r w:rsidRPr="5734DBB2" w:rsidR="4175EB1C">
        <w:rPr>
          <w:rFonts w:ascii="Calibri" w:hAnsi="Calibri" w:eastAsia="Calibri" w:cs="Calibri"/>
          <w:color w:val="000000" w:themeColor="text1"/>
        </w:rPr>
        <w:t xml:space="preserve">las debilidades del modelo de control y fiscalización de los títulos mineros. </w:t>
      </w:r>
    </w:p>
    <w:p w:rsidR="005F4BD4" w:rsidP="5734DBB2" w:rsidRDefault="005F4BD4" w14:paraId="3C24D7A3" w14:textId="68FF9C48">
      <w:pPr>
        <w:spacing w:after="0"/>
        <w:jc w:val="both"/>
      </w:pPr>
    </w:p>
    <w:p w:rsidR="005F4BD4" w:rsidP="5734DBB2" w:rsidRDefault="1B827697" w14:paraId="289E2AAE" w14:textId="415F673C">
      <w:pPr>
        <w:spacing w:after="0"/>
        <w:jc w:val="both"/>
        <w:rPr>
          <w:rFonts w:ascii="Calibri" w:hAnsi="Calibri" w:eastAsia="Calibri" w:cs="Calibri"/>
          <w:color w:val="000000" w:themeColor="text1"/>
        </w:rPr>
      </w:pPr>
      <w:r>
        <w:t xml:space="preserve">De acuerdo </w:t>
      </w:r>
      <w:r w:rsidR="31E89A7E">
        <w:t>con</w:t>
      </w:r>
      <w:r>
        <w:t xml:space="preserve"> el análisis sectorial</w:t>
      </w:r>
      <w:r w:rsidR="582F9AE3">
        <w:t xml:space="preserve">, </w:t>
      </w:r>
      <w:r>
        <w:t xml:space="preserve">a partir de la construcción </w:t>
      </w:r>
      <w:r w:rsidR="1368EEC3">
        <w:t xml:space="preserve">articulada </w:t>
      </w:r>
      <w:r>
        <w:t xml:space="preserve">del árbol de problemas respecto al desarrollo de la actividad minería en Colombia, </w:t>
      </w:r>
      <w:r w:rsidR="7A0B7E2F">
        <w:t xml:space="preserve">y los espacios participativos en territorio, </w:t>
      </w:r>
      <w:r>
        <w:t>se identificaron diez problemáticas</w:t>
      </w:r>
      <w:r w:rsidR="548A17A9">
        <w:t xml:space="preserve"> estructurales para abordar en esta política.</w:t>
      </w:r>
      <w:r>
        <w:t xml:space="preserve"> (ver Ilustración 1).</w:t>
      </w:r>
    </w:p>
    <w:p w:rsidR="00211366" w:rsidP="00A140E9" w:rsidRDefault="67F0A501" w14:paraId="38A5D37D" w14:textId="5989CF3C">
      <w:pPr>
        <w:pStyle w:val="Caption"/>
        <w:keepNext/>
      </w:pPr>
      <w:bookmarkStart w:name="_Toc210292701" w:id="507"/>
      <w:r>
        <w:t xml:space="preserve">Ilustración </w:t>
      </w:r>
      <w:r w:rsidR="00211366">
        <w:fldChar w:fldCharType="begin"/>
      </w:r>
      <w:r w:rsidR="00211366">
        <w:instrText>SEQ Ilustración \* ARABIC</w:instrText>
      </w:r>
      <w:r w:rsidR="00211366">
        <w:fldChar w:fldCharType="separate"/>
      </w:r>
      <w:r w:rsidRPr="02062875" w:rsidR="2E0FC2D2">
        <w:rPr>
          <w:noProof/>
        </w:rPr>
        <w:t>1</w:t>
      </w:r>
      <w:r w:rsidR="00211366">
        <w:fldChar w:fldCharType="end"/>
      </w:r>
      <w:r>
        <w:t>. Problemáticas asociadas a las actividades mineras.</w:t>
      </w:r>
      <w:bookmarkEnd w:id="507"/>
    </w:p>
    <w:p w:rsidR="00A140E9" w:rsidP="02062875" w:rsidRDefault="6EFFDDC0" w14:paraId="28B694E6" w14:textId="3B829033">
      <w:pPr>
        <w:keepNext/>
        <w:jc w:val="center"/>
      </w:pPr>
      <w:r>
        <w:rPr>
          <w:noProof/>
        </w:rPr>
        <w:drawing>
          <wp:inline distT="0" distB="0" distL="0" distR="0" wp14:anchorId="637DC2CA" wp14:editId="611551B2">
            <wp:extent cx="5121084" cy="2944623"/>
            <wp:effectExtent l="0" t="0" r="0" b="0"/>
            <wp:docPr id="83227354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273544" name=""/>
                    <pic:cNvPicPr/>
                  </pic:nvPicPr>
                  <pic:blipFill>
                    <a:blip r:embed="rId16">
                      <a:extLst>
                        <a:ext uri="{28A0092B-C50C-407E-A947-70E740481C1C}">
                          <a14:useLocalDpi xmlns:a14="http://schemas.microsoft.com/office/drawing/2010/main" val="0"/>
                        </a:ext>
                      </a:extLst>
                    </a:blip>
                    <a:stretch>
                      <a:fillRect/>
                    </a:stretch>
                  </pic:blipFill>
                  <pic:spPr>
                    <a:xfrm>
                      <a:off x="0" y="0"/>
                      <a:ext cx="5121084" cy="2944623"/>
                    </a:xfrm>
                    <a:prstGeom prst="rect">
                      <a:avLst/>
                    </a:prstGeom>
                  </pic:spPr>
                </pic:pic>
              </a:graphicData>
            </a:graphic>
          </wp:inline>
        </w:drawing>
      </w:r>
    </w:p>
    <w:p w:rsidRPr="00EC6B0A" w:rsidR="00190770" w:rsidP="769A4CE5" w:rsidRDefault="6596ABF2" w14:paraId="702ED073" w14:textId="1EBF373B">
      <w:pPr>
        <w:keepNext w:val="1"/>
        <w:jc w:val="center"/>
        <w:rPr>
          <w:b w:val="1"/>
          <w:bCs w:val="1"/>
        </w:rPr>
      </w:pPr>
      <w:r w:rsidRPr="0108C3FA" w:rsidR="6596ABF2">
        <w:rPr>
          <w:rStyle w:val="normaltextrun"/>
          <w:color w:val="000000" w:themeColor="text1" w:themeTint="FF" w:themeShade="FF"/>
          <w:sz w:val="18"/>
          <w:szCs w:val="18"/>
          <w:lang w:val="es-ES"/>
        </w:rPr>
        <w:t xml:space="preserve">Fuente: Elaboración propia. </w:t>
      </w:r>
      <w:r w:rsidRPr="0108C3FA" w:rsidR="6596ABF2">
        <w:rPr>
          <w:rStyle w:val="normaltextrun"/>
          <w:color w:val="000000" w:themeColor="text1" w:themeTint="FF" w:themeShade="FF"/>
          <w:sz w:val="18"/>
          <w:szCs w:val="18"/>
          <w:lang w:val="es-ES"/>
        </w:rPr>
        <w:t>MinEnergía</w:t>
      </w:r>
      <w:r w:rsidRPr="0108C3FA" w:rsidR="6596ABF2">
        <w:rPr>
          <w:rStyle w:val="normaltextrun"/>
          <w:color w:val="000000" w:themeColor="text1" w:themeTint="FF" w:themeShade="FF"/>
          <w:sz w:val="18"/>
          <w:szCs w:val="18"/>
          <w:lang w:val="es-ES"/>
        </w:rPr>
        <w:t xml:space="preserve"> 2023</w:t>
      </w:r>
      <w:r w:rsidRPr="0108C3FA" w:rsidR="6596ABF2">
        <w:rPr>
          <w:rStyle w:val="normaltextrun"/>
          <w:color w:val="000000" w:themeColor="text1" w:themeTint="FF" w:themeShade="FF"/>
          <w:sz w:val="18"/>
          <w:szCs w:val="18"/>
          <w:lang w:val="es-ES"/>
        </w:rPr>
        <w:t>.</w:t>
      </w:r>
    </w:p>
    <w:p w:rsidR="769A4CE5" w:rsidP="769A4CE5" w:rsidRDefault="769A4CE5" w14:paraId="49FCA117" w14:textId="5F581259">
      <w:pPr>
        <w:keepNext/>
        <w:jc w:val="center"/>
        <w:rPr>
          <w:rStyle w:val="normaltextrun"/>
          <w:color w:val="000000" w:themeColor="text1"/>
          <w:sz w:val="18"/>
          <w:szCs w:val="18"/>
          <w:lang w:val="es-ES"/>
        </w:rPr>
      </w:pPr>
    </w:p>
    <w:p w:rsidR="0085677D" w:rsidP="0085677D" w:rsidRDefault="0085677D" w14:paraId="0475477F" w14:textId="2297317D">
      <w:pPr>
        <w:keepNext/>
        <w:jc w:val="both"/>
        <w:rPr>
          <w:color w:val="000000" w:themeColor="text1"/>
        </w:rPr>
      </w:pPr>
      <w:r w:rsidRPr="0085677D">
        <w:rPr>
          <w:color w:val="000000" w:themeColor="text1"/>
        </w:rPr>
        <w:t>A continuación, se desarrolla cada una de las problemáticas asociadas a las actividades mineras:</w:t>
      </w:r>
    </w:p>
    <w:p w:rsidRPr="0085677D" w:rsidR="0085677D" w:rsidP="0085677D" w:rsidRDefault="0085677D" w14:paraId="79CFC29A" w14:textId="77777777">
      <w:pPr>
        <w:keepNext/>
        <w:jc w:val="both"/>
        <w:rPr>
          <w:rStyle w:val="normaltextrun"/>
          <w:color w:val="000000" w:themeColor="text1"/>
        </w:rPr>
      </w:pPr>
    </w:p>
    <w:p w:rsidR="00C443D6" w:rsidRDefault="0085677D" w14:paraId="5924A71E" w14:textId="1C10FE08">
      <w:pPr>
        <w:pStyle w:val="Heading2"/>
        <w:numPr>
          <w:ilvl w:val="0"/>
          <w:numId w:val="9"/>
        </w:numPr>
        <w:ind w:left="-142" w:firstLine="142"/>
        <w:rPr>
          <w:lang w:val="es-ES"/>
        </w:rPr>
      </w:pPr>
      <w:bookmarkStart w:name="_Toc128390328" w:id="509"/>
      <w:bookmarkStart w:name="_Toc128390644" w:id="510"/>
      <w:bookmarkStart w:name="_Toc128391586" w:id="511"/>
      <w:bookmarkStart w:name="_Toc128391935" w:id="512"/>
      <w:bookmarkStart w:name="_Toc128392572" w:id="513"/>
      <w:bookmarkStart w:name="_Toc128394317" w:id="514"/>
      <w:bookmarkStart w:name="_Toc128747407" w:id="515"/>
      <w:bookmarkStart w:name="_Toc128748738" w:id="516"/>
      <w:bookmarkStart w:name="_Toc128748767" w:id="517"/>
      <w:bookmarkStart w:name="_Toc128749777" w:id="518"/>
      <w:bookmarkStart w:name="_Toc128929596" w:id="519"/>
      <w:bookmarkStart w:name="_Toc128929624" w:id="520"/>
      <w:bookmarkStart w:name="_Toc128929658" w:id="521"/>
      <w:bookmarkStart w:name="_Toc128932069" w:id="522"/>
      <w:bookmarkStart w:name="_Toc128390329" w:id="523"/>
      <w:bookmarkStart w:name="_Toc128390645" w:id="524"/>
      <w:bookmarkStart w:name="_Toc128391587" w:id="525"/>
      <w:bookmarkStart w:name="_Toc128391936" w:id="526"/>
      <w:bookmarkStart w:name="_Toc128392573" w:id="527"/>
      <w:bookmarkStart w:name="_Toc128394318" w:id="528"/>
      <w:bookmarkStart w:name="_Toc128747408" w:id="529"/>
      <w:bookmarkStart w:name="_Toc128748739" w:id="530"/>
      <w:bookmarkStart w:name="_Toc128748768" w:id="531"/>
      <w:bookmarkStart w:name="_Toc128749778" w:id="532"/>
      <w:bookmarkStart w:name="_Toc128929597" w:id="533"/>
      <w:bookmarkStart w:name="_Toc128929625" w:id="534"/>
      <w:bookmarkStart w:name="_Toc128929659" w:id="535"/>
      <w:bookmarkStart w:name="_Toc128932070" w:id="536"/>
      <w:bookmarkStart w:name="_Toc129702724" w:id="537"/>
      <w:bookmarkStart w:name="_Toc129702751" w:id="538"/>
      <w:bookmarkStart w:name="_Toc130231444" w:id="539"/>
      <w:bookmarkStart w:name="_Toc130231856" w:id="540"/>
      <w:bookmarkStart w:name="_Toc130232405" w:id="541"/>
      <w:bookmarkStart w:name="_Toc130232794" w:id="542"/>
      <w:bookmarkStart w:name="_Toc135903119" w:id="543"/>
      <w:bookmarkStart w:name="_Toc199511968" w:id="544"/>
      <w:bookmarkStart w:name="_Toc1008587603" w:id="545"/>
      <w:bookmarkStart w:name="_Toc573852217" w:id="546"/>
      <w:bookmarkStart w:name="_Toc1662520335" w:id="547"/>
      <w:bookmarkStart w:name="_Toc28323577" w:id="548"/>
      <w:bookmarkStart w:name="_Toc566502323" w:id="549"/>
      <w:bookmarkStart w:name="_Toc227165579" w:id="550"/>
      <w:bookmarkStart w:name="_Toc324405923" w:id="551"/>
      <w:bookmarkStart w:name="_Toc1160616693" w:id="552"/>
      <w:bookmarkStart w:name="_Toc383645892" w:id="553"/>
      <w:bookmarkStart w:name="_Toc916435190" w:id="554"/>
      <w:bookmarkStart w:name="_Toc419115568" w:id="555"/>
      <w:bookmarkStart w:name="_Toc2006883003" w:id="556"/>
      <w:bookmarkStart w:name="_Toc1792803215" w:id="557"/>
      <w:bookmarkStart w:name="_Toc120133430" w:id="558"/>
      <w:bookmarkStart w:name="_Toc485132591" w:id="559"/>
      <w:bookmarkStart w:name="_Toc951905829" w:id="560"/>
      <w:bookmarkStart w:name="_Toc388271168" w:id="561"/>
      <w:bookmarkStart w:name="_Toc1846670113" w:id="562"/>
      <w:bookmarkStart w:name="_Toc1414954177" w:id="563"/>
      <w:bookmarkStart w:name="_Toc185011645" w:id="564"/>
      <w:bookmarkStart w:name="_Toc1513831893" w:id="565"/>
      <w:bookmarkStart w:name="_Toc481151425" w:id="566"/>
      <w:bookmarkStart w:name="_Toc520049383" w:id="567"/>
      <w:bookmarkStart w:name="_Toc1653790488" w:id="568"/>
      <w:bookmarkStart w:name="_Toc1291192232" w:id="569"/>
      <w:bookmarkStart w:name="_Toc160577295" w:id="570"/>
      <w:bookmarkStart w:name="_Toc210292974" w:id="571"/>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r>
        <w:rPr>
          <w:lang w:val="es-ES"/>
        </w:rPr>
        <w:t>Insuficiencias en la p</w:t>
      </w:r>
      <w:r w:rsidRPr="287A971D" w:rsidR="5EFA0007">
        <w:rPr>
          <w:lang w:val="es-ES"/>
        </w:rPr>
        <w:t xml:space="preserve">lanificación </w:t>
      </w:r>
      <w:r>
        <w:rPr>
          <w:lang w:val="es-ES"/>
        </w:rPr>
        <w:t>y</w:t>
      </w:r>
      <w:r w:rsidRPr="287A971D" w:rsidR="5EFA0007">
        <w:rPr>
          <w:lang w:val="es-ES"/>
        </w:rPr>
        <w:t xml:space="preserve"> el ordenamiento minero-ambiental</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rsidRPr="00203C6E" w:rsidR="00C443D6" w:rsidP="00C443D6" w:rsidRDefault="00C443D6" w14:paraId="6E2C1737" w14:textId="77777777">
      <w:pPr>
        <w:rPr>
          <w:lang w:val="es-ES"/>
        </w:rPr>
      </w:pPr>
    </w:p>
    <w:p w:rsidR="00A07C03" w:rsidP="00A07C03" w:rsidRDefault="3378FECB" w14:paraId="75623DDE" w14:textId="181BDD45">
      <w:pPr>
        <w:jc w:val="both"/>
        <w:rPr>
          <w:rStyle w:val="normaltextrun"/>
          <w:rFonts w:cs="Arial"/>
        </w:rPr>
      </w:pPr>
      <w:r w:rsidRPr="769A4CE5">
        <w:rPr>
          <w:rStyle w:val="normaltextrun"/>
          <w:rFonts w:cs="Arial"/>
        </w:rPr>
        <w:t xml:space="preserve">Colombia cuenta con mecanismos para la protección y gestión de los recursos mineros y ambientales, </w:t>
      </w:r>
      <w:r w:rsidRPr="769A4CE5" w:rsidR="0D22309B">
        <w:rPr>
          <w:rStyle w:val="normaltextrun"/>
          <w:rFonts w:cs="Arial"/>
        </w:rPr>
        <w:t xml:space="preserve">no obstante, </w:t>
      </w:r>
      <w:r w:rsidRPr="769A4CE5">
        <w:rPr>
          <w:rStyle w:val="normaltextrun"/>
          <w:rFonts w:cs="Arial"/>
        </w:rPr>
        <w:t xml:space="preserve">la compatibilidad entre la explotación de minerales y la efectiva protección las áreas protegidas y las áreas de especial importancia ecológica, ha sido materia de desacuerdos. </w:t>
      </w:r>
    </w:p>
    <w:p w:rsidR="00A140E9" w:rsidP="00A140E9" w:rsidRDefault="2369E736" w14:paraId="5C02DB18" w14:textId="607FC562">
      <w:pPr>
        <w:jc w:val="both"/>
        <w:rPr>
          <w:rStyle w:val="normaltextrun"/>
          <w:rFonts w:cs="Arial"/>
        </w:rPr>
      </w:pPr>
      <w:r w:rsidRPr="769A4CE5">
        <w:rPr>
          <w:rStyle w:val="normaltextrun"/>
          <w:rFonts w:cs="Arial"/>
        </w:rPr>
        <w:t>El fallo del Consejo de Estado del 4 de agosto de 2022 exige al Estado definir dónde es posible desarrollar la minería y cuáles son las zonas donde por razones ambientales esa actividad no se puede desarrollar, por lo tanto, se ordenó a las autoridades mineras y ambientales actualizar la información sobre las áreas donde está permitida y donde se debe excluir la actividad minera.</w:t>
      </w:r>
    </w:p>
    <w:p w:rsidR="00A140E9" w:rsidP="00A140E9" w:rsidRDefault="6F70AB16" w14:paraId="749C0082" w14:textId="6FBE521A">
      <w:pPr>
        <w:jc w:val="both"/>
        <w:rPr>
          <w:rStyle w:val="eop"/>
        </w:rPr>
      </w:pPr>
      <w:r w:rsidRPr="09C2734D">
        <w:rPr>
          <w:rStyle w:val="eop"/>
        </w:rPr>
        <w:t xml:space="preserve">En la </w:t>
      </w:r>
      <w:r w:rsidRPr="09C2734D" w:rsidR="24FCCE73">
        <w:rPr>
          <w:rStyle w:val="eop"/>
        </w:rPr>
        <w:t xml:space="preserve">ilustración 2 </w:t>
      </w:r>
      <w:r w:rsidRPr="09C2734D">
        <w:rPr>
          <w:rStyle w:val="eop"/>
        </w:rPr>
        <w:t xml:space="preserve">se </w:t>
      </w:r>
      <w:r w:rsidRPr="09C2734D" w:rsidR="263421BA">
        <w:rPr>
          <w:rStyle w:val="eop"/>
        </w:rPr>
        <w:t>refleja</w:t>
      </w:r>
      <w:r w:rsidRPr="09C2734D">
        <w:rPr>
          <w:rStyle w:val="eop"/>
        </w:rPr>
        <w:t xml:space="preserve"> la</w:t>
      </w:r>
      <w:r w:rsidRPr="09C2734D" w:rsidR="24FCCE73">
        <w:rPr>
          <w:rStyle w:val="eop"/>
        </w:rPr>
        <w:t xml:space="preserve"> superposición de títulos mineros con áreas </w:t>
      </w:r>
      <w:r w:rsidRPr="09C2734D" w:rsidR="78AC18CF">
        <w:rPr>
          <w:rStyle w:val="eop"/>
        </w:rPr>
        <w:t>de especial importancia ambiental</w:t>
      </w:r>
      <w:r w:rsidRPr="09C2734D" w:rsidR="263421BA">
        <w:rPr>
          <w:rStyle w:val="eop"/>
        </w:rPr>
        <w:t>,</w:t>
      </w:r>
      <w:r w:rsidRPr="09C2734D">
        <w:rPr>
          <w:rStyle w:val="eop"/>
        </w:rPr>
        <w:t xml:space="preserve"> </w:t>
      </w:r>
      <w:r w:rsidRPr="09C2734D" w:rsidR="263421BA">
        <w:rPr>
          <w:rStyle w:val="eop"/>
        </w:rPr>
        <w:t>a corte de</w:t>
      </w:r>
      <w:r w:rsidRPr="09C2734D">
        <w:rPr>
          <w:rStyle w:val="eop"/>
        </w:rPr>
        <w:t xml:space="preserve"> 2025</w:t>
      </w:r>
      <w:r w:rsidRPr="09C2734D" w:rsidR="263421BA">
        <w:rPr>
          <w:rStyle w:val="eop"/>
        </w:rPr>
        <w:t>, y una</w:t>
      </w:r>
      <w:r w:rsidRPr="09C2734D" w:rsidR="24FCCE73">
        <w:rPr>
          <w:rStyle w:val="eop"/>
        </w:rPr>
        <w:t xml:space="preserve"> de las situaciones más alarmantes en este sentido tiene que ver con la superposición de proyectos mineros con complejos de páramos. Para septiembre de 2023 se tenían en inmediaciones de 25 complejos de páramos, 243 títulos mineros vigentes cuya área se traslapa tanto parcial como totalmente en 31.83</w:t>
      </w:r>
      <w:r w:rsidRPr="09C2734D" w:rsidR="52D8C5A5">
        <w:rPr>
          <w:rStyle w:val="eop"/>
        </w:rPr>
        <w:t>7</w:t>
      </w:r>
      <w:r w:rsidRPr="09C2734D" w:rsidR="24FCCE73">
        <w:rPr>
          <w:rStyle w:val="eop"/>
        </w:rPr>
        <w:t xml:space="preserve"> hectáreas, equivalente al 1,12% del total de área de los 37 complejos de páramo existentes en el territorio nacional.</w:t>
      </w:r>
    </w:p>
    <w:p w:rsidR="31226965" w:rsidP="31226965" w:rsidRDefault="31226965" w14:paraId="1A98893F" w14:textId="23CCDC18">
      <w:pPr>
        <w:pStyle w:val="Caption"/>
      </w:pPr>
    </w:p>
    <w:p w:rsidR="002866BD" w:rsidP="002232B5" w:rsidRDefault="002232B5" w14:paraId="22E1C767" w14:textId="3F77F7DD">
      <w:pPr>
        <w:pStyle w:val="Caption"/>
        <w:rPr>
          <w:rStyle w:val="normaltextrun"/>
          <w:rFonts w:cs="Arial"/>
          <w:color w:val="000000"/>
          <w:lang w:val="es-ES"/>
        </w:rPr>
      </w:pPr>
      <w:bookmarkStart w:name="_Toc210292702" w:id="572"/>
      <w:r>
        <w:t xml:space="preserve">Ilustración </w:t>
      </w:r>
      <w:r>
        <w:fldChar w:fldCharType="begin"/>
      </w:r>
      <w:r>
        <w:instrText>SEQ Ilustración \* ARABIC</w:instrText>
      </w:r>
      <w:r>
        <w:fldChar w:fldCharType="separate"/>
      </w:r>
      <w:r w:rsidR="00DD6760">
        <w:rPr>
          <w:noProof/>
        </w:rPr>
        <w:t>2</w:t>
      </w:r>
      <w:r>
        <w:fldChar w:fldCharType="end"/>
      </w:r>
      <w:r w:rsidR="001F6847">
        <w:t>. Títulos Mineros Vigentes y áreas de especial importancia ambiental.</w:t>
      </w:r>
      <w:bookmarkEnd w:id="572"/>
    </w:p>
    <w:p w:rsidR="002866BD" w:rsidP="00A07C03" w:rsidRDefault="00EC6B0A" w14:paraId="2E25160C" w14:textId="6FEABDC3">
      <w:pPr>
        <w:jc w:val="center"/>
        <w:rPr>
          <w:rStyle w:val="normaltextrun"/>
          <w:rFonts w:cs="Arial"/>
          <w:color w:val="000000"/>
          <w:lang w:val="es-ES"/>
        </w:rPr>
      </w:pPr>
      <w:r>
        <w:rPr>
          <w:rFonts w:cs="Arial"/>
          <w:noProof/>
          <w:color w:val="000000"/>
          <w:lang w:val="es-ES"/>
        </w:rPr>
        <w:drawing>
          <wp:inline distT="0" distB="0" distL="0" distR="0" wp14:anchorId="32E1BCB3" wp14:editId="62A55AF2">
            <wp:extent cx="4469765" cy="6101898"/>
            <wp:effectExtent l="0" t="0" r="6985" b="0"/>
            <wp:docPr id="979601124" name="Imagen 3"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01124" name="Imagen 3" descr="Mapa&#10;&#10;El contenido generado por IA puede ser incorrecto."/>
                    <pic:cNvPicPr/>
                  </pic:nvPicPr>
                  <pic:blipFill rotWithShape="1">
                    <a:blip r:embed="rId17" cstate="print">
                      <a:extLst>
                        <a:ext uri="{28A0092B-C50C-407E-A947-70E740481C1C}">
                          <a14:useLocalDpi xmlns:a14="http://schemas.microsoft.com/office/drawing/2010/main" val="0"/>
                        </a:ext>
                      </a:extLst>
                    </a:blip>
                    <a:srcRect t="1217" b="1268"/>
                    <a:stretch>
                      <a:fillRect/>
                    </a:stretch>
                  </pic:blipFill>
                  <pic:spPr bwMode="auto">
                    <a:xfrm>
                      <a:off x="0" y="0"/>
                      <a:ext cx="4500127" cy="6143347"/>
                    </a:xfrm>
                    <a:prstGeom prst="rect">
                      <a:avLst/>
                    </a:prstGeom>
                    <a:ln>
                      <a:noFill/>
                    </a:ln>
                    <a:extLst>
                      <a:ext uri="{53640926-AAD7-44D8-BBD7-CCE9431645EC}">
                        <a14:shadowObscured xmlns:a14="http://schemas.microsoft.com/office/drawing/2010/main"/>
                      </a:ext>
                    </a:extLst>
                  </pic:spPr>
                </pic:pic>
              </a:graphicData>
            </a:graphic>
          </wp:inline>
        </w:drawing>
      </w:r>
    </w:p>
    <w:p w:rsidRPr="00EC6B0A" w:rsidR="001F6847" w:rsidP="001F6847" w:rsidRDefault="001F6847" w14:paraId="7E0844B1" w14:textId="6F6F7F46">
      <w:pPr>
        <w:pStyle w:val="Caption"/>
        <w:rPr>
          <w:b w:val="0"/>
        </w:rPr>
      </w:pPr>
      <w:r w:rsidRPr="287A971D">
        <w:rPr>
          <w:rStyle w:val="normaltextrun"/>
          <w:b w:val="0"/>
          <w:bCs w:val="0"/>
          <w:color w:val="000000" w:themeColor="text1"/>
          <w:lang w:val="es-ES"/>
        </w:rPr>
        <w:t>Fuente: Ministerio de Ambiente y Desarrollo Sostenible 2</w:t>
      </w:r>
      <w:r w:rsidRPr="287A971D" w:rsidR="00EC6B0A">
        <w:rPr>
          <w:rStyle w:val="normaltextrun"/>
          <w:b w:val="0"/>
          <w:bCs w:val="0"/>
          <w:color w:val="000000" w:themeColor="text1"/>
          <w:lang w:val="es-ES"/>
        </w:rPr>
        <w:t>025</w:t>
      </w:r>
      <w:r w:rsidRPr="287A971D">
        <w:rPr>
          <w:rStyle w:val="normaltextrun"/>
          <w:b w:val="0"/>
          <w:bCs w:val="0"/>
          <w:color w:val="000000" w:themeColor="text1"/>
          <w:lang w:val="es-ES"/>
        </w:rPr>
        <w:t>.</w:t>
      </w:r>
    </w:p>
    <w:p w:rsidR="00A07C03" w:rsidP="00A07C03" w:rsidRDefault="00A07C03" w14:paraId="7A1BC221" w14:textId="77777777">
      <w:pPr>
        <w:pStyle w:val="paragraph"/>
        <w:spacing w:before="0" w:beforeAutospacing="0" w:after="0" w:afterAutospacing="0"/>
        <w:textAlignment w:val="baseline"/>
        <w:rPr>
          <w:rStyle w:val="eop"/>
          <w:rFonts w:asciiTheme="minorHAnsi" w:hAnsiTheme="minorHAnsi" w:eastAsiaTheme="majorEastAsia" w:cstheme="minorHAnsi"/>
          <w:color w:val="000000"/>
          <w:sz w:val="22"/>
          <w:szCs w:val="22"/>
        </w:rPr>
      </w:pPr>
    </w:p>
    <w:p w:rsidRPr="001F6847" w:rsidR="000D1124" w:rsidP="000D1124" w:rsidRDefault="000D1124" w14:paraId="2D79D898" w14:textId="08921D55">
      <w:pPr>
        <w:pStyle w:val="paragraph"/>
        <w:spacing w:before="0" w:beforeAutospacing="0" w:after="0" w:afterAutospacing="0"/>
        <w:textAlignment w:val="baseline"/>
        <w:rPr>
          <w:rStyle w:val="eop"/>
          <w:rFonts w:asciiTheme="minorHAnsi" w:hAnsiTheme="minorHAnsi" w:eastAsiaTheme="minorEastAsia" w:cstheme="minorBidi"/>
          <w:kern w:val="2"/>
          <w:sz w:val="22"/>
          <w:szCs w:val="22"/>
          <w:lang w:eastAsia="en-US"/>
          <w14:ligatures w14:val="standardContextual"/>
        </w:rPr>
      </w:pPr>
      <w:bookmarkStart w:name="_Toc135905562" w:id="573"/>
      <w:r w:rsidRPr="4989EE77">
        <w:rPr>
          <w:rStyle w:val="eop"/>
          <w:rFonts w:asciiTheme="minorHAnsi" w:hAnsiTheme="minorHAnsi" w:eastAsiaTheme="minorEastAsia" w:cstheme="minorBidi"/>
          <w:kern w:val="2"/>
          <w:sz w:val="22"/>
          <w:szCs w:val="22"/>
          <w:lang w:eastAsia="en-US"/>
          <w14:ligatures w14:val="standardContextual"/>
        </w:rPr>
        <w:t>Bajo la categorización de los territorios ambientalmente protegidos como excluibles, restrictivos e informativos se encontraron en septiembre de 2023 las siguientes cifras de superposición:</w:t>
      </w:r>
    </w:p>
    <w:bookmarkEnd w:id="573"/>
    <w:p w:rsidR="00DF2609" w:rsidP="000903EB" w:rsidRDefault="00DF2609" w14:paraId="33503BFD" w14:textId="77777777">
      <w:pPr>
        <w:pStyle w:val="Caption"/>
      </w:pPr>
    </w:p>
    <w:p w:rsidR="17F8AA9B" w:rsidP="17F8AA9B" w:rsidRDefault="17F8AA9B" w14:paraId="415CC254" w14:textId="60D9C19E"/>
    <w:p w:rsidR="17F8AA9B" w:rsidP="17F8AA9B" w:rsidRDefault="17F8AA9B" w14:paraId="41B26D4C" w14:textId="3B54B6CE"/>
    <w:p w:rsidR="000D1124" w:rsidP="00012130" w:rsidRDefault="00012130" w14:paraId="0F4EA58D" w14:textId="3E54ABD3">
      <w:pPr>
        <w:pStyle w:val="Caption"/>
      </w:pPr>
      <w:bookmarkStart w:name="_Toc209191830" w:id="574"/>
      <w:r>
        <w:t xml:space="preserve">Tabla </w:t>
      </w:r>
      <w:r>
        <w:fldChar w:fldCharType="begin"/>
      </w:r>
      <w:r>
        <w:instrText>SEQ Tabla \* ARABIC</w:instrText>
      </w:r>
      <w:r>
        <w:fldChar w:fldCharType="separate"/>
      </w:r>
      <w:r w:rsidRPr="09C2734D" w:rsidR="00DD6760">
        <w:rPr>
          <w:noProof/>
        </w:rPr>
        <w:t>1</w:t>
      </w:r>
      <w:r>
        <w:fldChar w:fldCharType="end"/>
      </w:r>
      <w:r>
        <w:t>. Superposición de áreas mineras con áreas de especial importancia ambienta</w:t>
      </w:r>
      <w:r w:rsidR="1459D605">
        <w:t>l</w:t>
      </w:r>
      <w:bookmarkStart w:name="_Hlk199492331" w:id="575"/>
      <w:bookmarkEnd w:id="574"/>
      <w:r>
        <w:t xml:space="preserve"> </w:t>
      </w:r>
    </w:p>
    <w:tbl>
      <w:tblPr>
        <w:tblStyle w:val="GridTable1Light"/>
        <w:tblW w:w="8784" w:type="dxa"/>
        <w:jc w:val="center"/>
        <w:tblLayout w:type="fixed"/>
        <w:tblLook w:val="04A0" w:firstRow="1" w:lastRow="0" w:firstColumn="1" w:lastColumn="0" w:noHBand="0" w:noVBand="1"/>
      </w:tblPr>
      <w:tblGrid>
        <w:gridCol w:w="3681"/>
        <w:gridCol w:w="1701"/>
        <w:gridCol w:w="1701"/>
        <w:gridCol w:w="1701"/>
      </w:tblGrid>
      <w:tr w:rsidR="000D1124" w:rsidTr="09C2734D" w14:paraId="2C014F9F" w14:textId="7777777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8784" w:type="dxa"/>
            <w:gridSpan w:val="4"/>
            <w:shd w:val="clear" w:color="auto" w:fill="DBDBDB" w:themeFill="accent3" w:themeFillTint="66"/>
          </w:tcPr>
          <w:bookmarkEnd w:id="575"/>
          <w:p w:rsidRPr="002A3C66" w:rsidR="000D1124" w:rsidRDefault="000D1124" w14:paraId="5731C938" w14:textId="77777777">
            <w:pPr>
              <w:jc w:val="center"/>
              <w:rPr>
                <w:rFonts w:ascii="Calibri" w:hAnsi="Calibri" w:eastAsia="Calibri" w:cs="Calibri"/>
                <w:caps/>
                <w:color w:val="000000" w:themeColor="text1"/>
                <w:sz w:val="20"/>
                <w:szCs w:val="20"/>
              </w:rPr>
            </w:pPr>
            <w:r w:rsidRPr="09C2734D">
              <w:rPr>
                <w:rFonts w:ascii="Calibri" w:hAnsi="Calibri" w:eastAsia="Calibri" w:cs="Calibri"/>
                <w:caps/>
                <w:color w:val="000000" w:themeColor="text1"/>
                <w:sz w:val="20"/>
                <w:szCs w:val="20"/>
              </w:rPr>
              <w:t>CANTIDAD DE PROYECTOS MINEROS SUPERPUESTOS</w:t>
            </w:r>
          </w:p>
        </w:tc>
      </w:tr>
      <w:tr w:rsidR="000D1124" w:rsidTr="09C2734D" w14:paraId="131F0DF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tcPr>
          <w:p w:rsidRPr="002A3C66" w:rsidR="000D1124" w:rsidRDefault="000D1124" w14:paraId="49585E47" w14:textId="77777777">
            <w:pPr>
              <w:jc w:val="center"/>
              <w:rPr>
                <w:sz w:val="20"/>
                <w:szCs w:val="20"/>
              </w:rPr>
            </w:pPr>
            <w:r w:rsidRPr="002A3C66">
              <w:rPr>
                <w:rFonts w:ascii="Calibri" w:hAnsi="Calibri" w:eastAsia="Calibri" w:cs="Calibri"/>
                <w:caps/>
                <w:color w:val="000000" w:themeColor="text1"/>
                <w:sz w:val="20"/>
                <w:szCs w:val="20"/>
              </w:rPr>
              <w:t>FIGURAS PROYECTO MINERO</w:t>
            </w:r>
          </w:p>
        </w:tc>
        <w:tc>
          <w:tcPr>
            <w:tcW w:w="1701" w:type="dxa"/>
          </w:tcPr>
          <w:p w:rsidRPr="002A3C66" w:rsidR="000D1124" w:rsidRDefault="000D1124" w14:paraId="5E25A9A0"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b/>
                <w:bCs/>
                <w:caps/>
                <w:color w:val="000000" w:themeColor="text1"/>
                <w:sz w:val="20"/>
                <w:szCs w:val="20"/>
              </w:rPr>
              <w:t>EXCLUIBLES</w:t>
            </w:r>
          </w:p>
        </w:tc>
        <w:tc>
          <w:tcPr>
            <w:tcW w:w="1701" w:type="dxa"/>
          </w:tcPr>
          <w:p w:rsidRPr="002A3C66" w:rsidR="000D1124" w:rsidRDefault="000D1124" w14:paraId="65E9452D"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b/>
                <w:bCs/>
                <w:caps/>
                <w:color w:val="000000" w:themeColor="text1"/>
                <w:sz w:val="20"/>
                <w:szCs w:val="20"/>
              </w:rPr>
              <w:t>RESTRICTIVAS</w:t>
            </w:r>
          </w:p>
        </w:tc>
        <w:tc>
          <w:tcPr>
            <w:tcW w:w="1701" w:type="dxa"/>
          </w:tcPr>
          <w:p w:rsidRPr="002A3C66" w:rsidR="000D1124" w:rsidRDefault="000D1124" w14:paraId="410FB853"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b/>
                <w:bCs/>
                <w:caps/>
                <w:color w:val="000000" w:themeColor="text1"/>
                <w:sz w:val="20"/>
                <w:szCs w:val="20"/>
              </w:rPr>
              <w:t>INFORMATIVAS</w:t>
            </w:r>
          </w:p>
        </w:tc>
      </w:tr>
      <w:tr w:rsidR="000D1124" w:rsidTr="09C2734D" w14:paraId="04212D23"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tcPr>
          <w:p w:rsidRPr="002A3C66" w:rsidR="000D1124" w:rsidRDefault="000D1124" w14:paraId="2968617A" w14:textId="77777777">
            <w:pPr>
              <w:rPr>
                <w:sz w:val="20"/>
                <w:szCs w:val="20"/>
              </w:rPr>
            </w:pPr>
            <w:r w:rsidRPr="002A3C66">
              <w:rPr>
                <w:rFonts w:ascii="Calibri" w:hAnsi="Calibri" w:eastAsia="Calibri" w:cs="Calibri"/>
                <w:smallCaps/>
                <w:color w:val="000000" w:themeColor="text1"/>
                <w:sz w:val="20"/>
                <w:szCs w:val="20"/>
              </w:rPr>
              <w:t>títulos mineros</w:t>
            </w:r>
          </w:p>
        </w:tc>
        <w:tc>
          <w:tcPr>
            <w:tcW w:w="1701" w:type="dxa"/>
          </w:tcPr>
          <w:p w:rsidRPr="002A3C66" w:rsidR="000D1124" w:rsidRDefault="000D1124" w14:paraId="24705280"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827</w:t>
            </w:r>
          </w:p>
        </w:tc>
        <w:tc>
          <w:tcPr>
            <w:tcW w:w="1701" w:type="dxa"/>
          </w:tcPr>
          <w:p w:rsidRPr="002A3C66" w:rsidR="000D1124" w:rsidRDefault="000D1124" w14:paraId="0419AF6D" w14:textId="7AB573A5">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1.1</w:t>
            </w:r>
            <w:r w:rsidR="00435D05">
              <w:rPr>
                <w:rFonts w:ascii="Calibri" w:hAnsi="Calibri" w:eastAsia="Calibri" w:cs="Calibri"/>
                <w:color w:val="000000" w:themeColor="text1"/>
                <w:sz w:val="20"/>
                <w:szCs w:val="20"/>
              </w:rPr>
              <w:t>61</w:t>
            </w:r>
          </w:p>
        </w:tc>
        <w:tc>
          <w:tcPr>
            <w:tcW w:w="1701" w:type="dxa"/>
          </w:tcPr>
          <w:p w:rsidRPr="002A3C66" w:rsidR="000D1124" w:rsidRDefault="00435D05" w14:paraId="686BA18B" w14:textId="731F69A3">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eastAsia="Calibri" w:cs="Calibri"/>
                <w:color w:val="000000" w:themeColor="text1"/>
                <w:sz w:val="20"/>
                <w:szCs w:val="20"/>
              </w:rPr>
              <w:t>921</w:t>
            </w:r>
          </w:p>
        </w:tc>
      </w:tr>
      <w:tr w:rsidR="000D1124" w:rsidTr="09C2734D" w14:paraId="1FEE816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tcPr>
          <w:p w:rsidRPr="002A3C66" w:rsidR="000D1124" w:rsidRDefault="537ACC06" w14:paraId="07CD50D0" w14:textId="5A27DD1C">
            <w:pPr>
              <w:rPr>
                <w:sz w:val="20"/>
                <w:szCs w:val="20"/>
              </w:rPr>
            </w:pPr>
            <w:r w:rsidRPr="769A4CE5">
              <w:rPr>
                <w:rFonts w:ascii="Calibri" w:hAnsi="Calibri" w:eastAsia="Calibri" w:cs="Calibri"/>
                <w:smallCaps/>
                <w:color w:val="000000" w:themeColor="text1"/>
                <w:sz w:val="20"/>
                <w:szCs w:val="20"/>
              </w:rPr>
              <w:t xml:space="preserve">títulos mineros - sabana de </w:t>
            </w:r>
            <w:r w:rsidRPr="769A4CE5" w:rsidR="0A96DDB2">
              <w:rPr>
                <w:rFonts w:ascii="Calibri" w:hAnsi="Calibri" w:eastAsia="Calibri" w:cs="Calibri"/>
                <w:smallCaps/>
                <w:color w:val="000000" w:themeColor="text1"/>
                <w:sz w:val="20"/>
                <w:szCs w:val="20"/>
              </w:rPr>
              <w:t>Bogotá</w:t>
            </w:r>
          </w:p>
        </w:tc>
        <w:tc>
          <w:tcPr>
            <w:tcW w:w="1701" w:type="dxa"/>
          </w:tcPr>
          <w:p w:rsidRPr="002A3C66" w:rsidR="000D1124" w:rsidRDefault="000D1124" w14:paraId="6AA1FEC5"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153</w:t>
            </w:r>
          </w:p>
        </w:tc>
        <w:tc>
          <w:tcPr>
            <w:tcW w:w="1701" w:type="dxa"/>
          </w:tcPr>
          <w:p w:rsidRPr="002A3C66" w:rsidR="000D1124" w:rsidRDefault="000D1124" w14:paraId="63B7C925" w14:textId="77777777">
            <w:pPr>
              <w:cnfStyle w:val="000000000000" w:firstRow="0" w:lastRow="0" w:firstColumn="0" w:lastColumn="0" w:oddVBand="0" w:evenVBand="0" w:oddHBand="0" w:evenHBand="0" w:firstRowFirstColumn="0" w:firstRowLastColumn="0" w:lastRowFirstColumn="0" w:lastRowLastColumn="0"/>
              <w:rPr>
                <w:sz w:val="20"/>
                <w:szCs w:val="20"/>
              </w:rPr>
            </w:pPr>
          </w:p>
        </w:tc>
        <w:tc>
          <w:tcPr>
            <w:tcW w:w="1701" w:type="dxa"/>
          </w:tcPr>
          <w:p w:rsidRPr="002A3C66" w:rsidR="000D1124" w:rsidRDefault="000D1124" w14:paraId="1CAC7AC4" w14:textId="77777777">
            <w:pPr>
              <w:cnfStyle w:val="000000000000" w:firstRow="0" w:lastRow="0" w:firstColumn="0" w:lastColumn="0" w:oddVBand="0" w:evenVBand="0" w:oddHBand="0" w:evenHBand="0" w:firstRowFirstColumn="0" w:firstRowLastColumn="0" w:lastRowFirstColumn="0" w:lastRowLastColumn="0"/>
              <w:rPr>
                <w:sz w:val="20"/>
                <w:szCs w:val="20"/>
              </w:rPr>
            </w:pPr>
          </w:p>
        </w:tc>
      </w:tr>
      <w:tr w:rsidR="000D1124" w:rsidTr="09C2734D" w14:paraId="6C410B41"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tcPr>
          <w:p w:rsidRPr="002A3C66" w:rsidR="000D1124" w:rsidRDefault="000D1124" w14:paraId="1BE6275A" w14:textId="77777777">
            <w:pPr>
              <w:rPr>
                <w:sz w:val="20"/>
                <w:szCs w:val="20"/>
              </w:rPr>
            </w:pPr>
            <w:r w:rsidRPr="002A3C66">
              <w:rPr>
                <w:rFonts w:ascii="Calibri" w:hAnsi="Calibri" w:eastAsia="Calibri" w:cs="Calibri"/>
                <w:smallCaps/>
                <w:color w:val="000000" w:themeColor="text1"/>
                <w:sz w:val="20"/>
                <w:szCs w:val="20"/>
              </w:rPr>
              <w:t>subcontratos</w:t>
            </w:r>
          </w:p>
        </w:tc>
        <w:tc>
          <w:tcPr>
            <w:tcW w:w="1701" w:type="dxa"/>
          </w:tcPr>
          <w:p w:rsidRPr="002A3C66" w:rsidR="000D1124" w:rsidRDefault="000D1124" w14:paraId="67807B9D"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26</w:t>
            </w:r>
          </w:p>
        </w:tc>
        <w:tc>
          <w:tcPr>
            <w:tcW w:w="1701" w:type="dxa"/>
          </w:tcPr>
          <w:p w:rsidRPr="002A3C66" w:rsidR="000D1124" w:rsidRDefault="000D1124" w14:paraId="471320A8"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2</w:t>
            </w:r>
          </w:p>
        </w:tc>
        <w:tc>
          <w:tcPr>
            <w:tcW w:w="1701" w:type="dxa"/>
          </w:tcPr>
          <w:p w:rsidRPr="002A3C66" w:rsidR="000D1124" w:rsidRDefault="000D1124" w14:paraId="43D8B914"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12</w:t>
            </w:r>
          </w:p>
        </w:tc>
      </w:tr>
      <w:tr w:rsidR="000D1124" w:rsidTr="09C2734D" w14:paraId="0E1DE98F"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tcPr>
          <w:p w:rsidRPr="002A3C66" w:rsidR="000D1124" w:rsidRDefault="000D1124" w14:paraId="1659B866" w14:textId="77777777">
            <w:pPr>
              <w:rPr>
                <w:sz w:val="20"/>
                <w:szCs w:val="20"/>
              </w:rPr>
            </w:pPr>
            <w:r w:rsidRPr="002A3C66">
              <w:rPr>
                <w:rFonts w:ascii="Calibri" w:hAnsi="Calibri" w:eastAsia="Calibri" w:cs="Calibri"/>
                <w:smallCaps/>
                <w:color w:val="000000" w:themeColor="text1"/>
                <w:sz w:val="20"/>
                <w:szCs w:val="20"/>
              </w:rPr>
              <w:t>solicitudes de legalización</w:t>
            </w:r>
          </w:p>
        </w:tc>
        <w:tc>
          <w:tcPr>
            <w:tcW w:w="1701" w:type="dxa"/>
          </w:tcPr>
          <w:p w:rsidRPr="002A3C66" w:rsidR="000D1124" w:rsidRDefault="000D1124" w14:paraId="0B03D73B"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16</w:t>
            </w:r>
          </w:p>
        </w:tc>
        <w:tc>
          <w:tcPr>
            <w:tcW w:w="1701" w:type="dxa"/>
          </w:tcPr>
          <w:p w:rsidRPr="002A3C66" w:rsidR="000D1124" w:rsidRDefault="000D1124" w14:paraId="2D64B26C"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sz w:val="20"/>
                <w:szCs w:val="20"/>
              </w:rPr>
              <w:t>125</w:t>
            </w:r>
          </w:p>
        </w:tc>
        <w:tc>
          <w:tcPr>
            <w:tcW w:w="1701" w:type="dxa"/>
          </w:tcPr>
          <w:p w:rsidRPr="002A3C66" w:rsidR="000D1124" w:rsidRDefault="000D1124" w14:paraId="0B1DB7B9" w14:textId="27E7336E">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sz w:val="20"/>
                <w:szCs w:val="20"/>
              </w:rPr>
              <w:t>7</w:t>
            </w:r>
            <w:r w:rsidR="00435D05">
              <w:rPr>
                <w:rFonts w:ascii="Calibri" w:hAnsi="Calibri" w:eastAsia="Calibri" w:cs="Calibri"/>
                <w:sz w:val="20"/>
                <w:szCs w:val="20"/>
              </w:rPr>
              <w:t>4</w:t>
            </w:r>
          </w:p>
        </w:tc>
      </w:tr>
      <w:tr w:rsidR="000D1124" w:rsidTr="09C2734D" w14:paraId="5F1E7EAD"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tcPr>
          <w:p w:rsidRPr="002A3C66" w:rsidR="000D1124" w:rsidRDefault="000D1124" w14:paraId="2C95D304" w14:textId="77777777">
            <w:pPr>
              <w:rPr>
                <w:sz w:val="20"/>
                <w:szCs w:val="20"/>
              </w:rPr>
            </w:pPr>
            <w:r w:rsidRPr="002A3C66">
              <w:rPr>
                <w:rFonts w:ascii="Calibri" w:hAnsi="Calibri" w:eastAsia="Calibri" w:cs="Calibri"/>
                <w:smallCaps/>
                <w:color w:val="000000" w:themeColor="text1"/>
                <w:sz w:val="20"/>
                <w:szCs w:val="20"/>
              </w:rPr>
              <w:t>solicitudes área de reserva especial</w:t>
            </w:r>
          </w:p>
        </w:tc>
        <w:tc>
          <w:tcPr>
            <w:tcW w:w="1701" w:type="dxa"/>
          </w:tcPr>
          <w:p w:rsidRPr="002A3C66" w:rsidR="000D1124" w:rsidRDefault="000D1124" w14:paraId="0ACCFF8C"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3</w:t>
            </w:r>
          </w:p>
        </w:tc>
        <w:tc>
          <w:tcPr>
            <w:tcW w:w="1701" w:type="dxa"/>
          </w:tcPr>
          <w:p w:rsidRPr="002A3C66" w:rsidR="000D1124" w:rsidRDefault="00435D05" w14:paraId="75744F16" w14:textId="4EC25A46">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eastAsia="Calibri" w:cs="Calibri"/>
                <w:color w:val="000000" w:themeColor="text1"/>
                <w:sz w:val="20"/>
                <w:szCs w:val="20"/>
              </w:rPr>
              <w:t>39</w:t>
            </w:r>
          </w:p>
        </w:tc>
        <w:tc>
          <w:tcPr>
            <w:tcW w:w="1701" w:type="dxa"/>
          </w:tcPr>
          <w:p w:rsidRPr="002A3C66" w:rsidR="000D1124" w:rsidRDefault="000D1124" w14:paraId="0A0AE5CC" w14:textId="0CB9124F">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3</w:t>
            </w:r>
            <w:r w:rsidR="00435D05">
              <w:rPr>
                <w:rFonts w:ascii="Calibri" w:hAnsi="Calibri" w:eastAsia="Calibri" w:cs="Calibri"/>
                <w:color w:val="000000" w:themeColor="text1"/>
                <w:sz w:val="20"/>
                <w:szCs w:val="20"/>
              </w:rPr>
              <w:t>4</w:t>
            </w:r>
          </w:p>
        </w:tc>
      </w:tr>
      <w:tr w:rsidR="000D1124" w:rsidTr="09C2734D" w14:paraId="06BE1FC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tcPr>
          <w:p w:rsidRPr="002A3C66" w:rsidR="000D1124" w:rsidRDefault="000D1124" w14:paraId="2FEE9C33" w14:textId="77777777">
            <w:pPr>
              <w:rPr>
                <w:sz w:val="20"/>
                <w:szCs w:val="20"/>
              </w:rPr>
            </w:pPr>
            <w:r w:rsidRPr="002A3C66">
              <w:rPr>
                <w:rFonts w:ascii="Calibri" w:hAnsi="Calibri" w:eastAsia="Calibri" w:cs="Calibri"/>
                <w:smallCaps/>
                <w:color w:val="000000" w:themeColor="text1"/>
                <w:sz w:val="20"/>
                <w:szCs w:val="20"/>
              </w:rPr>
              <w:t>área reserva especial en trámite</w:t>
            </w:r>
          </w:p>
        </w:tc>
        <w:tc>
          <w:tcPr>
            <w:tcW w:w="1701" w:type="dxa"/>
          </w:tcPr>
          <w:p w:rsidRPr="002A3C66" w:rsidR="000D1124" w:rsidRDefault="000D1124" w14:paraId="6FEB12D6"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5</w:t>
            </w:r>
          </w:p>
        </w:tc>
        <w:tc>
          <w:tcPr>
            <w:tcW w:w="1701" w:type="dxa"/>
          </w:tcPr>
          <w:p w:rsidRPr="002A3C66" w:rsidR="000D1124" w:rsidRDefault="000D1124" w14:paraId="283E926E"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sz w:val="20"/>
                <w:szCs w:val="20"/>
              </w:rPr>
              <w:t>9</w:t>
            </w:r>
          </w:p>
        </w:tc>
        <w:tc>
          <w:tcPr>
            <w:tcW w:w="1701" w:type="dxa"/>
          </w:tcPr>
          <w:p w:rsidRPr="002A3C66" w:rsidR="000D1124" w:rsidRDefault="00435D05" w14:paraId="03845504" w14:textId="41AF450C">
            <w:pPr>
              <w:jc w:val="center"/>
              <w:cnfStyle w:val="000000000000" w:firstRow="0" w:lastRow="0" w:firstColumn="0" w:lastColumn="0" w:oddVBand="0" w:evenVBand="0" w:oddHBand="0" w:evenHBand="0" w:firstRowFirstColumn="0" w:firstRowLastColumn="0" w:lastRowFirstColumn="0" w:lastRowLastColumn="0"/>
              <w:rPr>
                <w:sz w:val="20"/>
                <w:szCs w:val="20"/>
              </w:rPr>
            </w:pPr>
            <w:r>
              <w:rPr>
                <w:rFonts w:ascii="Calibri" w:hAnsi="Calibri" w:eastAsia="Calibri" w:cs="Calibri"/>
                <w:sz w:val="20"/>
                <w:szCs w:val="20"/>
              </w:rPr>
              <w:t>5</w:t>
            </w:r>
          </w:p>
        </w:tc>
      </w:tr>
      <w:tr w:rsidR="000D1124" w:rsidTr="09C2734D" w14:paraId="776BDD0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tcPr>
          <w:p w:rsidRPr="002A3C66" w:rsidR="000D1124" w:rsidRDefault="000D1124" w14:paraId="46D58D93" w14:textId="77777777">
            <w:pPr>
              <w:rPr>
                <w:sz w:val="20"/>
                <w:szCs w:val="20"/>
              </w:rPr>
            </w:pPr>
            <w:r w:rsidRPr="002A3C66">
              <w:rPr>
                <w:rFonts w:ascii="Calibri" w:hAnsi="Calibri" w:eastAsia="Calibri" w:cs="Calibri"/>
                <w:smallCaps/>
                <w:color w:val="000000" w:themeColor="text1"/>
                <w:sz w:val="20"/>
                <w:szCs w:val="20"/>
              </w:rPr>
              <w:t>área reserva especial declarada</w:t>
            </w:r>
          </w:p>
        </w:tc>
        <w:tc>
          <w:tcPr>
            <w:tcW w:w="1701" w:type="dxa"/>
          </w:tcPr>
          <w:p w:rsidRPr="002A3C66" w:rsidR="000D1124" w:rsidRDefault="000D1124" w14:paraId="09A52569"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8</w:t>
            </w:r>
          </w:p>
        </w:tc>
        <w:tc>
          <w:tcPr>
            <w:tcW w:w="1701" w:type="dxa"/>
          </w:tcPr>
          <w:p w:rsidRPr="002A3C66" w:rsidR="000D1124" w:rsidRDefault="000D1124" w14:paraId="1F98DAEE"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15</w:t>
            </w:r>
          </w:p>
        </w:tc>
        <w:tc>
          <w:tcPr>
            <w:tcW w:w="1701" w:type="dxa"/>
          </w:tcPr>
          <w:p w:rsidRPr="002A3C66" w:rsidR="000D1124" w:rsidRDefault="000D1124" w14:paraId="46138F43" w14:textId="655ACD25">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color w:val="000000" w:themeColor="text1"/>
                <w:sz w:val="20"/>
                <w:szCs w:val="20"/>
              </w:rPr>
              <w:t>1</w:t>
            </w:r>
            <w:r w:rsidR="00435D05">
              <w:rPr>
                <w:rFonts w:ascii="Calibri" w:hAnsi="Calibri" w:eastAsia="Calibri" w:cs="Calibri"/>
                <w:color w:val="000000" w:themeColor="text1"/>
                <w:sz w:val="20"/>
                <w:szCs w:val="20"/>
              </w:rPr>
              <w:t>8</w:t>
            </w:r>
          </w:p>
        </w:tc>
      </w:tr>
      <w:tr w:rsidR="000D1124" w:rsidTr="09C2734D" w14:paraId="1EAF7DD5" w14:textId="77777777">
        <w:trPr>
          <w:trHeight w:val="300"/>
          <w:jc w:val="center"/>
        </w:trPr>
        <w:tc>
          <w:tcPr>
            <w:cnfStyle w:val="001000000000" w:firstRow="0" w:lastRow="0" w:firstColumn="1" w:lastColumn="0" w:oddVBand="0" w:evenVBand="0" w:oddHBand="0" w:evenHBand="0" w:firstRowFirstColumn="0" w:firstRowLastColumn="0" w:lastRowFirstColumn="0" w:lastRowLastColumn="0"/>
            <w:tcW w:w="3681" w:type="dxa"/>
          </w:tcPr>
          <w:p w:rsidRPr="002A3C66" w:rsidR="000D1124" w:rsidRDefault="000D1124" w14:paraId="000B074D" w14:textId="77777777">
            <w:pPr>
              <w:rPr>
                <w:sz w:val="20"/>
                <w:szCs w:val="20"/>
              </w:rPr>
            </w:pPr>
            <w:r w:rsidRPr="002A3C66">
              <w:rPr>
                <w:rFonts w:ascii="Calibri" w:hAnsi="Calibri" w:eastAsia="Calibri" w:cs="Calibri"/>
                <w:caps/>
                <w:color w:val="000000" w:themeColor="text1"/>
                <w:sz w:val="20"/>
                <w:szCs w:val="20"/>
              </w:rPr>
              <w:t>TOTAL</w:t>
            </w:r>
          </w:p>
        </w:tc>
        <w:tc>
          <w:tcPr>
            <w:tcW w:w="1701" w:type="dxa"/>
          </w:tcPr>
          <w:p w:rsidRPr="002A3C66" w:rsidR="000D1124" w:rsidRDefault="000D1124" w14:paraId="4223B977" w14:textId="7777777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b/>
                <w:bCs/>
                <w:color w:val="000000" w:themeColor="text1"/>
                <w:sz w:val="20"/>
                <w:szCs w:val="20"/>
              </w:rPr>
              <w:t>1.038</w:t>
            </w:r>
          </w:p>
        </w:tc>
        <w:tc>
          <w:tcPr>
            <w:tcW w:w="1701" w:type="dxa"/>
          </w:tcPr>
          <w:p w:rsidRPr="002A3C66" w:rsidR="000D1124" w:rsidRDefault="000D1124" w14:paraId="6F8ECF50" w14:textId="0B7F8B17">
            <w:pPr>
              <w:jc w:val="center"/>
              <w:cnfStyle w:val="000000000000" w:firstRow="0" w:lastRow="0" w:firstColumn="0" w:lastColumn="0" w:oddVBand="0" w:evenVBand="0" w:oddHBand="0" w:evenHBand="0" w:firstRowFirstColumn="0" w:firstRowLastColumn="0" w:lastRowFirstColumn="0" w:lastRowLastColumn="0"/>
              <w:rPr>
                <w:sz w:val="20"/>
                <w:szCs w:val="20"/>
              </w:rPr>
            </w:pPr>
            <w:r w:rsidRPr="002A3C66">
              <w:rPr>
                <w:rFonts w:ascii="Calibri" w:hAnsi="Calibri" w:eastAsia="Calibri" w:cs="Calibri"/>
                <w:b/>
                <w:bCs/>
                <w:sz w:val="20"/>
                <w:szCs w:val="20"/>
              </w:rPr>
              <w:t>1.3</w:t>
            </w:r>
            <w:r w:rsidR="00435D05">
              <w:rPr>
                <w:rFonts w:ascii="Calibri" w:hAnsi="Calibri" w:eastAsia="Calibri" w:cs="Calibri"/>
                <w:b/>
                <w:bCs/>
                <w:sz w:val="20"/>
                <w:szCs w:val="20"/>
              </w:rPr>
              <w:t>51</w:t>
            </w:r>
          </w:p>
        </w:tc>
        <w:tc>
          <w:tcPr>
            <w:tcW w:w="1701" w:type="dxa"/>
          </w:tcPr>
          <w:p w:rsidRPr="002A3C66" w:rsidR="000D1124" w:rsidRDefault="000D1124" w14:paraId="54B429AC" w14:textId="722F2E73">
            <w:pPr>
              <w:jc w:val="center"/>
              <w:cnfStyle w:val="000000000000" w:firstRow="0" w:lastRow="0" w:firstColumn="0" w:lastColumn="0" w:oddVBand="0" w:evenVBand="0" w:oddHBand="0" w:evenHBand="0" w:firstRowFirstColumn="0" w:firstRowLastColumn="0" w:lastRowFirstColumn="0" w:lastRowLastColumn="0"/>
              <w:rPr>
                <w:rFonts w:ascii="Calibri" w:hAnsi="Calibri" w:eastAsia="Calibri" w:cs="Calibri"/>
                <w:b/>
                <w:bCs/>
                <w:sz w:val="20"/>
                <w:szCs w:val="20"/>
              </w:rPr>
            </w:pPr>
            <w:r w:rsidRPr="002A3C66">
              <w:rPr>
                <w:rFonts w:ascii="Calibri" w:hAnsi="Calibri" w:eastAsia="Calibri" w:cs="Calibri"/>
                <w:b/>
                <w:bCs/>
                <w:sz w:val="20"/>
                <w:szCs w:val="20"/>
              </w:rPr>
              <w:t>1.</w:t>
            </w:r>
            <w:r w:rsidR="00435D05">
              <w:rPr>
                <w:rFonts w:ascii="Calibri" w:hAnsi="Calibri" w:eastAsia="Calibri" w:cs="Calibri"/>
                <w:b/>
                <w:bCs/>
                <w:sz w:val="20"/>
                <w:szCs w:val="20"/>
              </w:rPr>
              <w:t>0</w:t>
            </w:r>
            <w:r w:rsidRPr="002A3C66">
              <w:rPr>
                <w:rFonts w:ascii="Calibri" w:hAnsi="Calibri" w:eastAsia="Calibri" w:cs="Calibri"/>
                <w:b/>
                <w:bCs/>
                <w:sz w:val="20"/>
                <w:szCs w:val="20"/>
              </w:rPr>
              <w:t>6</w:t>
            </w:r>
            <w:r w:rsidR="00435D05">
              <w:rPr>
                <w:rFonts w:ascii="Calibri" w:hAnsi="Calibri" w:eastAsia="Calibri" w:cs="Calibri"/>
                <w:b/>
                <w:bCs/>
                <w:sz w:val="20"/>
                <w:szCs w:val="20"/>
              </w:rPr>
              <w:t>4</w:t>
            </w:r>
          </w:p>
        </w:tc>
      </w:tr>
    </w:tbl>
    <w:p w:rsidRPr="00435D05" w:rsidR="00435D05" w:rsidP="09C2734D" w:rsidRDefault="00435D05" w14:paraId="30D0BBE5" w14:textId="77777777">
      <w:pPr>
        <w:pStyle w:val="paragraph"/>
        <w:spacing w:before="0" w:beforeAutospacing="0" w:after="0" w:afterAutospacing="0"/>
        <w:jc w:val="center"/>
        <w:rPr>
          <w:rStyle w:val="normaltextrun"/>
          <w:rFonts w:ascii="Arial" w:hAnsi="Arial" w:eastAsia="Calibri" w:cs="Arial"/>
          <w:color w:val="000000" w:themeColor="text1"/>
          <w:sz w:val="18"/>
          <w:szCs w:val="18"/>
          <w:lang w:val="es-ES" w:eastAsia="en-US"/>
        </w:rPr>
      </w:pPr>
      <w:r w:rsidRPr="09C2734D">
        <w:rPr>
          <w:rStyle w:val="normaltextrun"/>
          <w:rFonts w:ascii="Arial" w:hAnsi="Arial" w:eastAsia="Calibri" w:cs="Arial"/>
          <w:color w:val="000000" w:themeColor="text1"/>
          <w:sz w:val="18"/>
          <w:szCs w:val="18"/>
          <w:lang w:val="es-ES" w:eastAsia="en-US"/>
        </w:rPr>
        <w:t xml:space="preserve">Fuente: </w:t>
      </w:r>
      <w:proofErr w:type="spellStart"/>
      <w:r w:rsidRPr="09C2734D">
        <w:rPr>
          <w:rStyle w:val="normaltextrun"/>
          <w:rFonts w:ascii="Arial" w:hAnsi="Arial" w:eastAsia="Calibri" w:cs="Arial"/>
          <w:color w:val="000000" w:themeColor="text1"/>
          <w:sz w:val="18"/>
          <w:szCs w:val="18"/>
          <w:lang w:val="es-ES" w:eastAsia="en-US"/>
        </w:rPr>
        <w:t>MinEnergía</w:t>
      </w:r>
      <w:proofErr w:type="spellEnd"/>
      <w:r w:rsidRPr="09C2734D">
        <w:rPr>
          <w:rStyle w:val="normaltextrun"/>
          <w:rFonts w:ascii="Arial" w:hAnsi="Arial" w:eastAsia="Calibri" w:cs="Arial"/>
          <w:color w:val="000000" w:themeColor="text1"/>
          <w:sz w:val="18"/>
          <w:szCs w:val="18"/>
          <w:lang w:val="es-ES" w:eastAsia="en-US"/>
        </w:rPr>
        <w:t xml:space="preserve"> con base en información de la ANM, 2023</w:t>
      </w:r>
    </w:p>
    <w:p w:rsidR="00435D05" w:rsidP="000D1124" w:rsidRDefault="00435D05" w14:paraId="6E6A97BD" w14:textId="77777777">
      <w:pPr>
        <w:pStyle w:val="paragraph"/>
        <w:spacing w:before="0" w:beforeAutospacing="0" w:after="0" w:afterAutospacing="0"/>
        <w:rPr>
          <w:rStyle w:val="normaltextrun"/>
          <w:rFonts w:ascii="Arial" w:hAnsi="Arial" w:eastAsia="Calibri" w:cs="Arial"/>
          <w:b/>
          <w:iCs/>
          <w:color w:val="000000" w:themeColor="text1"/>
          <w:sz w:val="18"/>
          <w:szCs w:val="18"/>
          <w:lang w:val="es-ES" w:eastAsia="en-US"/>
        </w:rPr>
      </w:pPr>
    </w:p>
    <w:p w:rsidR="000D1124" w:rsidP="5775DF11" w:rsidRDefault="009578DB" w14:paraId="0D5D59F3" w14:textId="70AB0ADE">
      <w:pPr>
        <w:pStyle w:val="paragraph"/>
        <w:spacing w:before="0" w:beforeAutospacing="0" w:after="0" w:afterAutospacing="0"/>
        <w:rPr>
          <w:rStyle w:val="eop"/>
          <w:rFonts w:asciiTheme="minorHAnsi" w:hAnsiTheme="minorHAnsi" w:eastAsiaTheme="majorEastAsia" w:cstheme="minorBidi"/>
          <w:color w:val="000000" w:themeColor="text1"/>
          <w:sz w:val="22"/>
          <w:szCs w:val="22"/>
        </w:rPr>
      </w:pPr>
      <w:r w:rsidRPr="31226965">
        <w:rPr>
          <w:rStyle w:val="normaltextrun"/>
          <w:rFonts w:asciiTheme="minorHAnsi" w:hAnsiTheme="minorHAnsi" w:eastAsiaTheme="majorEastAsia" w:cstheme="minorBidi"/>
          <w:color w:val="000000" w:themeColor="text1"/>
          <w:sz w:val="22"/>
          <w:szCs w:val="22"/>
        </w:rPr>
        <w:t>Las superposiciones de títulos mineros con áreas excluibles</w:t>
      </w:r>
      <w:r w:rsidRPr="31226965" w:rsidR="00240EDA">
        <w:rPr>
          <w:rStyle w:val="normaltextrun"/>
          <w:rFonts w:asciiTheme="minorHAnsi" w:hAnsiTheme="minorHAnsi" w:eastAsiaTheme="majorEastAsia" w:cstheme="minorBidi"/>
          <w:color w:val="000000" w:themeColor="text1"/>
          <w:sz w:val="22"/>
          <w:szCs w:val="22"/>
        </w:rPr>
        <w:t xml:space="preserve"> o de restricción</w:t>
      </w:r>
      <w:r w:rsidRPr="31226965" w:rsidR="000D1124">
        <w:rPr>
          <w:rStyle w:val="normaltextrun"/>
          <w:rFonts w:asciiTheme="minorHAnsi" w:hAnsiTheme="minorHAnsi" w:eastAsiaTheme="majorEastAsia" w:cstheme="minorBidi"/>
          <w:color w:val="000000" w:themeColor="text1"/>
          <w:sz w:val="22"/>
          <w:szCs w:val="22"/>
        </w:rPr>
        <w:t xml:space="preserve"> </w:t>
      </w:r>
      <w:r w:rsidRPr="31226965" w:rsidR="00A27BFD">
        <w:rPr>
          <w:rStyle w:val="normaltextrun"/>
          <w:rFonts w:asciiTheme="minorHAnsi" w:hAnsiTheme="minorHAnsi" w:eastAsiaTheme="majorEastAsia" w:cstheme="minorBidi"/>
          <w:color w:val="000000" w:themeColor="text1"/>
          <w:sz w:val="22"/>
          <w:szCs w:val="22"/>
          <w:lang w:val="es-ES"/>
        </w:rPr>
        <w:t xml:space="preserve">pueden generar </w:t>
      </w:r>
      <w:r w:rsidRPr="31226965" w:rsidR="000D1124">
        <w:rPr>
          <w:rStyle w:val="normaltextrun"/>
          <w:rFonts w:asciiTheme="minorHAnsi" w:hAnsiTheme="minorHAnsi" w:eastAsiaTheme="majorEastAsia" w:cstheme="minorBidi"/>
          <w:color w:val="000000" w:themeColor="text1"/>
          <w:sz w:val="22"/>
          <w:szCs w:val="22"/>
          <w:lang w:val="es-ES"/>
        </w:rPr>
        <w:t xml:space="preserve">dinámicas económicas, sociales y ambientales desfavorables, un incremento en el desarrollo de </w:t>
      </w:r>
      <w:r w:rsidRPr="31226965" w:rsidR="000D1124">
        <w:rPr>
          <w:rStyle w:val="normaltextrun"/>
          <w:rFonts w:asciiTheme="minorHAnsi" w:hAnsiTheme="minorHAnsi" w:eastAsiaTheme="majorEastAsia" w:cstheme="minorBidi"/>
          <w:sz w:val="22"/>
          <w:szCs w:val="22"/>
          <w:lang w:val="es-ES"/>
        </w:rPr>
        <w:t xml:space="preserve">actividades mineras no autorizadas y </w:t>
      </w:r>
      <w:r w:rsidRPr="31226965" w:rsidR="000D1124">
        <w:rPr>
          <w:rStyle w:val="normaltextrun"/>
          <w:rFonts w:asciiTheme="minorHAnsi" w:hAnsiTheme="minorHAnsi" w:eastAsiaTheme="majorEastAsia" w:cstheme="minorBidi"/>
          <w:color w:val="000000" w:themeColor="text1"/>
          <w:sz w:val="22"/>
          <w:szCs w:val="22"/>
          <w:lang w:val="es-ES"/>
        </w:rPr>
        <w:t xml:space="preserve">la disminución de la oferta de recursos mineros para el propio desarrollo de municipios y regiones. Como efectos directos de la falta de ordenamiento minero ambiental se manifiestan, por un lado, la inconformidad social por el desarrollo minero y la alteración de áreas con especial importancia ecológica; por el otro, los titulares mineros pueden ver retrasados los trámites de licenciamiento ambiental, precisamente por falencias en la certeza de áreas excluidas y restringidas de la actividad minera. Lo anterior </w:t>
      </w:r>
      <w:r w:rsidRPr="31226965" w:rsidR="003C3ECF">
        <w:rPr>
          <w:rStyle w:val="normaltextrun"/>
          <w:rFonts w:asciiTheme="minorHAnsi" w:hAnsiTheme="minorHAnsi" w:eastAsiaTheme="majorEastAsia" w:cstheme="minorBidi"/>
          <w:color w:val="000000" w:themeColor="text1"/>
          <w:sz w:val="22"/>
          <w:szCs w:val="22"/>
          <w:lang w:val="es-ES"/>
        </w:rPr>
        <w:t>exige una respuesta,</w:t>
      </w:r>
      <w:r w:rsidRPr="31226965" w:rsidR="000D1124">
        <w:rPr>
          <w:rStyle w:val="normaltextrun"/>
          <w:rFonts w:asciiTheme="minorHAnsi" w:hAnsiTheme="minorHAnsi" w:eastAsiaTheme="majorEastAsia" w:cstheme="minorBidi"/>
          <w:color w:val="000000" w:themeColor="text1"/>
          <w:sz w:val="22"/>
          <w:szCs w:val="22"/>
          <w:lang w:val="es-ES"/>
        </w:rPr>
        <w:t xml:space="preserve"> </w:t>
      </w:r>
      <w:r w:rsidRPr="31226965" w:rsidR="000D1124">
        <w:rPr>
          <w:rStyle w:val="eop"/>
          <w:rFonts w:asciiTheme="minorHAnsi" w:hAnsiTheme="minorHAnsi" w:eastAsiaTheme="majorEastAsia" w:cstheme="minorBidi"/>
          <w:color w:val="000000" w:themeColor="text1"/>
          <w:sz w:val="22"/>
          <w:szCs w:val="22"/>
        </w:rPr>
        <w:t xml:space="preserve">no solo por las posibles consecuencias jurídicas que acarrea, sino que, a mediano y largo plazo, se dificultará aún más contener los efectos del desarrollo de actividades mineras en zonas de especial protección ambiental. En tal sentido, se hace indispensable </w:t>
      </w:r>
      <w:r w:rsidRPr="31226965" w:rsidR="000D1124">
        <w:rPr>
          <w:rStyle w:val="normaltextrun"/>
          <w:rFonts w:asciiTheme="minorHAnsi" w:hAnsiTheme="minorHAnsi" w:eastAsiaTheme="majorEastAsia" w:cstheme="minorBidi"/>
          <w:color w:val="000000" w:themeColor="text1"/>
          <w:sz w:val="22"/>
          <w:szCs w:val="22"/>
          <w:lang w:val="es-ES"/>
        </w:rPr>
        <w:t>definir</w:t>
      </w:r>
      <w:r w:rsidRPr="31226965" w:rsidR="000D1124">
        <w:rPr>
          <w:rStyle w:val="eop"/>
          <w:rFonts w:asciiTheme="minorHAnsi" w:hAnsiTheme="minorHAnsi" w:eastAsiaTheme="majorEastAsia" w:cstheme="minorBidi"/>
          <w:color w:val="000000" w:themeColor="text1"/>
          <w:sz w:val="22"/>
          <w:szCs w:val="22"/>
        </w:rPr>
        <w:t xml:space="preserve"> y armonizar las políticas ambientales y mineras.</w:t>
      </w:r>
    </w:p>
    <w:p w:rsidR="000D1124" w:rsidP="00A07C03" w:rsidRDefault="000D1124" w14:paraId="4CE94E9E" w14:textId="77777777">
      <w:pPr>
        <w:pStyle w:val="paragraph"/>
        <w:spacing w:before="0" w:beforeAutospacing="0" w:after="0" w:afterAutospacing="0"/>
        <w:textAlignment w:val="baseline"/>
        <w:rPr>
          <w:rStyle w:val="eop"/>
          <w:rFonts w:asciiTheme="minorHAnsi" w:hAnsiTheme="minorHAnsi" w:eastAsiaTheme="majorEastAsia" w:cstheme="minorBidi"/>
          <w:color w:val="000000" w:themeColor="text1"/>
          <w:sz w:val="22"/>
          <w:szCs w:val="22"/>
        </w:rPr>
      </w:pPr>
    </w:p>
    <w:p w:rsidR="007F1674" w:rsidP="17F8AA9B" w:rsidRDefault="67D54200" w14:paraId="3E890B90" w14:textId="39486DA2">
      <w:pPr>
        <w:pStyle w:val="paragraph"/>
        <w:spacing w:before="0" w:beforeAutospacing="0" w:after="0" w:afterAutospacing="0"/>
        <w:textAlignment w:val="baseline"/>
        <w:rPr>
          <w:rFonts w:asciiTheme="minorHAnsi" w:hAnsiTheme="minorHAnsi" w:eastAsiaTheme="majorEastAsia" w:cstheme="minorBidi"/>
          <w:color w:val="000000" w:themeColor="text1"/>
          <w:sz w:val="22"/>
          <w:szCs w:val="22"/>
        </w:rPr>
      </w:pPr>
      <w:r w:rsidRPr="3845A57C">
        <w:rPr>
          <w:rFonts w:asciiTheme="minorHAnsi" w:hAnsiTheme="minorHAnsi" w:eastAsiaTheme="majorEastAsia" w:cstheme="minorBidi"/>
          <w:color w:val="000000" w:themeColor="text1"/>
          <w:sz w:val="22"/>
          <w:szCs w:val="22"/>
        </w:rPr>
        <w:t xml:space="preserve">En el marco de la política minera persiste la tensión entre las figuras de utilidad pública </w:t>
      </w:r>
      <w:r w:rsidRPr="3845A57C">
        <w:rPr>
          <w:rStyle w:val="eop"/>
          <w:rFonts w:asciiTheme="minorHAnsi" w:hAnsiTheme="minorHAnsi" w:eastAsiaTheme="majorEastAsia" w:cstheme="minorBidi"/>
          <w:color w:val="000000" w:themeColor="text1"/>
          <w:sz w:val="22"/>
          <w:szCs w:val="22"/>
        </w:rPr>
        <w:t>minera</w:t>
      </w:r>
      <w:r w:rsidRPr="3845A57C" w:rsidR="007F1674">
        <w:rPr>
          <w:rStyle w:val="eop"/>
          <w:rFonts w:asciiTheme="minorHAnsi" w:hAnsiTheme="minorHAnsi" w:eastAsiaTheme="majorEastAsia" w:cstheme="minorBidi"/>
          <w:color w:val="000000" w:themeColor="text1"/>
          <w:sz w:val="22"/>
          <w:szCs w:val="22"/>
          <w:vertAlign w:val="superscript"/>
        </w:rPr>
        <w:footnoteReference w:id="28"/>
      </w:r>
      <w:r w:rsidRPr="3845A57C">
        <w:rPr>
          <w:rStyle w:val="eop"/>
          <w:rFonts w:asciiTheme="minorHAnsi" w:hAnsiTheme="minorHAnsi" w:eastAsiaTheme="majorEastAsia" w:cstheme="minorBidi"/>
          <w:color w:val="000000" w:themeColor="text1"/>
          <w:sz w:val="22"/>
          <w:szCs w:val="22"/>
        </w:rPr>
        <w:t xml:space="preserve"> y ambiental</w:t>
      </w:r>
      <w:r w:rsidRPr="3845A57C" w:rsidR="007F1674">
        <w:rPr>
          <w:rStyle w:val="eop"/>
          <w:rFonts w:asciiTheme="minorHAnsi" w:hAnsiTheme="minorHAnsi" w:eastAsiaTheme="majorEastAsia" w:cstheme="minorBidi"/>
          <w:color w:val="000000" w:themeColor="text1"/>
          <w:sz w:val="22"/>
          <w:szCs w:val="22"/>
          <w:vertAlign w:val="superscript"/>
        </w:rPr>
        <w:footnoteReference w:id="29"/>
      </w:r>
      <w:r w:rsidRPr="3845A57C">
        <w:rPr>
          <w:rFonts w:asciiTheme="minorHAnsi" w:hAnsiTheme="minorHAnsi" w:eastAsiaTheme="majorEastAsia" w:cstheme="minorBidi"/>
          <w:color w:val="000000" w:themeColor="text1"/>
          <w:sz w:val="22"/>
          <w:szCs w:val="22"/>
        </w:rPr>
        <w:t>. La falta de mecanismos claros de articulación genera conflictos en la toma de decisiones, donde con frecuencia los intereses del desarrollo minero prevalecen sobre la protección de la naturaleza. Esta situación plantea el reto de garantizar que la conservación ambiental sea prioritaria frente a los impactos derivados de la actividad extractiva.</w:t>
      </w:r>
    </w:p>
    <w:p w:rsidRPr="0016082C" w:rsidR="00A07C03" w:rsidDel="00883EE5" w:rsidP="7DF7D6D5" w:rsidRDefault="0B056A32" w14:paraId="069C778E" w14:textId="2AA2AB88">
      <w:pPr>
        <w:pStyle w:val="paragraph"/>
        <w:spacing w:before="0" w:beforeAutospacing="0" w:after="0" w:afterAutospacing="0"/>
        <w:textAlignment w:val="baseline"/>
        <w:rPr>
          <w:rStyle w:val="eop"/>
          <w:rFonts w:asciiTheme="minorHAnsi" w:hAnsiTheme="minorHAnsi" w:eastAsiaTheme="majorEastAsia" w:cstheme="minorBidi"/>
          <w:color w:val="000000" w:themeColor="text1"/>
          <w:kern w:val="2"/>
          <w:sz w:val="22"/>
          <w:szCs w:val="22"/>
          <w:lang w:eastAsia="en-US"/>
          <w14:ligatures w14:val="standardContextual"/>
        </w:rPr>
      </w:pPr>
      <w:r w:rsidRPr="7DF7D6D5">
        <w:rPr>
          <w:rStyle w:val="eop"/>
          <w:rFonts w:asciiTheme="minorHAnsi" w:hAnsiTheme="minorHAnsi" w:eastAsiaTheme="majorEastAsia" w:cstheme="minorBidi"/>
          <w:color w:val="000000" w:themeColor="text1"/>
          <w:sz w:val="22"/>
          <w:szCs w:val="22"/>
        </w:rPr>
        <w:t>La interpretación genérica y absoluta del concepto de utilidad pública e interés social asociado a la minería ha provocado conflictos ambientales y sociales de gran magnitud, debido a sus efectos sobre la naturaleza. Las decisiones centralizadas sobre los bienes minerales del subsuelo, propiedad del Estado, generan tensiones con las decisiones del ámbito local, así como una presión considerable sobre los bienes naturales. Estas tensiones dificultan una gestión pública efectiva, incrementan la incertidumbre en torno a la actividad minera y comprometen la integridad de ecosistemas estratégicos que sustentan las comunidades locales y su calidad de vida.</w:t>
      </w:r>
    </w:p>
    <w:p w:rsidR="7DF7D6D5" w:rsidP="7DF7D6D5" w:rsidRDefault="7DF7D6D5" w14:paraId="6C2EAE1B" w14:textId="02C5EC28">
      <w:pPr>
        <w:pStyle w:val="paragraph"/>
        <w:spacing w:before="0" w:beforeAutospacing="0" w:after="0" w:afterAutospacing="0"/>
        <w:rPr>
          <w:rStyle w:val="eop"/>
          <w:rFonts w:asciiTheme="minorHAnsi" w:hAnsiTheme="minorHAnsi" w:eastAsiaTheme="majorEastAsia" w:cstheme="minorBidi"/>
          <w:color w:val="000000" w:themeColor="text1"/>
          <w:sz w:val="22"/>
          <w:szCs w:val="22"/>
        </w:rPr>
      </w:pPr>
    </w:p>
    <w:p w:rsidR="00DB7D90" w:rsidP="17F8AA9B" w:rsidRDefault="00DB7D90" w14:paraId="4002B454" w14:textId="77777777">
      <w:pPr>
        <w:pStyle w:val="paragraph"/>
        <w:spacing w:after="0"/>
        <w:textAlignment w:val="baseline"/>
        <w:rPr>
          <w:rFonts w:asciiTheme="minorHAnsi" w:hAnsiTheme="minorHAnsi" w:eastAsiaTheme="majorEastAsia" w:cstheme="minorBidi"/>
          <w:color w:val="000000"/>
          <w:sz w:val="22"/>
          <w:szCs w:val="22"/>
        </w:rPr>
      </w:pPr>
      <w:r w:rsidRPr="7DF7D6D5">
        <w:rPr>
          <w:rFonts w:asciiTheme="minorHAnsi" w:hAnsiTheme="minorHAnsi" w:eastAsiaTheme="majorEastAsia" w:cstheme="minorBidi"/>
          <w:color w:val="000000" w:themeColor="text1"/>
          <w:sz w:val="22"/>
          <w:szCs w:val="22"/>
        </w:rPr>
        <w:t>Aunque persisten limitaciones en la planificación y en el ordenamiento minero-ambiental, es necesario reconocer que para superar estas barreras se requiere tomar como referente un marco integral que oriente la gestión del sector.</w:t>
      </w:r>
    </w:p>
    <w:p w:rsidR="7DF7D6D5" w:rsidP="7DF7D6D5" w:rsidRDefault="7DF7D6D5" w14:paraId="7C30DB09" w14:textId="6C98F2DB">
      <w:pPr>
        <w:pStyle w:val="paragraph"/>
        <w:spacing w:after="0"/>
        <w:rPr>
          <w:rFonts w:asciiTheme="minorHAnsi" w:hAnsiTheme="minorHAnsi" w:eastAsiaTheme="majorEastAsia" w:cstheme="minorBidi"/>
          <w:color w:val="000000" w:themeColor="text1"/>
          <w:sz w:val="22"/>
          <w:szCs w:val="22"/>
        </w:rPr>
      </w:pPr>
    </w:p>
    <w:p w:rsidRPr="002A3C66" w:rsidR="00A07C03" w:rsidP="7DF7D6D5" w:rsidRDefault="6134B4EA" w14:paraId="723E4CA3" w14:textId="58C6C1DA">
      <w:pPr>
        <w:pStyle w:val="paragraph"/>
        <w:spacing w:after="0"/>
        <w:textAlignment w:val="baseline"/>
        <w:rPr>
          <w:rStyle w:val="eop"/>
          <w:rFonts w:asciiTheme="minorHAnsi" w:hAnsiTheme="minorHAnsi" w:eastAsiaTheme="majorEastAsia" w:cstheme="minorBidi"/>
          <w:color w:val="000000"/>
          <w:sz w:val="22"/>
          <w:szCs w:val="22"/>
        </w:rPr>
      </w:pPr>
      <w:r w:rsidRPr="3845A57C">
        <w:rPr>
          <w:rFonts w:asciiTheme="minorHAnsi" w:hAnsiTheme="minorHAnsi" w:eastAsiaTheme="majorEastAsia" w:cstheme="minorBidi"/>
          <w:color w:val="000000"/>
          <w:sz w:val="22"/>
          <w:szCs w:val="22"/>
        </w:rPr>
        <w:t xml:space="preserve">Si bien, </w:t>
      </w:r>
      <w:r w:rsidRPr="3845A57C">
        <w:rPr>
          <w:rStyle w:val="eop"/>
          <w:rFonts w:asciiTheme="minorHAnsi" w:hAnsiTheme="minorHAnsi" w:eastAsiaTheme="majorEastAsia" w:cstheme="minorBidi"/>
          <w:color w:val="000000"/>
          <w:sz w:val="22"/>
          <w:szCs w:val="22"/>
        </w:rPr>
        <w:t>en 2003, el Decreto 2201 estableció que los Planes de Ordenamiento Territorial (POT) no podían restringir la minería ni los hidrocarburos, al ser actividades de utilidad pública e interés social cuya ejecución corresponde a la Nación</w:t>
      </w:r>
      <w:r w:rsidRPr="3845A57C" w:rsidR="30F5E433">
        <w:rPr>
          <w:rStyle w:val="eop"/>
          <w:rFonts w:asciiTheme="minorHAnsi" w:hAnsiTheme="minorHAnsi" w:eastAsiaTheme="majorEastAsia" w:cstheme="minorBidi"/>
          <w:color w:val="000000"/>
          <w:sz w:val="22"/>
          <w:szCs w:val="22"/>
        </w:rPr>
        <w:t>,</w:t>
      </w:r>
      <w:r w:rsidRPr="3845A57C" w:rsidR="00DB7D90">
        <w:rPr>
          <w:rStyle w:val="FootnoteReference"/>
          <w:rFonts w:asciiTheme="minorHAnsi" w:hAnsiTheme="minorHAnsi" w:eastAsiaTheme="majorEastAsia" w:cstheme="minorBidi"/>
          <w:color w:val="000000"/>
          <w:sz w:val="22"/>
          <w:szCs w:val="22"/>
        </w:rPr>
        <w:footnoteReference w:id="30"/>
      </w:r>
      <w:r w:rsidRPr="3845A57C" w:rsidR="30F5E433">
        <w:rPr>
          <w:rStyle w:val="eop"/>
          <w:rFonts w:asciiTheme="minorHAnsi" w:hAnsiTheme="minorHAnsi" w:eastAsiaTheme="majorEastAsia" w:cstheme="minorBidi"/>
          <w:color w:val="000000"/>
          <w:sz w:val="22"/>
          <w:szCs w:val="22"/>
        </w:rPr>
        <w:t xml:space="preserve"> e</w:t>
      </w:r>
      <w:r w:rsidRPr="3845A57C" w:rsidR="31DD0FAD">
        <w:rPr>
          <w:rStyle w:val="eop"/>
          <w:rFonts w:asciiTheme="minorHAnsi" w:hAnsiTheme="minorHAnsi" w:eastAsiaTheme="majorEastAsia" w:cstheme="minorBidi"/>
          <w:color w:val="000000"/>
          <w:sz w:val="22"/>
          <w:szCs w:val="22"/>
        </w:rPr>
        <w:t>n 2016, la Corte Constitucional, mediante la Sentencia C-035, determinó que la definición y oferta de reservas mineras deben ser compatibles con los POT y que la Autoridad Nacional Minera y el Ministerio de Minas y Energía deben concertar previamente con las autoridades locales de los municipios donde se ubiquen estas áreas, garantizando así el respeto a su facultad constitucional de reglamentar el uso del suelo, en aplicación de los principios de coordinación, concurrencia y subsidiariedad. Ese mismo año, en la Sentencia C-273, la Corte Constitucional declaró inexequible el artículo 3716 del Código de Minas (Ley 685 de 2001), el cual prohibía a las autoridades regionales, seccionales o locales excluir zonas del territorio de la actividad minera, incluyendo a través de los POT. Esta decisión marcó un precedente en la distribución de competencias entre el nivel nacional y las entidades territoriales en materia minera.</w:t>
      </w:r>
    </w:p>
    <w:p w:rsidR="7DF7D6D5" w:rsidP="7DF7D6D5" w:rsidRDefault="7DF7D6D5" w14:paraId="49419F81" w14:textId="2FC43179">
      <w:pPr>
        <w:pStyle w:val="paragraph"/>
        <w:spacing w:after="0"/>
        <w:rPr>
          <w:rStyle w:val="eop"/>
          <w:rFonts w:asciiTheme="minorHAnsi" w:hAnsiTheme="minorHAnsi" w:eastAsiaTheme="majorEastAsia" w:cstheme="minorBidi"/>
          <w:color w:val="000000" w:themeColor="text1"/>
          <w:sz w:val="22"/>
          <w:szCs w:val="22"/>
        </w:rPr>
      </w:pPr>
    </w:p>
    <w:p w:rsidR="00032186" w:rsidP="17F8AA9B" w:rsidRDefault="009A7B00" w14:paraId="65581EF9" w14:textId="7F0F5500">
      <w:pPr>
        <w:pStyle w:val="paragraph"/>
        <w:spacing w:before="0" w:beforeAutospacing="0" w:after="0" w:afterAutospacing="0"/>
        <w:rPr>
          <w:rStyle w:val="eop"/>
          <w:rFonts w:asciiTheme="minorHAnsi" w:hAnsiTheme="minorHAnsi" w:eastAsiaTheme="majorEastAsia" w:cstheme="minorBidi"/>
          <w:color w:val="000000" w:themeColor="text1"/>
          <w:sz w:val="22"/>
          <w:szCs w:val="22"/>
        </w:rPr>
      </w:pPr>
      <w:r>
        <w:rPr>
          <w:rStyle w:val="eop"/>
          <w:rFonts w:asciiTheme="minorHAnsi" w:hAnsiTheme="minorHAnsi" w:eastAsiaTheme="majorEastAsia" w:cstheme="minorBidi"/>
          <w:color w:val="000000" w:themeColor="text1"/>
          <w:sz w:val="22"/>
          <w:szCs w:val="22"/>
        </w:rPr>
        <w:t>También e</w:t>
      </w:r>
      <w:r w:rsidRPr="17F8AA9B" w:rsidR="00910DCA">
        <w:rPr>
          <w:rStyle w:val="eop"/>
          <w:rFonts w:asciiTheme="minorHAnsi" w:hAnsiTheme="minorHAnsi" w:eastAsiaTheme="majorEastAsia" w:cstheme="minorBidi"/>
          <w:color w:val="000000" w:themeColor="text1"/>
          <w:sz w:val="22"/>
          <w:szCs w:val="22"/>
        </w:rPr>
        <w:t xml:space="preserve">s relevante tener en cuenta que en la Ley 685 de 2001 se tuvo en cuenta parte del ordenamiento ambiental para la actividad minera; </w:t>
      </w:r>
      <w:r w:rsidRPr="17F8AA9B" w:rsidR="18E5E9DB">
        <w:rPr>
          <w:rStyle w:val="eop"/>
          <w:rFonts w:asciiTheme="minorHAnsi" w:hAnsiTheme="minorHAnsi" w:eastAsiaTheme="majorEastAsia" w:cstheme="minorBidi"/>
          <w:color w:val="000000" w:themeColor="text1"/>
          <w:sz w:val="22"/>
          <w:szCs w:val="22"/>
        </w:rPr>
        <w:t>ejemplo de ello es</w:t>
      </w:r>
      <w:r w:rsidRPr="17F8AA9B" w:rsidR="00910DCA">
        <w:rPr>
          <w:rStyle w:val="eop"/>
          <w:rFonts w:asciiTheme="minorHAnsi" w:hAnsiTheme="minorHAnsi" w:eastAsiaTheme="majorEastAsia" w:cstheme="minorBidi"/>
          <w:color w:val="000000" w:themeColor="text1"/>
          <w:sz w:val="22"/>
          <w:szCs w:val="22"/>
        </w:rPr>
        <w:t xml:space="preserve"> el capítulo XX sobre “Aspectos ambientales”. Más allá de esto, algunos actores han subrayado la importancia de mantener estricta separación entre la regulación sectorial minera y la regulación ambiental para evitar duplicidad y disparidad en las </w:t>
      </w:r>
      <w:r w:rsidRPr="17F8AA9B" w:rsidR="0E67B850">
        <w:rPr>
          <w:rStyle w:val="eop"/>
          <w:rFonts w:asciiTheme="minorHAnsi" w:hAnsiTheme="minorHAnsi" w:eastAsiaTheme="majorEastAsia" w:cstheme="minorBidi"/>
          <w:color w:val="000000" w:themeColor="text1"/>
          <w:sz w:val="22"/>
          <w:szCs w:val="22"/>
        </w:rPr>
        <w:t>normativas,</w:t>
      </w:r>
      <w:r w:rsidRPr="17F8AA9B" w:rsidR="00910DCA">
        <w:rPr>
          <w:rStyle w:val="eop"/>
          <w:rFonts w:asciiTheme="minorHAnsi" w:hAnsiTheme="minorHAnsi" w:eastAsiaTheme="majorEastAsia" w:cstheme="minorBidi"/>
          <w:color w:val="000000" w:themeColor="text1"/>
          <w:sz w:val="22"/>
          <w:szCs w:val="22"/>
        </w:rPr>
        <w:t xml:space="preserve"> así como los problemas interpretativos que en algunos casos se ha presentado al aplicar la Ley 685 de 2001.</w:t>
      </w:r>
    </w:p>
    <w:p w:rsidR="00DB7D90" w:rsidP="17F8AA9B" w:rsidRDefault="00DB7D90" w14:paraId="4848E9BA" w14:textId="77777777">
      <w:pPr>
        <w:pStyle w:val="paragraph"/>
        <w:spacing w:before="0" w:beforeAutospacing="0" w:after="0" w:afterAutospacing="0"/>
        <w:rPr>
          <w:rStyle w:val="eop"/>
          <w:rFonts w:asciiTheme="minorHAnsi" w:hAnsiTheme="minorHAnsi" w:eastAsiaTheme="majorEastAsia" w:cstheme="minorBidi"/>
          <w:color w:val="000000" w:themeColor="text1"/>
          <w:sz w:val="22"/>
          <w:szCs w:val="22"/>
        </w:rPr>
      </w:pPr>
    </w:p>
    <w:p w:rsidR="00DB7D90" w:rsidP="17F8AA9B" w:rsidRDefault="00DB7D90" w14:paraId="73A9D0E5" w14:textId="0389D5FC">
      <w:pPr>
        <w:pStyle w:val="paragraph"/>
        <w:spacing w:before="0" w:beforeAutospacing="0" w:after="0" w:afterAutospacing="0"/>
        <w:rPr>
          <w:rStyle w:val="eop"/>
          <w:rFonts w:asciiTheme="minorHAnsi" w:hAnsiTheme="minorHAnsi" w:eastAsiaTheme="majorEastAsia" w:cstheme="minorBidi"/>
          <w:color w:val="000000" w:themeColor="text1"/>
          <w:sz w:val="22"/>
          <w:szCs w:val="22"/>
        </w:rPr>
      </w:pPr>
      <w:r w:rsidRPr="00DB7D90">
        <w:rPr>
          <w:rFonts w:asciiTheme="minorHAnsi" w:hAnsiTheme="minorHAnsi" w:eastAsiaTheme="majorEastAsia" w:cstheme="minorBidi"/>
          <w:color w:val="000000" w:themeColor="text1"/>
          <w:sz w:val="22"/>
          <w:szCs w:val="22"/>
        </w:rPr>
        <w:t>Por otra parte, la ausencia de una visión de largo plazo de la planificación minera ha limitado la incorporación de medidas necesarias para asegurar la prevención del deterioro de los ecosistemas naturales, siendo esta una circunstancia que se ve reflejada con la ausencia de la definición de pasivos ambientales mineros y reglamentación para la intervención y gestión de estos.</w:t>
      </w:r>
    </w:p>
    <w:p w:rsidR="00271335" w:rsidP="17F8AA9B" w:rsidRDefault="00271335" w14:paraId="6CCDFCB0" w14:textId="77777777">
      <w:pPr>
        <w:pStyle w:val="paragraph"/>
        <w:spacing w:before="0" w:beforeAutospacing="0" w:after="0" w:afterAutospacing="0"/>
        <w:rPr>
          <w:rStyle w:val="normaltextrun"/>
          <w:rFonts w:cs="Arial"/>
        </w:rPr>
      </w:pPr>
    </w:p>
    <w:p w:rsidR="00A07C03" w:rsidP="00A07C03" w:rsidRDefault="00A07C03" w14:paraId="43DFCE78" w14:textId="10642437">
      <w:pPr>
        <w:jc w:val="both"/>
        <w:rPr>
          <w:rStyle w:val="normaltextrun"/>
          <w:rFonts w:cs="Arial"/>
        </w:rPr>
      </w:pPr>
      <w:r>
        <w:rPr>
          <w:rStyle w:val="normaltextrun"/>
          <w:rFonts w:cs="Arial"/>
        </w:rPr>
        <w:t>Lo descrito anteriormente</w:t>
      </w:r>
      <w:r w:rsidRPr="4989EE77">
        <w:rPr>
          <w:rStyle w:val="normaltextrun"/>
          <w:rFonts w:cs="Arial"/>
        </w:rPr>
        <w:t xml:space="preserve"> requiere la adopción de medidas encaminadas a solucionar progresivamente los siguientes aspectos:</w:t>
      </w:r>
    </w:p>
    <w:p w:rsidRPr="00C43179" w:rsidR="00A07C03" w:rsidP="00A07C03" w:rsidRDefault="00A07C03" w14:paraId="7C00ABBB" w14:textId="77777777">
      <w:pPr>
        <w:jc w:val="both"/>
        <w:rPr>
          <w:rFonts w:cs="Arial"/>
        </w:rPr>
      </w:pPr>
      <w:r w:rsidRPr="4989EE77">
        <w:rPr>
          <w:rStyle w:val="normaltextrun"/>
          <w:rFonts w:cs="Arial"/>
          <w:b/>
          <w:bCs/>
        </w:rPr>
        <w:t>1.</w:t>
      </w:r>
      <w:r w:rsidRPr="4989EE77">
        <w:rPr>
          <w:rStyle w:val="normaltextrun"/>
          <w:rFonts w:cs="Arial"/>
        </w:rPr>
        <w:t xml:space="preserve"> Las </w:t>
      </w:r>
      <w:r w:rsidRPr="4989EE77">
        <w:rPr>
          <w:rStyle w:val="normaltextrun"/>
          <w:rFonts w:cs="Arial"/>
          <w:color w:val="000000" w:themeColor="text1"/>
        </w:rPr>
        <w:t>deficiencias en información de componentes ambientales, socioculturales y de potencial mineral en cuanto a su disponibilidad, calidad y armonización. Esto limita su integración a los instrumentos de planificación y su inclusión en la toma de decisiones, especialmente en las relacionadas con el otorgamiento de títulos mineros, lo cual conlleva, entre otros efectos, a la superposición de áreas concesionadas con ecosistemas de especial importancia ecológica o con áreas protegidas no compatibles con la actividad minera de acuerdo con su régimen de uso.</w:t>
      </w:r>
    </w:p>
    <w:p w:rsidRPr="002242C5" w:rsidR="00A07C03" w:rsidP="00A07C03" w:rsidRDefault="00A07C03" w14:paraId="40C9127B" w14:textId="15120CC3">
      <w:pPr>
        <w:jc w:val="both"/>
        <w:rPr>
          <w:rStyle w:val="eop"/>
        </w:rPr>
      </w:pPr>
      <w:r w:rsidRPr="5775DF11">
        <w:rPr>
          <w:rStyle w:val="normaltextrun"/>
          <w:rFonts w:cs="Arial"/>
          <w:b/>
          <w:bCs/>
        </w:rPr>
        <w:t>2.</w:t>
      </w:r>
      <w:r w:rsidRPr="5775DF11">
        <w:rPr>
          <w:rStyle w:val="normaltextrun"/>
          <w:rFonts w:cs="Arial"/>
        </w:rPr>
        <w:t xml:space="preserve"> La insuficiencia en la incorporación, desarrollo e implementación de criterios y mecanismos de participación y de acceso a la información ambiental, territorial y minera, aspecto que se ve reflejado en conflictos socio ambientales causados por la intervención minera en áreas de interés social, cultural, o ambiental e impactos ambientales negativos. </w:t>
      </w:r>
      <w:r w:rsidRPr="5775DF11">
        <w:rPr>
          <w:rStyle w:val="normaltextrun"/>
        </w:rPr>
        <w:t> </w:t>
      </w:r>
      <w:r w:rsidRPr="5775DF11">
        <w:rPr>
          <w:rStyle w:val="normaltextrun"/>
          <w:rFonts w:cs="Arial"/>
        </w:rPr>
        <w:t xml:space="preserve">La </w:t>
      </w:r>
      <w:r w:rsidRPr="5775DF11" w:rsidR="00B35B28">
        <w:rPr>
          <w:rStyle w:val="normaltextrun"/>
          <w:rFonts w:cs="Arial"/>
        </w:rPr>
        <w:t>a</w:t>
      </w:r>
      <w:r w:rsidRPr="5775DF11">
        <w:rPr>
          <w:rStyle w:val="normaltextrun"/>
          <w:rFonts w:cs="Arial"/>
        </w:rPr>
        <w:t>usencia de un sistema de planificación minero ambiental por la falta de articulación del sector ambiente y minas, impide que se logre consolidar un mecanismo que facilite el acceso a información de calidad suficiente para el seguimiento y control de las actividades mineras desde sus etapas tempranas.</w:t>
      </w:r>
    </w:p>
    <w:p w:rsidRPr="00B40490" w:rsidR="00A07C03" w:rsidP="5775DF11" w:rsidRDefault="00A07C03" w14:paraId="7CD6C1BC" w14:textId="027E6B05">
      <w:pPr>
        <w:jc w:val="both"/>
        <w:rPr>
          <w:rStyle w:val="eop"/>
          <w:rFonts w:eastAsiaTheme="minorEastAsia"/>
          <w:color w:val="000000" w:themeColor="text1"/>
        </w:rPr>
      </w:pPr>
      <w:r w:rsidRPr="5775DF11">
        <w:rPr>
          <w:rStyle w:val="eop"/>
          <w:rFonts w:cs="Arial"/>
          <w:b/>
          <w:bCs/>
          <w:color w:val="000000" w:themeColor="text1"/>
        </w:rPr>
        <w:t>3.</w:t>
      </w:r>
      <w:r w:rsidRPr="5775DF11">
        <w:rPr>
          <w:rStyle w:val="eop"/>
          <w:rFonts w:cs="Arial"/>
          <w:color w:val="000000" w:themeColor="text1"/>
        </w:rPr>
        <w:t xml:space="preserve"> Falencias en la identificación de áreas degradadas por minería y la necesidad de regulación para su prevención y gestión. </w:t>
      </w:r>
      <w:r w:rsidRPr="5775DF11" w:rsidR="004A575E">
        <w:rPr>
          <w:rStyle w:val="eop"/>
          <w:rFonts w:eastAsiaTheme="minorEastAsia"/>
          <w:color w:val="000000" w:themeColor="text1"/>
        </w:rPr>
        <w:t xml:space="preserve">La degradación ambiental puede reducirse </w:t>
      </w:r>
      <w:r w:rsidRPr="5775DF11" w:rsidR="00420EAA">
        <w:rPr>
          <w:rStyle w:val="eop"/>
          <w:rFonts w:eastAsiaTheme="minorEastAsia"/>
          <w:color w:val="000000" w:themeColor="text1"/>
        </w:rPr>
        <w:t>con una mejor regulación y formalización minera</w:t>
      </w:r>
      <w:r w:rsidRPr="5775DF11">
        <w:rPr>
          <w:rStyle w:val="eop"/>
          <w:rFonts w:eastAsiaTheme="minorEastAsia"/>
          <w:color w:val="000000" w:themeColor="text1"/>
        </w:rPr>
        <w:t xml:space="preserve">. </w:t>
      </w:r>
      <w:r w:rsidRPr="5775DF11" w:rsidR="00420EAA">
        <w:rPr>
          <w:rStyle w:val="eop"/>
          <w:rFonts w:eastAsiaTheme="minorEastAsia"/>
          <w:color w:val="000000" w:themeColor="text1"/>
        </w:rPr>
        <w:t>La</w:t>
      </w:r>
      <w:r w:rsidRPr="5775DF11">
        <w:rPr>
          <w:rStyle w:val="eop"/>
          <w:rFonts w:eastAsiaTheme="minorEastAsia"/>
          <w:color w:val="000000" w:themeColor="text1"/>
        </w:rPr>
        <w:t xml:space="preserve"> informalidad y la extracción no autorizada de minerales generan gran parte de las áreas degradadas que, en el marco del ordenamiento territorial pueden ser declaradas suelo de protección por alto riesgo no mitigable.</w:t>
      </w:r>
    </w:p>
    <w:p w:rsidRPr="003E6DA8" w:rsidR="00A07C03" w:rsidDel="004313A1" w:rsidP="00A07C03" w:rsidRDefault="0B056A32" w14:paraId="264A1EBA" w14:textId="037C2928">
      <w:pPr>
        <w:jc w:val="both"/>
        <w:rPr>
          <w:rStyle w:val="normaltextrun"/>
          <w:lang w:val="es-ES"/>
        </w:rPr>
      </w:pPr>
      <w:r w:rsidRPr="4989EE77">
        <w:rPr>
          <w:rStyle w:val="eop"/>
          <w:b/>
          <w:bCs/>
        </w:rPr>
        <w:t xml:space="preserve">4. </w:t>
      </w:r>
      <w:r w:rsidRPr="003E6DA8">
        <w:rPr>
          <w:rStyle w:val="eop"/>
        </w:rPr>
        <w:t xml:space="preserve">La </w:t>
      </w:r>
      <w:r w:rsidRPr="44AF0C59">
        <w:rPr>
          <w:rStyle w:val="eop"/>
        </w:rPr>
        <w:t>debilidad en la integración, construcción y actualización de instrumentos de planificación mineros y ambientales</w:t>
      </w:r>
      <w:r w:rsidRPr="003E6DA8">
        <w:rPr>
          <w:rStyle w:val="eop"/>
        </w:rPr>
        <w:t xml:space="preserve"> y su efectiva coordinación con instrumentos sectoriales y territoriales como lo son los POT, PBOT o EOT.</w:t>
      </w:r>
      <w:r w:rsidRPr="31226965" w:rsidR="44AD1E57">
        <w:rPr>
          <w:rStyle w:val="eop"/>
        </w:rPr>
        <w:t xml:space="preserve"> </w:t>
      </w:r>
      <w:r w:rsidRPr="31226965">
        <w:rPr>
          <w:rStyle w:val="eop"/>
        </w:rPr>
        <w:t>Se evidencia entonces que</w:t>
      </w:r>
      <w:r w:rsidRPr="31226965" w:rsidR="7F1E6D50">
        <w:rPr>
          <w:rStyle w:val="eop"/>
        </w:rPr>
        <w:t xml:space="preserve"> l</w:t>
      </w:r>
      <w:r w:rsidRPr="31226965">
        <w:rPr>
          <w:rStyle w:val="eop"/>
        </w:rPr>
        <w:t>a falta de coordinación entre los instrumentos sectoriales y territoriales con el ordenamiento minero ambiental impide que a través de los entes territoriales se materialice la protección de la naturaleza. Adicionalmente, s</w:t>
      </w:r>
      <w:proofErr w:type="spellStart"/>
      <w:r w:rsidRPr="31226965">
        <w:rPr>
          <w:rStyle w:val="normaltextrun"/>
          <w:rFonts w:cs="Arial"/>
          <w:color w:val="000000" w:themeColor="text1"/>
          <w:lang w:val="es-ES"/>
        </w:rPr>
        <w:t>e</w:t>
      </w:r>
      <w:proofErr w:type="spellEnd"/>
      <w:r w:rsidRPr="31226965">
        <w:rPr>
          <w:rStyle w:val="normaltextrun"/>
          <w:rFonts w:cs="Arial"/>
          <w:color w:val="000000" w:themeColor="text1"/>
          <w:lang w:val="es-ES"/>
        </w:rPr>
        <w:t xml:space="preserve"> observa que son pocos los procesos efectivos de planeación estratégica para un ordenamiento equilibrado que contemple los diversos usos del territorio pero que además priorice la protección de los bienes naturales a la vez que permita una actividad minera planificada. </w:t>
      </w:r>
    </w:p>
    <w:p w:rsidRPr="001F6847" w:rsidR="00A07C03" w:rsidP="00A07C03" w:rsidRDefault="00A07C03" w14:paraId="04899A8B" w14:textId="7BD4DE80">
      <w:pPr>
        <w:jc w:val="both"/>
      </w:pPr>
      <w:r w:rsidRPr="5775DF11">
        <w:rPr>
          <w:rStyle w:val="normaltextrun"/>
          <w:rFonts w:cs="Arial"/>
          <w:b/>
          <w:bCs/>
          <w:color w:val="000000" w:themeColor="text1"/>
          <w:lang w:val="es-ES"/>
        </w:rPr>
        <w:t>5.</w:t>
      </w:r>
      <w:r w:rsidRPr="5775DF11">
        <w:rPr>
          <w:rStyle w:val="normaltextrun"/>
          <w:rFonts w:cs="Arial"/>
          <w:color w:val="000000" w:themeColor="text1"/>
          <w:lang w:val="es-ES"/>
        </w:rPr>
        <w:t xml:space="preserve"> </w:t>
      </w:r>
      <w:r w:rsidRPr="5775DF11" w:rsidR="00D71160">
        <w:rPr>
          <w:rStyle w:val="normaltextrun"/>
          <w:rFonts w:cs="Arial"/>
          <w:color w:val="000000" w:themeColor="text1"/>
          <w:lang w:val="es-ES"/>
        </w:rPr>
        <w:t>El desarrollo de a</w:t>
      </w:r>
      <w:r w:rsidRPr="5775DF11">
        <w:rPr>
          <w:rStyle w:val="normaltextrun"/>
          <w:rFonts w:cs="Arial"/>
          <w:color w:val="000000" w:themeColor="text1"/>
          <w:lang w:val="es-ES"/>
        </w:rPr>
        <w:t>ctividad</w:t>
      </w:r>
      <w:r w:rsidRPr="5775DF11" w:rsidR="00D71160">
        <w:rPr>
          <w:rStyle w:val="normaltextrun"/>
          <w:rFonts w:cs="Arial"/>
          <w:color w:val="000000" w:themeColor="text1"/>
          <w:lang w:val="es-ES"/>
        </w:rPr>
        <w:t>es</w:t>
      </w:r>
      <w:r w:rsidRPr="5775DF11">
        <w:rPr>
          <w:rStyle w:val="normaltextrun"/>
          <w:rFonts w:cs="Arial"/>
          <w:color w:val="000000" w:themeColor="text1"/>
          <w:lang w:val="es-ES"/>
        </w:rPr>
        <w:t xml:space="preserve"> minera</w:t>
      </w:r>
      <w:r w:rsidRPr="5775DF11" w:rsidR="00D71160">
        <w:rPr>
          <w:rStyle w:val="normaltextrun"/>
          <w:rFonts w:cs="Arial"/>
          <w:color w:val="000000" w:themeColor="text1"/>
          <w:lang w:val="es-ES"/>
        </w:rPr>
        <w:t>s</w:t>
      </w:r>
      <w:r w:rsidRPr="5775DF11">
        <w:rPr>
          <w:rStyle w:val="normaltextrun"/>
          <w:rFonts w:cs="Arial"/>
          <w:color w:val="000000" w:themeColor="text1"/>
          <w:lang w:val="es-ES"/>
        </w:rPr>
        <w:t xml:space="preserve"> en áreas excluibles de la minería y otros territorios ambientalmente protegidos como consecuencia de las falencias planteadas. Tales como:</w:t>
      </w:r>
      <w:r w:rsidRPr="5775DF11">
        <w:rPr>
          <w:rStyle w:val="normaltextrun"/>
          <w:lang w:val="es-ES"/>
        </w:rPr>
        <w:t xml:space="preserve"> (i) Áreas del sistema de parques nacionales naturales de Colombia (Parques Nacionales Naturales, Reservas Naturales, Áreas Naturales Únicas, Santuarios de Fauna y Flora, Vías Parque); (</w:t>
      </w:r>
      <w:proofErr w:type="spellStart"/>
      <w:r w:rsidRPr="5775DF11">
        <w:rPr>
          <w:rStyle w:val="normaltextrun"/>
          <w:lang w:val="es-ES"/>
        </w:rPr>
        <w:t>ii</w:t>
      </w:r>
      <w:proofErr w:type="spellEnd"/>
      <w:r w:rsidRPr="5775DF11">
        <w:rPr>
          <w:rStyle w:val="normaltextrun"/>
          <w:lang w:val="es-ES"/>
        </w:rPr>
        <w:t>) otras categorías del SINAP (Parques Regionales Naturales, Reservas Forestales Protectoras, Distritos Regionales de Manejo, Distritos de Conservación de Suelos, Áreas de Recreación y  Reservas Naturales de la Sociedad Civil); (</w:t>
      </w:r>
      <w:proofErr w:type="spellStart"/>
      <w:r w:rsidRPr="5775DF11">
        <w:rPr>
          <w:rStyle w:val="normaltextrun"/>
          <w:lang w:val="es-ES"/>
        </w:rPr>
        <w:t>iii</w:t>
      </w:r>
      <w:proofErr w:type="spellEnd"/>
      <w:r w:rsidRPr="5775DF11">
        <w:rPr>
          <w:rStyle w:val="normaltextrun"/>
          <w:lang w:val="es-ES"/>
        </w:rPr>
        <w:t>) Ecosistemas Estratégicos y Áreas de especial Importancia Ecológica (Páramos, Manglares, Arrecifes Coralinos, Pastos marinos, Zonas Recarga Acuíferos, Humedales Interiores, Bosques Secos,  Rondas hídricas, Nacimientos de agua, Sabanas Naturales, Bosques Naturales, Zonas costeras, estuarios, meandros, ciénagas y otros hábitats hidrobiológicos); (</w:t>
      </w:r>
      <w:proofErr w:type="spellStart"/>
      <w:r w:rsidRPr="5775DF11">
        <w:rPr>
          <w:rStyle w:val="normaltextrun"/>
          <w:lang w:val="es-ES"/>
        </w:rPr>
        <w:t>iv</w:t>
      </w:r>
      <w:proofErr w:type="spellEnd"/>
      <w:r w:rsidRPr="5775DF11">
        <w:rPr>
          <w:rStyle w:val="normaltextrun"/>
          <w:lang w:val="es-ES"/>
        </w:rPr>
        <w:t xml:space="preserve">) Reservas Forestales de la Ley 2 de 1959; (v) Estrategias de Conservación </w:t>
      </w:r>
      <w:proofErr w:type="spellStart"/>
      <w:r w:rsidRPr="5775DF11">
        <w:rPr>
          <w:rStyle w:val="normaltextrun"/>
          <w:lang w:val="es-ES"/>
        </w:rPr>
        <w:t>In-situ</w:t>
      </w:r>
      <w:proofErr w:type="spellEnd"/>
      <w:r w:rsidRPr="5775DF11">
        <w:rPr>
          <w:rStyle w:val="normaltextrun"/>
          <w:lang w:val="es-ES"/>
        </w:rPr>
        <w:t xml:space="preserve"> (Humedales RAMSAR, Reservas de la Biósfera, Distritos de Manejo Integrado DMI del Área de Manejo Especial de La Amazonia). La f</w:t>
      </w:r>
      <w:r w:rsidRPr="5775DF11">
        <w:rPr>
          <w:color w:val="000000" w:themeColor="text1"/>
        </w:rPr>
        <w:t>alta de reconocimiento de las determinantes ambientales y su aplicación en la planificación minera desde sus etapas tempranas genera impactos socioambientales y conflictos territoriales</w:t>
      </w:r>
      <w:r w:rsidRPr="5775DF11">
        <w:rPr>
          <w:rFonts w:eastAsiaTheme="majorEastAsia"/>
        </w:rPr>
        <w:t>.</w:t>
      </w:r>
    </w:p>
    <w:p w:rsidRPr="0016082C" w:rsidR="0016082C" w:rsidP="2B686558" w:rsidRDefault="0016082C" w14:paraId="243A7F74" w14:textId="77777777">
      <w:pPr>
        <w:pStyle w:val="paragraph"/>
        <w:spacing w:before="0" w:beforeAutospacing="0" w:after="0" w:afterAutospacing="0"/>
        <w:textAlignment w:val="baseline"/>
        <w:rPr>
          <w:rStyle w:val="eop"/>
          <w:rFonts w:eastAsiaTheme="majorEastAsia"/>
          <w:highlight w:val="yellow"/>
        </w:rPr>
      </w:pPr>
    </w:p>
    <w:p w:rsidRPr="009A7B00" w:rsidR="00C443D6" w:rsidRDefault="009A7B00" w14:paraId="187DD1D3" w14:textId="3F4BE8F3">
      <w:pPr>
        <w:pStyle w:val="Heading2"/>
        <w:numPr>
          <w:ilvl w:val="0"/>
          <w:numId w:val="9"/>
        </w:numPr>
        <w:ind w:left="-142" w:firstLine="142"/>
      </w:pPr>
      <w:bookmarkStart w:name="_Toc210292975" w:id="576"/>
      <w:r w:rsidRPr="009A7B00">
        <w:t>Deficiencias de articulación institucional e intersectorial para la toma de decisiones.</w:t>
      </w:r>
      <w:bookmarkEnd w:id="576"/>
    </w:p>
    <w:p w:rsidRPr="009A7B00" w:rsidR="00C443D6" w:rsidP="00C443D6" w:rsidRDefault="00C443D6" w14:paraId="2DE74C64" w14:textId="77777777"/>
    <w:p w:rsidR="008F2AF4" w:rsidP="008F2AF4" w:rsidRDefault="008F2AF4" w14:paraId="43250FF7" w14:textId="3845F792">
      <w:pPr>
        <w:pStyle w:val="Caption"/>
        <w:keepNext/>
        <w:jc w:val="both"/>
        <w:rPr>
          <w:b w:val="0"/>
          <w:bCs w:val="0"/>
          <w:sz w:val="22"/>
          <w:szCs w:val="22"/>
          <w:lang w:eastAsia="es-CO"/>
        </w:rPr>
      </w:pPr>
      <w:r w:rsidRPr="004C26E3">
        <w:rPr>
          <w:b w:val="0"/>
          <w:bCs w:val="0"/>
          <w:sz w:val="22"/>
          <w:szCs w:val="22"/>
          <w:lang w:eastAsia="es-CO"/>
        </w:rPr>
        <w:t xml:space="preserve">El Ministerio de Minas y Energía en su calidad de ente rector del sector minero, tiene la responsabilidad de formular y orientar la política pública. La Agencia Nacional de Minería, como autoridad minera, ejerce la administración integral de los recursos minerales, con el propósito de </w:t>
      </w:r>
      <w:r>
        <w:rPr>
          <w:b w:val="0"/>
          <w:bCs w:val="0"/>
          <w:sz w:val="22"/>
          <w:szCs w:val="22"/>
          <w:lang w:eastAsia="es-CO"/>
        </w:rPr>
        <w:t xml:space="preserve">promover </w:t>
      </w:r>
      <w:r w:rsidRPr="004C26E3">
        <w:rPr>
          <w:b w:val="0"/>
          <w:bCs w:val="0"/>
          <w:sz w:val="22"/>
          <w:szCs w:val="22"/>
          <w:lang w:eastAsia="es-CO"/>
        </w:rPr>
        <w:t xml:space="preserve">su </w:t>
      </w:r>
      <w:r>
        <w:rPr>
          <w:b w:val="0"/>
          <w:bCs w:val="0"/>
          <w:sz w:val="22"/>
          <w:szCs w:val="22"/>
          <w:lang w:eastAsia="es-CO"/>
        </w:rPr>
        <w:t xml:space="preserve">óptimo </w:t>
      </w:r>
      <w:r w:rsidRPr="004C26E3">
        <w:rPr>
          <w:b w:val="0"/>
          <w:bCs w:val="0"/>
          <w:sz w:val="22"/>
          <w:szCs w:val="22"/>
          <w:lang w:eastAsia="es-CO"/>
        </w:rPr>
        <w:t>aprovechamiento y sostenib</w:t>
      </w:r>
      <w:r>
        <w:rPr>
          <w:b w:val="0"/>
          <w:bCs w:val="0"/>
          <w:sz w:val="22"/>
          <w:szCs w:val="22"/>
          <w:lang w:eastAsia="es-CO"/>
        </w:rPr>
        <w:t>ilidad</w:t>
      </w:r>
      <w:r w:rsidRPr="004C26E3">
        <w:rPr>
          <w:b w:val="0"/>
          <w:bCs w:val="0"/>
          <w:sz w:val="22"/>
          <w:szCs w:val="22"/>
          <w:lang w:eastAsia="es-CO"/>
        </w:rPr>
        <w:t xml:space="preserve">, en articulación con las autoridades ambientales y en cumplimiento de la normatividad vigente. Por su parte, la Unidad de Planeación Minero-Energética </w:t>
      </w:r>
      <w:r>
        <w:rPr>
          <w:b w:val="0"/>
          <w:bCs w:val="0"/>
          <w:sz w:val="22"/>
          <w:szCs w:val="22"/>
          <w:lang w:eastAsia="es-CO"/>
        </w:rPr>
        <w:t xml:space="preserve">tiene </w:t>
      </w:r>
      <w:r w:rsidRPr="004C26E3">
        <w:rPr>
          <w:b w:val="0"/>
          <w:bCs w:val="0"/>
          <w:sz w:val="22"/>
          <w:szCs w:val="22"/>
          <w:lang w:eastAsia="es-CO"/>
        </w:rPr>
        <w:t>función de planear de manera integral, indicativa, permanente y coordinada con las entidades que conforman el sector minero-energético</w:t>
      </w:r>
      <w:r w:rsidR="00454AA2">
        <w:rPr>
          <w:b w:val="0"/>
          <w:bCs w:val="0"/>
          <w:sz w:val="22"/>
          <w:szCs w:val="22"/>
          <w:lang w:eastAsia="es-CO"/>
        </w:rPr>
        <w:t>.</w:t>
      </w:r>
    </w:p>
    <w:p w:rsidRPr="00C72E47" w:rsidR="00C72E47" w:rsidP="00C72E47" w:rsidRDefault="00C72E47" w14:paraId="0D0E90A5" w14:textId="385CDE9D">
      <w:pPr>
        <w:pStyle w:val="Caption"/>
        <w:keepNext/>
        <w:jc w:val="both"/>
        <w:rPr>
          <w:rFonts w:eastAsiaTheme="minorHAnsi"/>
          <w:b w:val="0"/>
          <w:bCs w:val="0"/>
          <w:sz w:val="22"/>
          <w:szCs w:val="22"/>
          <w:lang w:eastAsia="es-CO"/>
        </w:rPr>
      </w:pPr>
      <w:r w:rsidRPr="00C72E47">
        <w:rPr>
          <w:rFonts w:eastAsiaTheme="minorHAnsi"/>
          <w:b w:val="0"/>
          <w:bCs w:val="0"/>
          <w:sz w:val="22"/>
          <w:szCs w:val="22"/>
          <w:lang w:eastAsia="es-CO"/>
        </w:rPr>
        <w:t xml:space="preserve">La gestión del sector minero en Colombia involucra intereses y competencias de otras instituciones gubernamentales. En lo relacionado a la competencia ambiental, participan entidades como </w:t>
      </w:r>
      <w:proofErr w:type="spellStart"/>
      <w:r w:rsidRPr="00C72E47">
        <w:rPr>
          <w:rFonts w:eastAsiaTheme="minorHAnsi"/>
          <w:b w:val="0"/>
          <w:bCs w:val="0"/>
          <w:sz w:val="22"/>
          <w:szCs w:val="22"/>
          <w:lang w:eastAsia="es-CO"/>
        </w:rPr>
        <w:t>MinAmbiente</w:t>
      </w:r>
      <w:proofErr w:type="spellEnd"/>
      <w:r w:rsidRPr="00C72E47">
        <w:rPr>
          <w:rFonts w:eastAsiaTheme="minorHAnsi"/>
          <w:b w:val="0"/>
          <w:bCs w:val="0"/>
          <w:sz w:val="22"/>
          <w:szCs w:val="22"/>
          <w:lang w:eastAsia="es-CO"/>
        </w:rPr>
        <w:t xml:space="preserve">, la ANLA, las Corporaciones Autónomas Regionales, las Corporaciones de Desarrollo Sostenible y otras autoridades ambientales, establecidas bajo el Numeral 11 del artículo 189 de la Constitución Política. Estas competencias se reglamentan a través del Decreto Único Reglamentario 1076 del Sector Ambiente y Desarrollo Sostenible. Y desde el ordenamiento territorial, en lo regional y local, participan las gobernaciones y las alcaldías, mediante los POT, EOT y demás actos administrativos que ordenan el uso del suelo (Ver ilustración </w:t>
      </w:r>
      <w:r w:rsidR="00012130">
        <w:rPr>
          <w:rFonts w:eastAsiaTheme="minorHAnsi"/>
          <w:b w:val="0"/>
          <w:bCs w:val="0"/>
          <w:sz w:val="22"/>
          <w:szCs w:val="22"/>
          <w:lang w:eastAsia="es-CO"/>
        </w:rPr>
        <w:t>3</w:t>
      </w:r>
      <w:r w:rsidRPr="00C72E47">
        <w:rPr>
          <w:rFonts w:eastAsiaTheme="minorHAnsi"/>
          <w:b w:val="0"/>
          <w:bCs w:val="0"/>
          <w:sz w:val="22"/>
          <w:szCs w:val="22"/>
          <w:lang w:eastAsia="es-CO"/>
        </w:rPr>
        <w:t>).</w:t>
      </w:r>
    </w:p>
    <w:p w:rsidR="00211366" w:rsidP="00012130" w:rsidRDefault="108F2AEE" w14:paraId="460634E0" w14:textId="23FAC9DD">
      <w:pPr>
        <w:pStyle w:val="Caption"/>
      </w:pPr>
      <w:r w:rsidRPr="02062875">
        <w:rPr>
          <w:b w:val="0"/>
          <w:bCs w:val="0"/>
          <w:sz w:val="22"/>
          <w:szCs w:val="22"/>
          <w:lang w:eastAsia="es-CO"/>
        </w:rPr>
        <w:t xml:space="preserve"> </w:t>
      </w:r>
      <w:bookmarkStart w:name="_Toc210292703" w:id="577"/>
      <w:r w:rsidR="5BBEC4CA">
        <w:t xml:space="preserve">Ilustración </w:t>
      </w:r>
      <w:r w:rsidR="00C72E47">
        <w:fldChar w:fldCharType="begin"/>
      </w:r>
      <w:r w:rsidR="00C72E47">
        <w:instrText>SEQ Ilustración \* ARABIC</w:instrText>
      </w:r>
      <w:r w:rsidR="00C72E47">
        <w:fldChar w:fldCharType="separate"/>
      </w:r>
      <w:r w:rsidRPr="02062875" w:rsidR="2E0FC2D2">
        <w:rPr>
          <w:noProof/>
        </w:rPr>
        <w:t>3</w:t>
      </w:r>
      <w:r w:rsidR="00C72E47">
        <w:fldChar w:fldCharType="end"/>
      </w:r>
      <w:r w:rsidR="5BBEC4CA">
        <w:t>. La institucionalidad en la actividad minera</w:t>
      </w:r>
      <w:bookmarkEnd w:id="577"/>
    </w:p>
    <w:p w:rsidRPr="00417BB7" w:rsidR="00C63243" w:rsidP="02062875" w:rsidRDefault="0E8AF80B" w14:paraId="62912B20" w14:textId="36245077">
      <w:pPr>
        <w:jc w:val="both"/>
      </w:pPr>
      <w:r>
        <w:rPr>
          <w:noProof/>
        </w:rPr>
        <w:drawing>
          <wp:inline distT="0" distB="0" distL="0" distR="0" wp14:anchorId="4A1F3B95" wp14:editId="589778EF">
            <wp:extent cx="5523455" cy="2743438"/>
            <wp:effectExtent l="0" t="0" r="0" b="0"/>
            <wp:docPr id="4827091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709151" name=""/>
                    <pic:cNvPicPr/>
                  </pic:nvPicPr>
                  <pic:blipFill>
                    <a:blip r:embed="rId18">
                      <a:extLst>
                        <a:ext uri="{28A0092B-C50C-407E-A947-70E740481C1C}">
                          <a14:useLocalDpi xmlns:a14="http://schemas.microsoft.com/office/drawing/2010/main" val="0"/>
                        </a:ext>
                      </a:extLst>
                    </a:blip>
                    <a:stretch>
                      <a:fillRect/>
                    </a:stretch>
                  </pic:blipFill>
                  <pic:spPr>
                    <a:xfrm>
                      <a:off x="0" y="0"/>
                      <a:ext cx="5523455" cy="2743438"/>
                    </a:xfrm>
                    <a:prstGeom prst="rect">
                      <a:avLst/>
                    </a:prstGeom>
                  </pic:spPr>
                </pic:pic>
              </a:graphicData>
            </a:graphic>
          </wp:inline>
        </w:drawing>
      </w:r>
    </w:p>
    <w:p w:rsidRPr="00435D05" w:rsidR="00C63243" w:rsidP="00C63243" w:rsidRDefault="00C63243" w14:paraId="76305ACA" w14:textId="62450362">
      <w:pPr>
        <w:pStyle w:val="Caption"/>
        <w:rPr>
          <w:b w:val="0"/>
        </w:rPr>
      </w:pPr>
      <w:r w:rsidRPr="287A971D">
        <w:rPr>
          <w:b w:val="0"/>
          <w:bCs w:val="0"/>
        </w:rPr>
        <w:t>Fuente: Elaborado por Dirección de Minería Empresarial (DME-MINENERGÍA)</w:t>
      </w:r>
      <w:r w:rsidRPr="287A971D" w:rsidR="00435D05">
        <w:rPr>
          <w:b w:val="0"/>
          <w:bCs w:val="0"/>
        </w:rPr>
        <w:t>, 2023.</w:t>
      </w:r>
    </w:p>
    <w:p w:rsidRPr="005B0F98" w:rsidR="005B0F98" w:rsidP="5775DF11" w:rsidRDefault="005B0F98" w14:paraId="3A146818" w14:textId="77777777">
      <w:pPr>
        <w:rPr>
          <w:lang w:val="es-ES" w:eastAsia="es-CO"/>
        </w:rPr>
      </w:pPr>
      <w:r w:rsidRPr="31226965">
        <w:rPr>
          <w:lang w:val="es-ES" w:eastAsia="es-CO"/>
        </w:rPr>
        <w:t xml:space="preserve">Sin embargo, la desarticulación existente entre las instituciones mineras y ambientales ha afectado la toma de decisiones principalmente por: </w:t>
      </w:r>
    </w:p>
    <w:p w:rsidRPr="005B0F98" w:rsidR="005B0F98" w:rsidP="001C54B2" w:rsidRDefault="015E8A5E" w14:paraId="3BEA3D41" w14:textId="77777777">
      <w:pPr>
        <w:numPr>
          <w:ilvl w:val="0"/>
          <w:numId w:val="18"/>
        </w:numPr>
        <w:jc w:val="both"/>
        <w:rPr>
          <w:lang w:val="es-ES" w:eastAsia="es-CO"/>
        </w:rPr>
      </w:pPr>
      <w:r w:rsidRPr="769A4CE5">
        <w:rPr>
          <w:lang w:val="es-ES" w:eastAsia="es-CO"/>
        </w:rPr>
        <w:t xml:space="preserve">Poca planificación intersectorial e interinstitucional, llevando a una falta de coordinación y ausencia de una agenda unificada en torno a la planificación y desarrollo minero. </w:t>
      </w:r>
    </w:p>
    <w:p w:rsidRPr="005B0F98" w:rsidR="005B0F98" w:rsidP="001C54B2" w:rsidRDefault="75CEBC7E" w14:paraId="243CCCF8" w14:textId="77777777">
      <w:pPr>
        <w:numPr>
          <w:ilvl w:val="0"/>
          <w:numId w:val="18"/>
        </w:numPr>
        <w:jc w:val="both"/>
        <w:rPr>
          <w:lang w:val="es-ES" w:eastAsia="es-CO"/>
        </w:rPr>
      </w:pPr>
      <w:r w:rsidRPr="005B0F98">
        <w:rPr>
          <w:lang w:val="es-ES" w:eastAsia="es-CO"/>
        </w:rPr>
        <w:t>Falta de normatividad y regulación minero-ambiental alineada y fortalecida, para atender</w:t>
      </w:r>
      <w:r w:rsidRPr="005B0F98" w:rsidR="005B0F98">
        <w:rPr>
          <w:vertAlign w:val="superscript"/>
          <w:lang w:val="es-ES" w:eastAsia="es-CO"/>
        </w:rPr>
        <w:footnoteReference w:id="31"/>
      </w:r>
      <w:r w:rsidRPr="005B0F98">
        <w:rPr>
          <w:lang w:val="es-ES" w:eastAsia="es-CO"/>
        </w:rPr>
        <w:t xml:space="preserve"> las necesidades de los proyectos mineros y del territorio. </w:t>
      </w:r>
    </w:p>
    <w:p w:rsidRPr="005B0F98" w:rsidR="005B0F98" w:rsidP="001C54B2" w:rsidRDefault="015E8A5E" w14:paraId="4B8FFE37" w14:textId="276594C4">
      <w:pPr>
        <w:numPr>
          <w:ilvl w:val="0"/>
          <w:numId w:val="18"/>
        </w:numPr>
        <w:jc w:val="both"/>
        <w:rPr>
          <w:rFonts w:ascii="Calibri" w:hAnsi="Calibri" w:eastAsia="Calibri" w:cs="Calibri"/>
          <w:lang w:val="es-ES"/>
        </w:rPr>
      </w:pPr>
      <w:r w:rsidRPr="769A4CE5">
        <w:rPr>
          <w:lang w:val="es-ES" w:eastAsia="es-CO"/>
        </w:rPr>
        <w:t>Deficiencias en la integración y comunicación entre los sistemas de información mineros con los ambientales</w:t>
      </w:r>
      <w:r w:rsidRPr="769A4CE5" w:rsidR="37878E69">
        <w:rPr>
          <w:lang w:val="es-ES" w:eastAsia="es-CO"/>
        </w:rPr>
        <w:t xml:space="preserve">, </w:t>
      </w:r>
      <w:r w:rsidRPr="769A4CE5" w:rsidR="37878E69">
        <w:rPr>
          <w:rFonts w:ascii="Calibri" w:hAnsi="Calibri" w:eastAsia="Calibri" w:cs="Calibri"/>
          <w:lang w:val="es-ES"/>
        </w:rPr>
        <w:t>ocasionando superposición de actividades mineras en zonas prohibidas o conflictivas del territorio nacional.</w:t>
      </w:r>
    </w:p>
    <w:p w:rsidRPr="005B0F98" w:rsidR="005B0F98" w:rsidP="001C54B2" w:rsidRDefault="015E8A5E" w14:paraId="6E185FB1" w14:textId="77777777">
      <w:pPr>
        <w:numPr>
          <w:ilvl w:val="0"/>
          <w:numId w:val="18"/>
        </w:numPr>
        <w:jc w:val="both"/>
        <w:rPr>
          <w:lang w:val="es-ES" w:eastAsia="es-CO"/>
        </w:rPr>
      </w:pPr>
      <w:r w:rsidRPr="769A4CE5">
        <w:rPr>
          <w:lang w:val="es-ES" w:eastAsia="es-CO"/>
        </w:rPr>
        <w:t>Inadecuada comunicación interinstitucional con los territorios en los diferentes niveles nacional, regional y local, dificultando la operación de los proyectos mineros en sus etapas.</w:t>
      </w:r>
    </w:p>
    <w:p w:rsidRPr="005B0F98" w:rsidR="005B0F98" w:rsidP="001C54B2" w:rsidRDefault="75CEBC7E" w14:paraId="381BEFBB" w14:textId="77777777">
      <w:pPr>
        <w:numPr>
          <w:ilvl w:val="0"/>
          <w:numId w:val="18"/>
        </w:numPr>
        <w:jc w:val="both"/>
        <w:rPr>
          <w:lang w:val="es-ES" w:eastAsia="es-CO"/>
        </w:rPr>
      </w:pPr>
      <w:r w:rsidRPr="005B0F98">
        <w:rPr>
          <w:lang w:val="es-ES" w:eastAsia="es-CO"/>
        </w:rPr>
        <w:t>Falta de criterios y conceptos consensuados para la gestión y reglamentación de impactos mineros</w:t>
      </w:r>
      <w:r w:rsidRPr="005B0F98" w:rsidR="005B0F98">
        <w:rPr>
          <w:vertAlign w:val="superscript"/>
          <w:lang w:val="es-ES" w:eastAsia="es-CO"/>
        </w:rPr>
        <w:footnoteReference w:id="32"/>
      </w:r>
      <w:r w:rsidRPr="005B0F98">
        <w:rPr>
          <w:lang w:val="es-ES" w:eastAsia="es-CO"/>
        </w:rPr>
        <w:t>, así como en la ausencia de estrategias sectoriales con visión de futuro que permitan consolidar una industria minera responsable, ordenada y con propósito.</w:t>
      </w:r>
    </w:p>
    <w:p w:rsidR="015E8A5E" w:rsidP="001C54B2" w:rsidRDefault="09067A8B" w14:paraId="55075749" w14:textId="13D3E785">
      <w:pPr>
        <w:numPr>
          <w:ilvl w:val="0"/>
          <w:numId w:val="18"/>
        </w:numPr>
        <w:jc w:val="both"/>
        <w:rPr>
          <w:rFonts w:ascii="Calibri" w:hAnsi="Calibri" w:eastAsia="Calibri" w:cs="Calibri"/>
          <w:lang w:val="es-ES"/>
        </w:rPr>
      </w:pPr>
      <w:r w:rsidRPr="17F8AA9B">
        <w:rPr>
          <w:lang w:val="es-ES" w:eastAsia="es-CO"/>
        </w:rPr>
        <w:t xml:space="preserve">La disponibilidad de información intersectorial para la toma de </w:t>
      </w:r>
      <w:r w:rsidRPr="17F8AA9B" w:rsidR="1C6D931F">
        <w:rPr>
          <w:lang w:val="es-ES" w:eastAsia="es-CO"/>
        </w:rPr>
        <w:t>decisiones</w:t>
      </w:r>
      <w:r w:rsidRPr="17F8AA9B">
        <w:rPr>
          <w:lang w:val="es-ES" w:eastAsia="es-CO"/>
        </w:rPr>
        <w:t xml:space="preserve"> presenta brechas significativas en cuanto a herramientas, plataformas y software</w:t>
      </w:r>
      <w:r w:rsidRPr="17F8AA9B" w:rsidR="4E5D31FF">
        <w:rPr>
          <w:lang w:val="es-ES" w:eastAsia="es-CO"/>
        </w:rPr>
        <w:t>. S</w:t>
      </w:r>
      <w:r w:rsidRPr="17F8AA9B">
        <w:rPr>
          <w:lang w:val="es-ES" w:eastAsia="es-CO"/>
        </w:rPr>
        <w:t xml:space="preserve">uelen ser genéricos e incompletos. </w:t>
      </w:r>
    </w:p>
    <w:p w:rsidR="0931D171" w:rsidP="001C54B2" w:rsidRDefault="0931D171" w14:paraId="16C3BDA7" w14:textId="29A6E996">
      <w:pPr>
        <w:numPr>
          <w:ilvl w:val="0"/>
          <w:numId w:val="18"/>
        </w:numPr>
        <w:jc w:val="both"/>
        <w:rPr>
          <w:rFonts w:ascii="Calibri" w:hAnsi="Calibri" w:eastAsia="Calibri" w:cs="Calibri"/>
          <w:lang w:val="es-ES"/>
        </w:rPr>
      </w:pPr>
      <w:r w:rsidRPr="769A4CE5">
        <w:rPr>
          <w:rFonts w:ascii="Calibri" w:hAnsi="Calibri" w:eastAsia="Calibri" w:cs="Calibri"/>
          <w:lang w:val="es-ES"/>
        </w:rPr>
        <w:t>S</w:t>
      </w:r>
      <w:r w:rsidRPr="769A4CE5" w:rsidR="3CA096AD">
        <w:rPr>
          <w:rFonts w:ascii="Calibri" w:hAnsi="Calibri" w:eastAsia="Calibri" w:cs="Calibri"/>
          <w:lang w:val="es-ES"/>
        </w:rPr>
        <w:t>uperposición de competencias, encontrándose que algunas entidades tienen funciones similares o cruzadas.</w:t>
      </w:r>
    </w:p>
    <w:p w:rsidR="3CA096AD" w:rsidP="001C54B2" w:rsidRDefault="3CA096AD" w14:paraId="3488C722" w14:textId="6FC7BAF5">
      <w:pPr>
        <w:numPr>
          <w:ilvl w:val="0"/>
          <w:numId w:val="18"/>
        </w:numPr>
        <w:jc w:val="both"/>
        <w:rPr>
          <w:rFonts w:ascii="Calibri" w:hAnsi="Calibri" w:eastAsia="Calibri" w:cs="Calibri"/>
          <w:lang w:val="es-ES"/>
        </w:rPr>
      </w:pPr>
      <w:r w:rsidRPr="769A4CE5">
        <w:rPr>
          <w:rFonts w:ascii="Calibri" w:hAnsi="Calibri" w:eastAsia="Calibri" w:cs="Calibri"/>
          <w:lang w:val="es-ES"/>
        </w:rPr>
        <w:t xml:space="preserve">Falta de coherencia normativa, generándose conflictos entre derechos mineros adquiridos y áreas de protección ambiental posterior. </w:t>
      </w:r>
    </w:p>
    <w:p w:rsidR="3CA096AD" w:rsidP="001C54B2" w:rsidRDefault="3CA096AD" w14:paraId="512DF6B4" w14:textId="4370271F">
      <w:pPr>
        <w:pStyle w:val="ListParagraph"/>
        <w:numPr>
          <w:ilvl w:val="0"/>
          <w:numId w:val="18"/>
        </w:numPr>
        <w:jc w:val="both"/>
        <w:rPr>
          <w:rFonts w:ascii="Calibri" w:hAnsi="Calibri" w:eastAsia="Calibri" w:cs="Calibri"/>
          <w:lang w:val="es-ES"/>
        </w:rPr>
      </w:pPr>
      <w:r w:rsidRPr="769A4CE5">
        <w:rPr>
          <w:rFonts w:ascii="Calibri" w:hAnsi="Calibri" w:eastAsia="Calibri" w:cs="Calibri"/>
          <w:lang w:val="es-ES"/>
        </w:rPr>
        <w:t>La desarticulación institucional entre el sector minero energético y ambiental, ha generado ineficiencia, inseguridad jurídica, conflictos sociales y ambientales y debilitando de la gobernanza del territori</w:t>
      </w:r>
      <w:r w:rsidRPr="769A4CE5" w:rsidR="6C516CFA">
        <w:rPr>
          <w:rFonts w:ascii="Calibri" w:hAnsi="Calibri" w:eastAsia="Calibri" w:cs="Calibri"/>
          <w:lang w:val="es-ES"/>
        </w:rPr>
        <w:t>o.</w:t>
      </w:r>
    </w:p>
    <w:p w:rsidR="004B4ADA" w:rsidP="001F5EC1" w:rsidRDefault="07658A45" w14:paraId="588227A5" w14:textId="7B3D937E">
      <w:pPr>
        <w:jc w:val="both"/>
        <w:rPr>
          <w:lang w:val="es-ES"/>
        </w:rPr>
      </w:pPr>
      <w:r w:rsidRPr="17F8AA9B">
        <w:rPr>
          <w:lang w:val="es-ES"/>
        </w:rPr>
        <w:t xml:space="preserve">Pese a que en el marco de la Ley 685 de 2001, en </w:t>
      </w:r>
      <w:r w:rsidRPr="17F8AA9B" w:rsidR="3C9C4B00">
        <w:rPr>
          <w:lang w:val="es-ES"/>
        </w:rPr>
        <w:t xml:space="preserve">los </w:t>
      </w:r>
      <w:r w:rsidRPr="17F8AA9B">
        <w:rPr>
          <w:lang w:val="es-ES"/>
        </w:rPr>
        <w:t>artículo</w:t>
      </w:r>
      <w:r w:rsidRPr="17F8AA9B" w:rsidR="1537C26B">
        <w:rPr>
          <w:lang w:val="es-ES"/>
        </w:rPr>
        <w:t>s</w:t>
      </w:r>
      <w:r w:rsidRPr="17F8AA9B">
        <w:rPr>
          <w:lang w:val="es-ES"/>
        </w:rPr>
        <w:t xml:space="preserve"> 336 y </w:t>
      </w:r>
      <w:r w:rsidRPr="17F8AA9B" w:rsidR="06FEE092">
        <w:rPr>
          <w:lang w:val="es-ES"/>
        </w:rPr>
        <w:t>337,</w:t>
      </w:r>
      <w:r w:rsidRPr="17F8AA9B">
        <w:rPr>
          <w:lang w:val="es-ES"/>
        </w:rPr>
        <w:t xml:space="preserve"> se estableció </w:t>
      </w:r>
      <w:r w:rsidRPr="17F8AA9B" w:rsidR="723E3D2B">
        <w:rPr>
          <w:lang w:val="es-ES"/>
        </w:rPr>
        <w:t xml:space="preserve">la creación de </w:t>
      </w:r>
      <w:r w:rsidRPr="17F8AA9B">
        <w:rPr>
          <w:lang w:val="es-ES"/>
        </w:rPr>
        <w:t>un sistema de información minera con aspectos relacionados al conocimiento de la riqueza del subsuelo y la industria general</w:t>
      </w:r>
      <w:r w:rsidRPr="17F8AA9B" w:rsidR="03C599FB">
        <w:rPr>
          <w:lang w:val="es-ES"/>
        </w:rPr>
        <w:t>, con m</w:t>
      </w:r>
      <w:r w:rsidRPr="17F8AA9B">
        <w:rPr>
          <w:lang w:val="es-ES"/>
        </w:rPr>
        <w:t xml:space="preserve">ecanismos de coordinación entre organismos públicos y privados especializados en investigación geológica minera, este no ha sido totalmente implementado. </w:t>
      </w:r>
    </w:p>
    <w:p w:rsidRPr="001F5EC1" w:rsidR="001F5EC1" w:rsidP="001F5EC1" w:rsidRDefault="001F5EC1" w14:paraId="40F02278" w14:textId="5E347BDB">
      <w:pPr>
        <w:jc w:val="both"/>
        <w:rPr>
          <w:lang w:val="es-ES"/>
        </w:rPr>
      </w:pPr>
      <w:r w:rsidRPr="31226965">
        <w:rPr>
          <w:lang w:val="es-ES"/>
        </w:rPr>
        <w:t>Para ello se creó el Sistema Minero Colombiano (SIMCO), administrado por la UPME, en el cual existe información relevante del sector minero en Colombia, haciendo parte del Sistema Minero Energético Colombiano (SIMEC)</w:t>
      </w:r>
      <w:r w:rsidRPr="31226965" w:rsidR="00CC68E4">
        <w:rPr>
          <w:lang w:val="es-ES"/>
        </w:rPr>
        <w:t>. S</w:t>
      </w:r>
      <w:r w:rsidRPr="31226965">
        <w:rPr>
          <w:lang w:val="es-ES"/>
        </w:rPr>
        <w:t>in embargo, a pesar de la existencia de estos</w:t>
      </w:r>
      <w:r w:rsidR="009A7B00">
        <w:rPr>
          <w:lang w:val="es-ES"/>
        </w:rPr>
        <w:t>,</w:t>
      </w:r>
      <w:r w:rsidRPr="31226965">
        <w:rPr>
          <w:lang w:val="es-ES"/>
        </w:rPr>
        <w:t xml:space="preserve"> el intercambio de información intersectorial sigue siendo un reto significativo. Actualmente estos sistemas </w:t>
      </w:r>
      <w:r w:rsidRPr="31226965" w:rsidR="00CC68E4">
        <w:rPr>
          <w:lang w:val="es-ES"/>
        </w:rPr>
        <w:t xml:space="preserve">se </w:t>
      </w:r>
      <w:r w:rsidRPr="31226965">
        <w:rPr>
          <w:lang w:val="es-ES"/>
        </w:rPr>
        <w:t xml:space="preserve">circunscriben a la publicación de información sectorial, sin contar con un mecanismo efectivo de articulación intersectorial que facilite el intercambio de información de manera ágil que permita integrar y armonizar la información y funciones de las diferentes entidades que por mandato legal se requiere conforme a lo dispuesto en el Decreto 235 de 2010. </w:t>
      </w:r>
    </w:p>
    <w:p w:rsidRPr="001F5EC1" w:rsidR="001F5EC1" w:rsidP="001F5EC1" w:rsidRDefault="36A742DA" w14:paraId="2AE45A66" w14:textId="534F5A57">
      <w:pPr>
        <w:jc w:val="both"/>
        <w:rPr>
          <w:lang w:val="es-ES"/>
        </w:rPr>
      </w:pPr>
      <w:r w:rsidRPr="3845A57C">
        <w:rPr>
          <w:lang w:val="es-ES"/>
        </w:rPr>
        <w:t xml:space="preserve">Es fundamental fortalecer la colaboración entre entidades para mejorar el intercambio de información en la administración pública. A pesar de la existencia de directrices de interoperabilidad del Gobierno en Línea, así como principios y políticas orientadas a facilitar un intercambio seguro y eficiente de información, aún queda pendiente su implementación efectiva. La optimización de estos mecanismos es crucial para mejorar los instrumentos de seguimiento y control ambiental en la fase de exploración </w:t>
      </w:r>
      <w:r w:rsidRPr="3845A57C" w:rsidR="52E00A61">
        <w:rPr>
          <w:lang w:val="es-ES"/>
        </w:rPr>
        <w:t>minera y</w:t>
      </w:r>
      <w:r w:rsidRPr="3845A57C">
        <w:rPr>
          <w:lang w:val="es-ES"/>
        </w:rPr>
        <w:t xml:space="preserve"> para desarrollar sistemas de alerta temprana que permitan decisiones más informadas en el proceso de otorgamiento de títulos mineros.</w:t>
      </w:r>
    </w:p>
    <w:p w:rsidRPr="001F5EC1" w:rsidR="001F5EC1" w:rsidP="001F5EC1" w:rsidRDefault="001F5EC1" w14:paraId="0605E25B" w14:textId="372BF734">
      <w:pPr>
        <w:jc w:val="both"/>
        <w:rPr>
          <w:lang w:val="es-ES"/>
        </w:rPr>
      </w:pPr>
      <w:r w:rsidRPr="001F5EC1">
        <w:rPr>
          <w:lang w:val="es-ES"/>
        </w:rPr>
        <w:t xml:space="preserve">Los desafíos en interoperabilidad para permitir una articulación Institucional e intersectorial de los sectores minero y ambiental se encuentran con los siguientes problemas: </w:t>
      </w:r>
    </w:p>
    <w:p w:rsidRPr="001F5EC1" w:rsidR="001F5EC1" w:rsidP="001C54B2" w:rsidRDefault="00C33D8C" w14:paraId="2AC97FF9" w14:textId="1EA60202">
      <w:pPr>
        <w:pStyle w:val="ListParagraph"/>
        <w:numPr>
          <w:ilvl w:val="0"/>
          <w:numId w:val="19"/>
        </w:numPr>
        <w:jc w:val="both"/>
        <w:rPr>
          <w:lang w:val="es-ES"/>
        </w:rPr>
      </w:pPr>
      <w:r w:rsidRPr="5775DF11">
        <w:rPr>
          <w:lang w:val="es-ES"/>
        </w:rPr>
        <w:t>Está p</w:t>
      </w:r>
      <w:r w:rsidRPr="5775DF11" w:rsidR="001F5EC1">
        <w:rPr>
          <w:lang w:val="es-ES"/>
        </w:rPr>
        <w:t xml:space="preserve">endiente una materialización que optimice los instrumentos de seguimiento y control ambiental para la etapa de exploración minera o la generación de alertas tempranas para la decisión del otorgamiento del título minero. </w:t>
      </w:r>
    </w:p>
    <w:p w:rsidRPr="001F5EC1" w:rsidR="001F5EC1" w:rsidP="001C54B2" w:rsidRDefault="001F5EC1" w14:paraId="0F3F2ECE" w14:textId="3020E0B5">
      <w:pPr>
        <w:pStyle w:val="ListParagraph"/>
        <w:numPr>
          <w:ilvl w:val="0"/>
          <w:numId w:val="19"/>
        </w:numPr>
        <w:jc w:val="both"/>
        <w:rPr>
          <w:lang w:val="es-ES"/>
        </w:rPr>
      </w:pPr>
      <w:r w:rsidRPr="001F5EC1">
        <w:rPr>
          <w:lang w:val="es-ES"/>
        </w:rPr>
        <w:t>La falta de coordinación y ausencia de una agenda unificada en torno a la planificación y desarrollo minero que afecta la toma de decisiones en el ordenamiento territorial y ambiental.</w:t>
      </w:r>
    </w:p>
    <w:p w:rsidR="001F5EC1" w:rsidP="001C54B2" w:rsidRDefault="001F5EC1" w14:paraId="05F342EC" w14:textId="4C1C4751">
      <w:pPr>
        <w:pStyle w:val="ListParagraph"/>
        <w:numPr>
          <w:ilvl w:val="0"/>
          <w:numId w:val="19"/>
        </w:numPr>
        <w:jc w:val="both"/>
        <w:rPr>
          <w:lang w:val="es-ES"/>
        </w:rPr>
      </w:pPr>
      <w:r w:rsidRPr="001F5EC1">
        <w:rPr>
          <w:lang w:val="es-ES"/>
        </w:rPr>
        <w:t>Desconexión de la planificación de la actividad minera con los Planes Integrales de Gestión de Cambio Climático, tanto territoriales como sectoriales.</w:t>
      </w:r>
    </w:p>
    <w:p w:rsidRPr="00684653" w:rsidR="00684653" w:rsidP="001C54B2" w:rsidRDefault="2EE56FE4" w14:paraId="719EB0BF" w14:textId="5313AF5C">
      <w:pPr>
        <w:pStyle w:val="ListParagraph"/>
        <w:numPr>
          <w:ilvl w:val="0"/>
          <w:numId w:val="19"/>
        </w:numPr>
        <w:rPr>
          <w:lang w:val="es-ES"/>
        </w:rPr>
      </w:pPr>
      <w:r w:rsidRPr="00684653">
        <w:rPr>
          <w:lang w:val="es-ES"/>
        </w:rPr>
        <w:t>La falta de planificación intersectorial e interinstitucional en la expedición de regulación minero ambiental, ha incidido significativamente en exacerbar la debilidad en la articulación institucional para la toma de decisiones</w:t>
      </w:r>
      <w:r w:rsidRPr="00684653" w:rsidR="00684653">
        <w:rPr>
          <w:rStyle w:val="FootnoteReference"/>
          <w:rFonts w:ascii="Calibri" w:hAnsi="Calibri" w:cs="Calibri"/>
        </w:rPr>
        <w:footnoteReference w:id="33"/>
      </w:r>
      <w:r w:rsidRPr="00684653">
        <w:rPr>
          <w:lang w:val="es-ES"/>
        </w:rPr>
        <w:t>.</w:t>
      </w:r>
    </w:p>
    <w:p w:rsidRPr="001F5EC1" w:rsidR="00684653" w:rsidP="00684653" w:rsidRDefault="00684653" w14:paraId="27DB28C6" w14:textId="77777777">
      <w:pPr>
        <w:pStyle w:val="ListParagraph"/>
        <w:jc w:val="both"/>
        <w:rPr>
          <w:lang w:val="es-ES"/>
        </w:rPr>
      </w:pPr>
    </w:p>
    <w:p w:rsidR="000672CC" w:rsidP="00462BD7" w:rsidRDefault="000672CC" w14:paraId="12C11B87" w14:textId="77777777">
      <w:pPr>
        <w:jc w:val="both"/>
        <w:rPr>
          <w:lang w:eastAsia="es-CO"/>
        </w:rPr>
      </w:pPr>
      <w:r w:rsidRPr="000672CC">
        <w:rPr>
          <w:lang w:eastAsia="es-CO"/>
        </w:rPr>
        <w:t xml:space="preserve">Así, las dimensiones ambiental y social no han sido tomadas en cuenta con el verdadero rigor que debería tener. Lo anterior, dificulta el desarrollo del sector y su contribución al desarrollo social y económico de las regiones con entornos mineros donde se realiza la actividad a lo largo del país, lo que se suma a la debilidad institucional y la ausencia del Estado en territorios con presencia de actividades mineras localizadas en zonas remotas y alejados de centros económicos locales. </w:t>
      </w:r>
    </w:p>
    <w:p w:rsidRPr="009A5F01" w:rsidR="00462BD7" w:rsidP="00462BD7" w:rsidRDefault="00462BD7" w14:paraId="6173ECCD" w14:textId="375D5636">
      <w:pPr>
        <w:jc w:val="both"/>
        <w:rPr>
          <w:lang w:eastAsia="es-CO"/>
        </w:rPr>
      </w:pPr>
      <w:r w:rsidRPr="009A5F01">
        <w:rPr>
          <w:lang w:eastAsia="es-CO"/>
        </w:rPr>
        <w:t xml:space="preserve">Diversos estudios coinciden en señalar que la falta de coordinación entre los distintos niveles de gobierno y la fragilidad de las instituciones locales son problemas recurrentes en territorios con presencia de violencia y grupos armados. Estos factores, sumados a los conflictos asociados a la actividad minera, </w:t>
      </w:r>
      <w:r>
        <w:rPr>
          <w:lang w:eastAsia="es-CO"/>
        </w:rPr>
        <w:t xml:space="preserve">inciden y dificultan </w:t>
      </w:r>
      <w:r w:rsidRPr="009A5F01">
        <w:rPr>
          <w:lang w:eastAsia="es-CO"/>
        </w:rPr>
        <w:t>el desarrollo económico de</w:t>
      </w:r>
      <w:r>
        <w:rPr>
          <w:lang w:eastAsia="es-CO"/>
        </w:rPr>
        <w:t xml:space="preserve"> estos </w:t>
      </w:r>
      <w:r w:rsidRPr="009A5F01">
        <w:rPr>
          <w:lang w:eastAsia="es-CO"/>
        </w:rPr>
        <w:t>municipios mineros</w:t>
      </w:r>
      <w:r>
        <w:rPr>
          <w:lang w:eastAsia="es-CO"/>
        </w:rPr>
        <w:t>.</w:t>
      </w:r>
    </w:p>
    <w:p w:rsidRPr="001F5EC1" w:rsidR="001F5EC1" w:rsidP="001F5EC1" w:rsidRDefault="07658A45" w14:paraId="70E59690" w14:textId="43F33FDC">
      <w:pPr>
        <w:jc w:val="both"/>
        <w:rPr>
          <w:lang w:val="es-ES"/>
        </w:rPr>
      </w:pPr>
      <w:r w:rsidRPr="17F8AA9B">
        <w:rPr>
          <w:lang w:val="es-ES"/>
        </w:rPr>
        <w:t xml:space="preserve">En el </w:t>
      </w:r>
      <w:r w:rsidRPr="17F8AA9B">
        <w:rPr>
          <w:i/>
          <w:iCs/>
          <w:lang w:val="es-ES"/>
        </w:rPr>
        <w:t>Informe del Estado de los Recursos Naturales y del Ambiente IERNA</w:t>
      </w:r>
      <w:r w:rsidRPr="17F8AA9B">
        <w:rPr>
          <w:lang w:val="es-ES"/>
        </w:rPr>
        <w:t xml:space="preserve"> (2021 – 2022) elaborado por la Contraloría General de la República se menciona que uno de los mecanismos de articulación y coordinación para la sostenibilidad son las Agendas Estratégicas Intersectoriales</w:t>
      </w:r>
      <w:r w:rsidRPr="17F8AA9B" w:rsidR="7C5941CB">
        <w:rPr>
          <w:lang w:val="es-ES"/>
        </w:rPr>
        <w:t>,</w:t>
      </w:r>
      <w:r w:rsidRPr="17F8AA9B">
        <w:rPr>
          <w:lang w:val="es-ES"/>
        </w:rPr>
        <w:t xml:space="preserve"> en cabeza de </w:t>
      </w:r>
      <w:proofErr w:type="spellStart"/>
      <w:r w:rsidRPr="17F8AA9B">
        <w:rPr>
          <w:lang w:val="es-ES"/>
        </w:rPr>
        <w:t>Min</w:t>
      </w:r>
      <w:r w:rsidR="00454AA2">
        <w:rPr>
          <w:lang w:val="es-ES"/>
        </w:rPr>
        <w:t>A</w:t>
      </w:r>
      <w:r w:rsidRPr="17F8AA9B">
        <w:rPr>
          <w:lang w:val="es-ES"/>
        </w:rPr>
        <w:t>mbiente</w:t>
      </w:r>
      <w:proofErr w:type="spellEnd"/>
      <w:r w:rsidRPr="17F8AA9B" w:rsidR="251A8930">
        <w:rPr>
          <w:lang w:val="es-ES"/>
        </w:rPr>
        <w:t>. Estas agen</w:t>
      </w:r>
      <w:r w:rsidRPr="17F8AA9B" w:rsidR="46C1DD32">
        <w:rPr>
          <w:lang w:val="es-ES"/>
        </w:rPr>
        <w:t>d</w:t>
      </w:r>
      <w:r w:rsidRPr="17F8AA9B" w:rsidR="251A8930">
        <w:rPr>
          <w:lang w:val="es-ES"/>
        </w:rPr>
        <w:t>as</w:t>
      </w:r>
      <w:r w:rsidRPr="17F8AA9B">
        <w:rPr>
          <w:lang w:val="es-ES"/>
        </w:rPr>
        <w:t xml:space="preserve"> permiten el trabajo conjunto y permanente entre </w:t>
      </w:r>
      <w:r w:rsidRPr="17F8AA9B" w:rsidR="7A10E0AF">
        <w:rPr>
          <w:lang w:val="es-ES"/>
        </w:rPr>
        <w:t xml:space="preserve">el sector ambiente </w:t>
      </w:r>
      <w:r w:rsidRPr="17F8AA9B">
        <w:rPr>
          <w:lang w:val="es-ES"/>
        </w:rPr>
        <w:t>y otr</w:t>
      </w:r>
      <w:r w:rsidRPr="17F8AA9B" w:rsidR="7C5941CB">
        <w:rPr>
          <w:lang w:val="es-ES"/>
        </w:rPr>
        <w:t>as carteras</w:t>
      </w:r>
      <w:r w:rsidRPr="17F8AA9B">
        <w:rPr>
          <w:lang w:val="es-ES"/>
        </w:rPr>
        <w:t xml:space="preserve"> para fortalecer la regulación ambiental. En el caso del </w:t>
      </w:r>
      <w:proofErr w:type="spellStart"/>
      <w:r w:rsidRPr="17F8AA9B">
        <w:rPr>
          <w:lang w:val="es-ES"/>
        </w:rPr>
        <w:t>MinEnergía</w:t>
      </w:r>
      <w:proofErr w:type="spellEnd"/>
      <w:r w:rsidRPr="17F8AA9B">
        <w:rPr>
          <w:lang w:val="es-ES"/>
        </w:rPr>
        <w:t xml:space="preserve"> esta agenda fue firmada en el año 2020, la cual, tiene como propósito articular acciones sectoriales e intersectoriales para construir criterios y herramientas que faciliten la planificación del sector, mediante políticas y programas armonizados para la contribución del sector en la construcción de instrumentos regulatorios ambientales </w:t>
      </w:r>
      <w:sdt>
        <w:sdtPr>
          <w:rPr>
            <w:lang w:val="es-ES"/>
          </w:rPr>
          <w:id w:val="1980109057"/>
          <w:citation/>
        </w:sdtPr>
        <w:sdtEndPr/>
        <w:sdtContent>
          <w:r w:rsidR="00F1294E">
            <w:rPr>
              <w:lang w:val="es-ES"/>
            </w:rPr>
            <w:fldChar w:fldCharType="begin"/>
          </w:r>
          <w:r w:rsidR="00F1294E">
            <w:instrText xml:space="preserve"> CITATION CGN21 \l 9226 </w:instrText>
          </w:r>
          <w:r w:rsidR="00F1294E">
            <w:rPr>
              <w:lang w:val="es-ES"/>
            </w:rPr>
            <w:fldChar w:fldCharType="separate"/>
          </w:r>
          <w:r w:rsidR="00104221">
            <w:rPr>
              <w:noProof/>
            </w:rPr>
            <w:t>(CGR, 2021)</w:t>
          </w:r>
          <w:r w:rsidR="00F1294E">
            <w:rPr>
              <w:lang w:val="es-ES"/>
            </w:rPr>
            <w:fldChar w:fldCharType="end"/>
          </w:r>
        </w:sdtContent>
      </w:sdt>
      <w:r w:rsidR="00F1294E">
        <w:rPr>
          <w:lang w:val="es-ES"/>
        </w:rPr>
        <w:t xml:space="preserve">. </w:t>
      </w:r>
      <w:r w:rsidRPr="17F8AA9B">
        <w:rPr>
          <w:lang w:val="es-ES"/>
        </w:rPr>
        <w:t>No obstante, pese a la existencia de estos mecanismos, persiste una falta de planeación intersectorial para la expedición de regulación minera y ambiental y una ausencia de comunicación interinstitucional en los diferentes órdenes (nacional, regional y local) con incidencia en las etapas del proyecto minero.</w:t>
      </w:r>
    </w:p>
    <w:p w:rsidRPr="001F5EC1" w:rsidR="001F5EC1" w:rsidP="001F5EC1" w:rsidRDefault="7EB54EC8" w14:paraId="224DD5E1" w14:textId="67C52C32">
      <w:pPr>
        <w:jc w:val="both"/>
        <w:rPr>
          <w:lang w:val="es-ES"/>
        </w:rPr>
      </w:pPr>
      <w:r w:rsidRPr="17F8AA9B">
        <w:rPr>
          <w:lang w:val="es-ES"/>
        </w:rPr>
        <w:t xml:space="preserve">Otra herramienta creada en el año </w:t>
      </w:r>
      <w:r w:rsidRPr="17F8AA9B" w:rsidR="27C1D1BA">
        <w:rPr>
          <w:lang w:val="es-ES"/>
        </w:rPr>
        <w:t>2017</w:t>
      </w:r>
      <w:r w:rsidRPr="17F8AA9B">
        <w:rPr>
          <w:lang w:val="es-ES"/>
        </w:rPr>
        <w:t xml:space="preserve"> es el Comité de Coordinación de Planeación Minera (COCPMI) de la UPME</w:t>
      </w:r>
      <w:r w:rsidRPr="17F8AA9B" w:rsidR="0CCE2D68">
        <w:rPr>
          <w:lang w:val="es-ES"/>
        </w:rPr>
        <w:t xml:space="preserve">. </w:t>
      </w:r>
      <w:r w:rsidRPr="17F8AA9B" w:rsidR="641A5449">
        <w:rPr>
          <w:rFonts w:ascii="Calibri" w:hAnsi="Calibri" w:eastAsia="Calibri" w:cs="Calibri"/>
          <w:lang w:val="es-ES"/>
        </w:rPr>
        <w:t>Este comité tiene como objeto coordinar y acompañar los procesos de planeación del sector minero, a fin de compatibilizar criterios e identificar estrategias, metodologías e información que permitan promover una agenda pública unificada sobre la minería.</w:t>
      </w:r>
      <w:r w:rsidRPr="17F8AA9B" w:rsidR="7B34DDC5">
        <w:rPr>
          <w:lang w:val="es-ES"/>
        </w:rPr>
        <w:t xml:space="preserve"> Así, se busca </w:t>
      </w:r>
      <w:r w:rsidRPr="17F8AA9B" w:rsidR="0D2C62E2">
        <w:rPr>
          <w:lang w:val="es-ES"/>
        </w:rPr>
        <w:t>realizar una</w:t>
      </w:r>
      <w:r w:rsidRPr="17F8AA9B">
        <w:rPr>
          <w:lang w:val="es-ES"/>
        </w:rPr>
        <w:t xml:space="preserve"> planeación de mediano y largo plazo que genere una señal clara a la institucionalidad, los operadores y al resto de actores</w:t>
      </w:r>
      <w:r w:rsidRPr="17F8AA9B" w:rsidR="0D2C62E2">
        <w:rPr>
          <w:lang w:val="es-ES"/>
        </w:rPr>
        <w:t>,</w:t>
      </w:r>
      <w:r w:rsidRPr="17F8AA9B">
        <w:rPr>
          <w:lang w:val="es-ES"/>
        </w:rPr>
        <w:t xml:space="preserve"> y </w:t>
      </w:r>
      <w:r w:rsidRPr="17F8AA9B" w:rsidR="5BDCBA04">
        <w:rPr>
          <w:lang w:val="es-ES"/>
        </w:rPr>
        <w:t>que,</w:t>
      </w:r>
      <w:r w:rsidRPr="17F8AA9B">
        <w:rPr>
          <w:lang w:val="es-ES"/>
        </w:rPr>
        <w:t xml:space="preserve"> de esta manera, permita focalizar acciones sobre los elementos claves del sector de manera articulada. A la fecha, este comité se encuentra vigente, sin embargo, se debe</w:t>
      </w:r>
      <w:r w:rsidRPr="17F8AA9B" w:rsidR="16094D43">
        <w:rPr>
          <w:lang w:val="es-ES"/>
        </w:rPr>
        <w:t>n</w:t>
      </w:r>
      <w:r w:rsidRPr="17F8AA9B">
        <w:rPr>
          <w:lang w:val="es-ES"/>
        </w:rPr>
        <w:t xml:space="preserve"> fortalecer e impulsar los resultados que se pretendían con el mismo. Obsérvese, que estos asuntos fueron visibles para el Consejo de Estado, pues reiteró las problemáticas asociadas a la “Desarticulación institucional</w:t>
      </w:r>
      <w:r w:rsidRPr="17F8AA9B" w:rsidR="51E35A7E">
        <w:rPr>
          <w:lang w:val="es-ES"/>
        </w:rPr>
        <w:t>”.</w:t>
      </w:r>
      <w:r w:rsidRPr="17F8AA9B">
        <w:rPr>
          <w:lang w:val="es-ES"/>
        </w:rPr>
        <w:t xml:space="preserve"> En ese sentido, mencionó “(…)</w:t>
      </w:r>
      <w:r w:rsidRPr="17F8AA9B" w:rsidR="2F1B8AD6">
        <w:rPr>
          <w:lang w:val="es-ES"/>
        </w:rPr>
        <w:t xml:space="preserve"> </w:t>
      </w:r>
      <w:r w:rsidRPr="17F8AA9B">
        <w:rPr>
          <w:lang w:val="es-ES"/>
        </w:rPr>
        <w:t>la desarticulación frente a las decisiones que en materia de ordenamiento territorial han adoptado los municipios y distritos, por cuanto a través de las licencias ambientales se desconocen decisiones e intereses locales plasmados en los Planes de Ordenamiento Territorial e incluso se desconocen procesos de ordenamiento ambiental regional adoptados por las Corporaciones a través de los Planes de Ordenamiento y Manejo de Cuencas Hidrográficas (…)”</w:t>
      </w:r>
      <w:r w:rsidRPr="17F8AA9B" w:rsidR="001F5EC1">
        <w:rPr>
          <w:vertAlign w:val="superscript"/>
          <w:lang w:val="es-ES"/>
        </w:rPr>
        <w:footnoteReference w:id="34"/>
      </w:r>
      <w:r w:rsidRPr="17F8AA9B">
        <w:rPr>
          <w:lang w:val="es-ES"/>
        </w:rPr>
        <w:t xml:space="preserve">. </w:t>
      </w:r>
    </w:p>
    <w:p w:rsidRPr="00B60F45" w:rsidR="00462BD7" w:rsidP="00462BD7" w:rsidRDefault="7EB54EC8" w14:paraId="3F2EFEAB" w14:textId="68BFC873">
      <w:pPr>
        <w:jc w:val="both"/>
        <w:rPr>
          <w:lang w:eastAsia="es-CO"/>
        </w:rPr>
      </w:pPr>
      <w:r w:rsidRPr="17F8AA9B">
        <w:rPr>
          <w:lang w:val="es-ES"/>
        </w:rPr>
        <w:t xml:space="preserve">Otra dificultad </w:t>
      </w:r>
      <w:r w:rsidRPr="17F8AA9B" w:rsidR="51E35A7E">
        <w:rPr>
          <w:lang w:val="es-ES"/>
        </w:rPr>
        <w:t xml:space="preserve">identificada </w:t>
      </w:r>
      <w:r w:rsidRPr="17F8AA9B">
        <w:rPr>
          <w:lang w:val="es-ES"/>
        </w:rPr>
        <w:t xml:space="preserve">en los informes de la Contraloría General de la República en </w:t>
      </w:r>
      <w:r w:rsidRPr="17F8AA9B" w:rsidR="51E35A7E">
        <w:rPr>
          <w:lang w:val="es-ES"/>
        </w:rPr>
        <w:t>relación con la</w:t>
      </w:r>
      <w:r w:rsidRPr="17F8AA9B">
        <w:rPr>
          <w:lang w:val="es-ES"/>
        </w:rPr>
        <w:t xml:space="preserve"> articulación tiene que ver con las debilidades en el licenciamiento ambiental de las actividades mineras</w:t>
      </w:r>
      <w:r w:rsidRPr="17F8AA9B" w:rsidR="51E35A7E">
        <w:rPr>
          <w:lang w:val="es-ES"/>
        </w:rPr>
        <w:t>.</w:t>
      </w:r>
      <w:r w:rsidRPr="17F8AA9B">
        <w:rPr>
          <w:lang w:val="es-ES"/>
        </w:rPr>
        <w:t xml:space="preserve"> Existe un incumplimiento normativo por parte de las Autoridades Ambientales, ya que tanto el Código de Minas como la Ley 99 de 1993 establecen la obligatoriedad de ejecutar las actividades de exploración con estricta sujeción a la Guía Minero Ambiental, así como de hacer seguimiento a las mismas. </w:t>
      </w:r>
      <w:r w:rsidRPr="17F8AA9B" w:rsidR="19D099BD">
        <w:rPr>
          <w:rFonts w:ascii="Calibri" w:hAnsi="Calibri" w:eastAsia="Calibri" w:cs="Calibri"/>
          <w:lang w:val="es"/>
        </w:rPr>
        <w:t>Sin embargo, no se han establecido mecanismos de articulación entre la ANM, las Corporaciones Autónomas Regionales o de Desarrollo Sostenible y las autoridades ambientales de los centros urbanos para adelantar el seguimiento a las actividades de exploración minera, de manera que estas se ajusten a la Guía Minero-Ambiental expedida y, así, se disminuya el riesgo de causar daños ambientales</w:t>
      </w:r>
      <w:r w:rsidRPr="17F8AA9B" w:rsidR="001F5EC1">
        <w:rPr>
          <w:vertAlign w:val="superscript"/>
          <w:lang w:val="es-ES"/>
        </w:rPr>
        <w:footnoteReference w:id="35"/>
      </w:r>
      <w:r w:rsidRPr="17F8AA9B">
        <w:rPr>
          <w:lang w:val="es-ES"/>
        </w:rPr>
        <w:t xml:space="preserve"> . </w:t>
      </w:r>
      <w:r w:rsidRPr="00B60F45" w:rsidR="019B77A9">
        <w:rPr>
          <w:lang w:eastAsia="es-CO"/>
        </w:rPr>
        <w:t xml:space="preserve">La Ley 99 de 1993 establecía la licencia ambiental como requisito para la fase de exploración minera; sin embargo, este requisito fue eliminado con la expedición de la Ley 685 de 2001. Tal decisión generó serias consecuencias ambientales, hoy evidentes en actividades como la explotación de carbón a cielo abierto, la extracción de materiales para grandes obras de infraestructura vial y la exploración y explotación de oro, prácticas que han ejercido una fuerte presión sobre los ecosistemas y alterado el flujo de aguas subterráneas </w:t>
      </w:r>
      <w:sdt>
        <w:sdtPr>
          <w:rPr>
            <w:lang w:eastAsia="es-CO"/>
          </w:rPr>
          <w:id w:val="800812958"/>
          <w:citation/>
        </w:sdtPr>
        <w:sdtEndPr/>
        <w:sdtContent>
          <w:r w:rsidR="00F1294E">
            <w:rPr>
              <w:lang w:eastAsia="es-CO"/>
            </w:rPr>
            <w:fldChar w:fldCharType="begin"/>
          </w:r>
          <w:r w:rsidR="00F1294E">
            <w:rPr>
              <w:lang w:eastAsia="es-CO"/>
            </w:rPr>
            <w:instrText xml:space="preserve"> CITATION CGN21 \l 9226 </w:instrText>
          </w:r>
          <w:r w:rsidR="00F1294E">
            <w:rPr>
              <w:lang w:eastAsia="es-CO"/>
            </w:rPr>
            <w:fldChar w:fldCharType="separate"/>
          </w:r>
          <w:r w:rsidR="00104221">
            <w:rPr>
              <w:noProof/>
              <w:lang w:eastAsia="es-CO"/>
            </w:rPr>
            <w:t>(CGR, 2021)</w:t>
          </w:r>
          <w:r w:rsidR="00F1294E">
            <w:rPr>
              <w:lang w:eastAsia="es-CO"/>
            </w:rPr>
            <w:fldChar w:fldCharType="end"/>
          </w:r>
        </w:sdtContent>
      </w:sdt>
      <w:r w:rsidR="00F1294E">
        <w:rPr>
          <w:lang w:eastAsia="es-CO"/>
        </w:rPr>
        <w:t>.</w:t>
      </w:r>
    </w:p>
    <w:p w:rsidRPr="00B60F45" w:rsidR="00462BD7" w:rsidP="00462BD7" w:rsidRDefault="019B77A9" w14:paraId="107E0D0C" w14:textId="60875D37">
      <w:pPr>
        <w:jc w:val="both"/>
        <w:rPr>
          <w:lang w:eastAsia="es-CO"/>
        </w:rPr>
      </w:pPr>
      <w:r w:rsidRPr="3845A57C">
        <w:rPr>
          <w:lang w:eastAsia="es-CO"/>
        </w:rPr>
        <w:t xml:space="preserve">Adicionalmente, la articulación institucional ha sido insuficiente para garantizar un adecuado control y seguimiento en el cierre de minas, en la definición de estrategias frente a los impactos ambientales huérfanos derivados de las actividades mineras, así como en la implementación de programas que promuevan una producción más limpia en la extracción de oro, particularmente en la eliminación del uso del mercurio </w:t>
      </w:r>
      <w:sdt>
        <w:sdtPr>
          <w:rPr>
            <w:lang w:eastAsia="es-CO"/>
          </w:rPr>
          <w:id w:val="1616706284"/>
          <w:citation/>
        </w:sdtPr>
        <w:sdtEndPr/>
        <w:sdtContent>
          <w:r w:rsidR="00F1294E">
            <w:rPr>
              <w:lang w:eastAsia="es-CO"/>
            </w:rPr>
            <w:fldChar w:fldCharType="begin"/>
          </w:r>
          <w:r w:rsidR="00F1294E">
            <w:rPr>
              <w:lang w:eastAsia="es-CO"/>
            </w:rPr>
            <w:instrText xml:space="preserve"> CITATION CGN21 \l 9226 </w:instrText>
          </w:r>
          <w:r w:rsidR="00F1294E">
            <w:rPr>
              <w:lang w:eastAsia="es-CO"/>
            </w:rPr>
            <w:fldChar w:fldCharType="separate"/>
          </w:r>
          <w:r w:rsidR="00104221">
            <w:rPr>
              <w:noProof/>
              <w:lang w:eastAsia="es-CO"/>
            </w:rPr>
            <w:t>(CGR, 2021)</w:t>
          </w:r>
          <w:r w:rsidR="00F1294E">
            <w:rPr>
              <w:lang w:eastAsia="es-CO"/>
            </w:rPr>
            <w:fldChar w:fldCharType="end"/>
          </w:r>
        </w:sdtContent>
      </w:sdt>
      <w:r w:rsidR="00F1294E">
        <w:rPr>
          <w:lang w:eastAsia="es-CO"/>
        </w:rPr>
        <w:t xml:space="preserve">. </w:t>
      </w:r>
      <w:r w:rsidRPr="3845A57C">
        <w:rPr>
          <w:lang w:eastAsia="es-CO"/>
        </w:rPr>
        <w:t>A lo anterior se suma la existencia de competencias concurrentes en el ámbito minero, lo que ha derivado en conflictos entre las decisiones locales y las del nivel central.</w:t>
      </w:r>
    </w:p>
    <w:p w:rsidRPr="00B60F45" w:rsidR="006C0D8B" w:rsidP="006C0D8B" w:rsidRDefault="006C0D8B" w14:paraId="1C82197C" w14:textId="236F6EC4">
      <w:pPr>
        <w:jc w:val="both"/>
        <w:rPr>
          <w:lang w:eastAsia="es-CO"/>
        </w:rPr>
      </w:pPr>
      <w:r w:rsidRPr="09C2734D">
        <w:rPr>
          <w:lang w:eastAsia="es-CO"/>
        </w:rPr>
        <w:t>Por otra parte, la ausencia de una visión de largo plazo en la planificación minera ha limitado la incorporación de medidas efectivas para prevenir el deterioro de los ecosistemas naturales. Esto se refleja en la falta de atención</w:t>
      </w:r>
      <w:r w:rsidRPr="09C2734D" w:rsidR="0621C4A7">
        <w:rPr>
          <w:lang w:eastAsia="es-CO"/>
        </w:rPr>
        <w:t xml:space="preserve"> </w:t>
      </w:r>
      <w:r w:rsidRPr="09C2734D">
        <w:rPr>
          <w:lang w:eastAsia="es-CO"/>
        </w:rPr>
        <w:t>de los pasivos ambientales generados por la actividad minera. A su vez, los intereses y visiones divergentes sobre el futuro del sector se han convertido en un cuello de botella para el desarrollo de una minería sostenible.</w:t>
      </w:r>
    </w:p>
    <w:p w:rsidRPr="001F5EC1" w:rsidR="001F5EC1" w:rsidP="001F5EC1" w:rsidRDefault="2A880265" w14:paraId="1F12ECCF" w14:textId="32D4E1F1">
      <w:pPr>
        <w:jc w:val="both"/>
        <w:rPr>
          <w:lang w:val="es-ES"/>
        </w:rPr>
      </w:pPr>
      <w:r w:rsidRPr="17F8AA9B">
        <w:rPr>
          <w:lang w:val="es-ES"/>
        </w:rPr>
        <w:t xml:space="preserve">La </w:t>
      </w:r>
      <w:r w:rsidRPr="17F8AA9B" w:rsidR="603D32F9">
        <w:rPr>
          <w:lang w:val="es-ES"/>
        </w:rPr>
        <w:t>citada sentencia de Ventanilla Minera</w:t>
      </w:r>
      <w:r w:rsidR="6656E56B">
        <w:rPr>
          <w:lang w:val="es-ES"/>
        </w:rPr>
        <w:t xml:space="preserve"> </w:t>
      </w:r>
      <w:r w:rsidRPr="00B60F45" w:rsidR="6656E56B">
        <w:rPr>
          <w:lang w:eastAsia="es-CO"/>
        </w:rPr>
        <w:t>reconoció que actualmente no existe una visión compartida de mediano y largo plazo entre el sector minero y otros sectores relacionados con el uso del suelo. Cabe recordar que, según el artículo 80 de la Constitución Política, el Estado tiene la obligación de planificar el manejo y aprovechamiento de los recursos naturales para garantizar su desarrollo sostenible, conservación, restauración o sustitución, prevenir y controlar los factores de deterioro ambiental, imponer sanciones y exigir la reparación de los daños causados. No obstante, se han omitido medidas que ya habían sido identificadas en el Plan Nacional de Ordenamiento Minero como necesarias para superar estas problemáticas y que contaban con el respaldo de los ministerios competentes</w:t>
      </w:r>
      <w:r w:rsidRPr="17F8AA9B" w:rsidR="760F37B5">
        <w:rPr>
          <w:vertAlign w:val="superscript"/>
          <w:lang w:val="es-ES"/>
        </w:rPr>
        <w:footnoteReference w:id="36"/>
      </w:r>
      <w:r w:rsidRPr="17F8AA9B" w:rsidR="37342866">
        <w:rPr>
          <w:lang w:val="es-ES"/>
        </w:rPr>
        <w:t>.</w:t>
      </w:r>
      <w:r w:rsidRPr="17F8AA9B">
        <w:rPr>
          <w:lang w:val="es-ES"/>
        </w:rPr>
        <w:t xml:space="preserve"> </w:t>
      </w:r>
    </w:p>
    <w:p w:rsidR="006C0D8B" w:rsidP="006C0D8B" w:rsidRDefault="006C0D8B" w14:paraId="21B90E52" w14:textId="77777777">
      <w:pPr>
        <w:jc w:val="both"/>
        <w:rPr>
          <w:lang w:eastAsia="es-CO"/>
        </w:rPr>
      </w:pPr>
      <w:r w:rsidRPr="00B60F45">
        <w:rPr>
          <w:lang w:eastAsia="es-CO"/>
        </w:rPr>
        <w:t>El logro de la interoperabilidad entre los sistemas de información constituye un factor estratégico para fortalecer la eficiencia en la toma de decisiones en el sector minero-energético, en estrecha coordinación con el sector ambiental. La optimización de plataformas como el Sistema de Información Minero Colombiano (SIMCO), el Banco de Información Minera (BIM), ANNA Minería, y, por parte del sector ambiental, la Ventanilla Integral de Trámites Ambientales (VITAL), representa una oportunidad decisiva para mejorar el acceso y la calidad de los datos, posibilitando decisiones oportunas y fundamentadas en tiempo real</w:t>
      </w:r>
      <w:r>
        <w:rPr>
          <w:lang w:eastAsia="es-CO"/>
        </w:rPr>
        <w:t>.</w:t>
      </w:r>
    </w:p>
    <w:p w:rsidRPr="00AD60A4" w:rsidR="006C0D8B" w:rsidP="006C0D8B" w:rsidRDefault="006C0D8B" w14:paraId="536711EA" w14:textId="77777777">
      <w:pPr>
        <w:jc w:val="both"/>
        <w:rPr>
          <w:lang w:eastAsia="es-CO"/>
        </w:rPr>
      </w:pPr>
      <w:r w:rsidRPr="00B60F45">
        <w:rPr>
          <w:lang w:eastAsia="es-CO"/>
        </w:rPr>
        <w:t>La interoperabilidad no solo favorecería la estandarización y consolidación de la información minera y ambiental, sino que también sentaría las bases para avanzar en materia de gobernanza sectorial. Este proceso contribuiría a la formulación o ajuste de normas, decretos y resoluciones orientados a una integración más efectiva entre las entidades responsables, reduciendo la fragmentación institucional y potenciando la capacidad del Estado para prevenir, mitigar y gestionar los impactos derivados de la actividad minera.</w:t>
      </w:r>
    </w:p>
    <w:p w:rsidRPr="006C0D8B" w:rsidR="769A4CE5" w:rsidP="769A4CE5" w:rsidRDefault="769A4CE5" w14:paraId="1D13EC98" w14:textId="3CD958A0">
      <w:pPr>
        <w:jc w:val="both"/>
      </w:pPr>
    </w:p>
    <w:p w:rsidR="00C443D6" w:rsidRDefault="009147B0" w14:paraId="44ABBCC8" w14:textId="2E1FF2F6">
      <w:pPr>
        <w:pStyle w:val="Heading2"/>
        <w:numPr>
          <w:ilvl w:val="0"/>
          <w:numId w:val="9"/>
        </w:numPr>
        <w:ind w:left="0" w:firstLine="0"/>
        <w:rPr>
          <w:lang w:val="es-ES"/>
        </w:rPr>
      </w:pPr>
      <w:bookmarkStart w:name="_Toc210292976" w:id="578"/>
      <w:r w:rsidRPr="009147B0">
        <w:t>Insuficiencia de control y seguimiento minero ambiental.</w:t>
      </w:r>
      <w:bookmarkEnd w:id="578"/>
    </w:p>
    <w:p w:rsidR="00C443D6" w:rsidP="00C443D6" w:rsidRDefault="00C443D6" w14:paraId="0B760F23" w14:textId="77777777">
      <w:pPr>
        <w:rPr>
          <w:lang w:val="es-ES"/>
        </w:rPr>
      </w:pPr>
    </w:p>
    <w:p w:rsidRPr="00E74D6B" w:rsidR="00E74D6B" w:rsidP="005B0F98" w:rsidRDefault="00E74D6B" w14:paraId="08EF9667" w14:textId="77777777">
      <w:pPr>
        <w:pStyle w:val="Caption"/>
        <w:jc w:val="both"/>
        <w:rPr>
          <w:rFonts w:eastAsiaTheme="minorHAnsi"/>
          <w:b w:val="0"/>
          <w:color w:val="000000" w:themeColor="text1"/>
          <w:sz w:val="22"/>
          <w:szCs w:val="22"/>
        </w:rPr>
      </w:pPr>
      <w:bookmarkStart w:name="_Toc136366251" w:id="579"/>
      <w:r w:rsidRPr="287A971D">
        <w:rPr>
          <w:b w:val="0"/>
          <w:bCs w:val="0"/>
          <w:color w:val="000000" w:themeColor="text1"/>
          <w:sz w:val="22"/>
          <w:szCs w:val="22"/>
        </w:rPr>
        <w:t>Según lo dispuesto en el artículo 17° de la Ley 2056 de 2020, se entiende por fiscalización de la exploración y explotación de los recursos naturales no renovables, lo siguiente:</w:t>
      </w:r>
    </w:p>
    <w:p w:rsidRPr="009E6FEC" w:rsidR="00E74D6B" w:rsidP="17F8AA9B" w:rsidRDefault="6207C138" w14:paraId="6A699700" w14:textId="373C694D">
      <w:pPr>
        <w:pStyle w:val="Caption"/>
        <w:ind w:left="708"/>
        <w:jc w:val="both"/>
        <w:rPr>
          <w:b w:val="0"/>
          <w:bCs w:val="0"/>
          <w:color w:val="000000" w:themeColor="text1"/>
          <w:sz w:val="22"/>
          <w:szCs w:val="22"/>
        </w:rPr>
      </w:pPr>
      <w:r w:rsidRPr="17F8AA9B">
        <w:rPr>
          <w:b w:val="0"/>
          <w:bCs w:val="0"/>
          <w:color w:val="000000" w:themeColor="text1"/>
          <w:sz w:val="22"/>
          <w:szCs w:val="22"/>
        </w:rPr>
        <w:t>La fiscalización de la exploración y explotación de recursos naturales no renovables deberá estar orientada al cumplimiento de las normas y de las obligaciones derivadas de los contratos y convenios, títulos mineros y demás figuras que por mandato legal permiten la exploración y explotación de recursos naturales no renovables, incluidas las etapas de desmantelamiento, taponamientos, abandono y en general de cierres de operaciones tanto mineras como de hidrocarburos, según corresponda; igualmente incluye la determinación y verificación efectiva de los volúmenes de producción, la aplicación de buenas prácticas de exploración, explotación y producción, el cumplimiento de las normas de seguridad en labores mineras y de hidrocarburos, la verificación y el recaudo de regalías y compensaciones, como base fundamental para el funcionamiento del Sistema General de Regalías</w:t>
      </w:r>
      <w:r w:rsidRPr="17F8AA9B" w:rsidR="794F9F50">
        <w:rPr>
          <w:b w:val="0"/>
          <w:bCs w:val="0"/>
          <w:color w:val="000000" w:themeColor="text1"/>
          <w:sz w:val="22"/>
          <w:szCs w:val="22"/>
        </w:rPr>
        <w:t xml:space="preserve"> </w:t>
      </w:r>
      <w:r w:rsidRPr="17F8AA9B" w:rsidR="6B54E37C">
        <w:rPr>
          <w:b w:val="0"/>
          <w:bCs w:val="0"/>
          <w:color w:val="000000" w:themeColor="text1"/>
          <w:sz w:val="22"/>
          <w:szCs w:val="22"/>
        </w:rPr>
        <w:t>(Ley 2056 de 2020)</w:t>
      </w:r>
      <w:r w:rsidRPr="17F8AA9B">
        <w:rPr>
          <w:b w:val="0"/>
          <w:bCs w:val="0"/>
          <w:color w:val="000000" w:themeColor="text1"/>
          <w:sz w:val="22"/>
          <w:szCs w:val="22"/>
        </w:rPr>
        <w:t>.</w:t>
      </w:r>
    </w:p>
    <w:p w:rsidR="00282934" w:rsidP="17F8AA9B" w:rsidRDefault="00282934" w14:paraId="57CA1CDF" w14:textId="35AB81A5">
      <w:pPr>
        <w:pStyle w:val="Caption"/>
        <w:jc w:val="both"/>
        <w:rPr>
          <w:b w:val="0"/>
          <w:bCs w:val="0"/>
          <w:color w:val="000000" w:themeColor="text1"/>
          <w:sz w:val="22"/>
          <w:szCs w:val="22"/>
        </w:rPr>
      </w:pPr>
      <w:r w:rsidRPr="00282934">
        <w:rPr>
          <w:b w:val="0"/>
          <w:bCs w:val="0"/>
          <w:color w:val="000000" w:themeColor="text1"/>
          <w:sz w:val="22"/>
          <w:szCs w:val="22"/>
        </w:rPr>
        <w:t>Respecto a autoridad competente para realizar la fiscalización minera, el Decreto-Ley No. 4134 del 3 de noviembre de 2011 crea la Agencia Nacional de Minería con el objeto de: “administrar integralmente los recursos minerales de propiedad del Estado; promover el aprovechamiento óptimo y sostenible de los recursos mineros de conformidad con las normas pertinentes y en coordinación con las autoridades ambientales” (Art.3), y  según la Ley 2056 de 2020, corresponde a la ANM o quien haga sus veces ejercer las funciones de fiscalización de la exploración y explotación de los recursos mineros.</w:t>
      </w:r>
    </w:p>
    <w:p w:rsidRPr="00E74D6B" w:rsidR="00E74D6B" w:rsidP="5775DF11" w:rsidRDefault="00E74D6B" w14:paraId="0619581C" w14:textId="2D960E12">
      <w:pPr>
        <w:pStyle w:val="Caption"/>
        <w:jc w:val="both"/>
        <w:rPr>
          <w:b w:val="0"/>
          <w:color w:val="000000" w:themeColor="text1"/>
          <w:sz w:val="22"/>
          <w:szCs w:val="22"/>
        </w:rPr>
      </w:pPr>
      <w:r w:rsidRPr="287A971D">
        <w:rPr>
          <w:b w:val="0"/>
          <w:bCs w:val="0"/>
          <w:color w:val="000000" w:themeColor="text1"/>
          <w:sz w:val="22"/>
          <w:szCs w:val="22"/>
        </w:rPr>
        <w:t xml:space="preserve">Actualmente, la ANM, además de la sede central ubicada en Bogotá, cuenta con 11 puntos de atención regional en Cali, Ibagué, Bucaramanga, Valledupar, Cúcuta, Nobsa, Cartagena, Pasto, Manizales, Quibdó y Medellín. Esto quiere decir que la autoridad minera no tiene presencia en cerca del 55% del territorio nacional, dejando fuera de su relación directa regiones </w:t>
      </w:r>
      <w:r w:rsidRPr="287A971D" w:rsidR="00F45D3E">
        <w:rPr>
          <w:b w:val="0"/>
          <w:bCs w:val="0"/>
          <w:color w:val="000000" w:themeColor="text1"/>
          <w:sz w:val="22"/>
          <w:szCs w:val="22"/>
        </w:rPr>
        <w:t xml:space="preserve">relevantes para la actividad minera </w:t>
      </w:r>
      <w:r w:rsidRPr="287A971D">
        <w:rPr>
          <w:b w:val="0"/>
          <w:bCs w:val="0"/>
          <w:color w:val="000000" w:themeColor="text1"/>
          <w:sz w:val="22"/>
          <w:szCs w:val="22"/>
        </w:rPr>
        <w:t>como la Orinoquia y la Amazonía, así como los departamentos de La Guajira, Córdoba, Meta, Cauca, entre otros.</w:t>
      </w:r>
    </w:p>
    <w:p w:rsidRPr="00E74D6B" w:rsidR="00E74D6B" w:rsidP="17F8AA9B" w:rsidRDefault="6207C138" w14:paraId="1555ED63" w14:textId="1C23875E">
      <w:pPr>
        <w:pStyle w:val="Caption"/>
        <w:jc w:val="both"/>
        <w:rPr>
          <w:b w:val="0"/>
          <w:bCs w:val="0"/>
          <w:color w:val="000000" w:themeColor="text1"/>
          <w:sz w:val="22"/>
          <w:szCs w:val="22"/>
        </w:rPr>
      </w:pPr>
      <w:r w:rsidRPr="17F8AA9B">
        <w:rPr>
          <w:b w:val="0"/>
          <w:bCs w:val="0"/>
          <w:color w:val="000000" w:themeColor="text1"/>
          <w:sz w:val="22"/>
          <w:szCs w:val="22"/>
        </w:rPr>
        <w:t xml:space="preserve">Por otro lado, como apoyo al fortalecimiento en la administración del recurso minero desde al año 2019, la ANM puso en funcionamiento el Sistema Integral de Gestión Minera (SIGM), el cual determinó como la única plataforma tecnológica digital minera denominada </w:t>
      </w:r>
      <w:proofErr w:type="spellStart"/>
      <w:r w:rsidRPr="17F8AA9B">
        <w:rPr>
          <w:b w:val="0"/>
          <w:bCs w:val="0"/>
          <w:color w:val="000000" w:themeColor="text1"/>
          <w:sz w:val="22"/>
          <w:szCs w:val="22"/>
        </w:rPr>
        <w:t>AnnA</w:t>
      </w:r>
      <w:proofErr w:type="spellEnd"/>
      <w:r w:rsidRPr="17F8AA9B">
        <w:rPr>
          <w:b w:val="0"/>
          <w:bCs w:val="0"/>
          <w:color w:val="000000" w:themeColor="text1"/>
          <w:sz w:val="22"/>
          <w:szCs w:val="22"/>
        </w:rPr>
        <w:t xml:space="preserve"> Minería. Con esto el catastro minero se modernizó, se </w:t>
      </w:r>
      <w:r w:rsidRPr="17F8AA9B" w:rsidR="7ECBB806">
        <w:rPr>
          <w:b w:val="0"/>
          <w:bCs w:val="0"/>
          <w:color w:val="000000" w:themeColor="text1"/>
          <w:sz w:val="22"/>
          <w:szCs w:val="22"/>
        </w:rPr>
        <w:t xml:space="preserve">facilitó el acceso a la información </w:t>
      </w:r>
      <w:r w:rsidRPr="17F8AA9B" w:rsidR="04EBAB65">
        <w:rPr>
          <w:b w:val="0"/>
          <w:bCs w:val="0"/>
          <w:color w:val="000000" w:themeColor="text1"/>
          <w:sz w:val="22"/>
          <w:szCs w:val="22"/>
        </w:rPr>
        <w:t xml:space="preserve">para el </w:t>
      </w:r>
      <w:r w:rsidRPr="17F8AA9B">
        <w:rPr>
          <w:b w:val="0"/>
          <w:bCs w:val="0"/>
          <w:color w:val="000000" w:themeColor="text1"/>
          <w:sz w:val="22"/>
          <w:szCs w:val="22"/>
        </w:rPr>
        <w:t xml:space="preserve">público y </w:t>
      </w:r>
      <w:r w:rsidRPr="17F8AA9B" w:rsidR="7ECBB806">
        <w:rPr>
          <w:b w:val="0"/>
          <w:bCs w:val="0"/>
          <w:color w:val="000000" w:themeColor="text1"/>
          <w:sz w:val="22"/>
          <w:szCs w:val="22"/>
        </w:rPr>
        <w:t xml:space="preserve">se </w:t>
      </w:r>
      <w:r w:rsidRPr="17F8AA9B">
        <w:rPr>
          <w:b w:val="0"/>
          <w:bCs w:val="0"/>
          <w:color w:val="000000" w:themeColor="text1"/>
          <w:sz w:val="22"/>
          <w:szCs w:val="22"/>
        </w:rPr>
        <w:t xml:space="preserve">consolidó la información oficial del sector minero. Desde entonces, el SIGM compuesto por la plataforma </w:t>
      </w:r>
      <w:proofErr w:type="spellStart"/>
      <w:r w:rsidRPr="17F8AA9B">
        <w:rPr>
          <w:b w:val="0"/>
          <w:bCs w:val="0"/>
          <w:color w:val="000000" w:themeColor="text1"/>
          <w:sz w:val="22"/>
          <w:szCs w:val="22"/>
        </w:rPr>
        <w:t>AnnA</w:t>
      </w:r>
      <w:proofErr w:type="spellEnd"/>
      <w:r w:rsidRPr="17F8AA9B">
        <w:rPr>
          <w:b w:val="0"/>
          <w:bCs w:val="0"/>
          <w:color w:val="000000" w:themeColor="text1"/>
          <w:sz w:val="22"/>
          <w:szCs w:val="22"/>
        </w:rPr>
        <w:t xml:space="preserve"> Minería es la herramienta oficial que deben utilizar los interesados en realizar solicitudes para la exploración y explotación de minerales en Colombia.  Con su implementación, la mayoría de los trámites de solicitudes, gestión del registro y catastro minero, se pueden realizar en línea y el seguimiento se da en tiempo real. El SIGM cuenta también con un </w:t>
      </w:r>
      <w:proofErr w:type="spellStart"/>
      <w:r w:rsidRPr="17F8AA9B">
        <w:rPr>
          <w:b w:val="0"/>
          <w:bCs w:val="0"/>
          <w:color w:val="000000" w:themeColor="text1"/>
          <w:sz w:val="22"/>
          <w:szCs w:val="22"/>
        </w:rPr>
        <w:t>geoportal</w:t>
      </w:r>
      <w:proofErr w:type="spellEnd"/>
      <w:r w:rsidRPr="17F8AA9B">
        <w:rPr>
          <w:b w:val="0"/>
          <w:bCs w:val="0"/>
          <w:color w:val="000000" w:themeColor="text1"/>
          <w:sz w:val="22"/>
          <w:szCs w:val="22"/>
        </w:rPr>
        <w:t xml:space="preserve"> que contiene la información sobre las áreas del Sistema Nacional de Áreas Protegidas SINAP, áreas regionales y algunas de las Áreas de Conservación </w:t>
      </w:r>
      <w:r w:rsidRPr="17F8AA9B">
        <w:rPr>
          <w:b w:val="0"/>
          <w:bCs w:val="0"/>
          <w:i/>
          <w:iCs/>
          <w:color w:val="000000" w:themeColor="text1"/>
          <w:sz w:val="22"/>
          <w:szCs w:val="22"/>
        </w:rPr>
        <w:t>in situ</w:t>
      </w:r>
      <w:r w:rsidRPr="17F8AA9B">
        <w:rPr>
          <w:b w:val="0"/>
          <w:bCs w:val="0"/>
          <w:color w:val="000000" w:themeColor="text1"/>
          <w:sz w:val="22"/>
          <w:szCs w:val="22"/>
        </w:rPr>
        <w:t xml:space="preserve"> de origen legal que no pertenecen al SINAP y su zonificación, conforme la información allegada por el </w:t>
      </w:r>
      <w:proofErr w:type="spellStart"/>
      <w:r w:rsidRPr="17F8AA9B">
        <w:rPr>
          <w:b w:val="0"/>
          <w:bCs w:val="0"/>
          <w:color w:val="000000" w:themeColor="text1"/>
          <w:sz w:val="22"/>
          <w:szCs w:val="22"/>
        </w:rPr>
        <w:t>MinAmbiente</w:t>
      </w:r>
      <w:proofErr w:type="spellEnd"/>
      <w:r w:rsidRPr="17F8AA9B">
        <w:rPr>
          <w:b w:val="0"/>
          <w:bCs w:val="0"/>
          <w:color w:val="000000" w:themeColor="text1"/>
          <w:sz w:val="22"/>
          <w:szCs w:val="22"/>
        </w:rPr>
        <w:t>, la ANLA y las demás autoridades ambientales.</w:t>
      </w:r>
    </w:p>
    <w:p w:rsidRPr="00E74D6B" w:rsidR="00E74D6B" w:rsidP="5775DF11" w:rsidRDefault="00E74D6B" w14:paraId="1C809FD2" w14:textId="5313CA9E">
      <w:pPr>
        <w:pStyle w:val="Caption"/>
        <w:jc w:val="both"/>
        <w:rPr>
          <w:b w:val="0"/>
          <w:color w:val="000000" w:themeColor="text1"/>
          <w:sz w:val="22"/>
          <w:szCs w:val="22"/>
        </w:rPr>
      </w:pPr>
      <w:r w:rsidRPr="287A971D">
        <w:rPr>
          <w:b w:val="0"/>
          <w:bCs w:val="0"/>
          <w:color w:val="000000" w:themeColor="text1"/>
          <w:sz w:val="22"/>
          <w:szCs w:val="22"/>
        </w:rPr>
        <w:t>Ahora bien, sin perjuicio de lo anterior, el SIGM es un sistema en ev</w:t>
      </w:r>
      <w:r w:rsidR="00282934">
        <w:rPr>
          <w:b w:val="0"/>
          <w:bCs w:val="0"/>
          <w:color w:val="000000" w:themeColor="text1"/>
          <w:sz w:val="22"/>
          <w:szCs w:val="22"/>
        </w:rPr>
        <w:t>alua</w:t>
      </w:r>
      <w:r w:rsidRPr="287A971D">
        <w:rPr>
          <w:b w:val="0"/>
          <w:bCs w:val="0"/>
          <w:color w:val="000000" w:themeColor="text1"/>
          <w:sz w:val="22"/>
          <w:szCs w:val="22"/>
        </w:rPr>
        <w:t xml:space="preserve">ción el cual no ha estado exento de retos y dificultades prácticas en su implementación. De hecho, con la adopción del sistema informático </w:t>
      </w:r>
      <w:proofErr w:type="spellStart"/>
      <w:r w:rsidRPr="287A971D">
        <w:rPr>
          <w:b w:val="0"/>
          <w:bCs w:val="0"/>
          <w:color w:val="000000" w:themeColor="text1"/>
          <w:sz w:val="22"/>
          <w:szCs w:val="22"/>
        </w:rPr>
        <w:t>AnnA</w:t>
      </w:r>
      <w:proofErr w:type="spellEnd"/>
      <w:r w:rsidRPr="287A971D">
        <w:rPr>
          <w:b w:val="0"/>
          <w:bCs w:val="0"/>
          <w:color w:val="000000" w:themeColor="text1"/>
          <w:sz w:val="22"/>
          <w:szCs w:val="22"/>
        </w:rPr>
        <w:t xml:space="preserve"> Minería que hoy soporta el SIGM, se han venido fortaleciendo las capacidades tecnológicas de la ANM, pero no de forma integral o suficiente, y no se ha logrado una completa interoperabilidad de </w:t>
      </w:r>
      <w:proofErr w:type="spellStart"/>
      <w:r w:rsidRPr="287A971D">
        <w:rPr>
          <w:b w:val="0"/>
          <w:bCs w:val="0"/>
          <w:color w:val="000000" w:themeColor="text1"/>
          <w:sz w:val="22"/>
          <w:szCs w:val="22"/>
        </w:rPr>
        <w:t>AnnA</w:t>
      </w:r>
      <w:proofErr w:type="spellEnd"/>
      <w:r w:rsidRPr="287A971D">
        <w:rPr>
          <w:b w:val="0"/>
          <w:bCs w:val="0"/>
          <w:color w:val="000000" w:themeColor="text1"/>
          <w:sz w:val="22"/>
          <w:szCs w:val="22"/>
        </w:rPr>
        <w:t xml:space="preserve"> Minería con los demás sistemas misionales de la Agencia ni del sector ambiental. Esto, en parte debido a que </w:t>
      </w:r>
      <w:proofErr w:type="spellStart"/>
      <w:r w:rsidRPr="287A971D">
        <w:rPr>
          <w:b w:val="0"/>
          <w:bCs w:val="0"/>
          <w:color w:val="000000" w:themeColor="text1"/>
          <w:sz w:val="22"/>
          <w:szCs w:val="22"/>
        </w:rPr>
        <w:t>AnnA</w:t>
      </w:r>
      <w:proofErr w:type="spellEnd"/>
      <w:r w:rsidRPr="287A971D">
        <w:rPr>
          <w:b w:val="0"/>
          <w:bCs w:val="0"/>
          <w:color w:val="000000" w:themeColor="text1"/>
          <w:sz w:val="22"/>
          <w:szCs w:val="22"/>
        </w:rPr>
        <w:t xml:space="preserve"> Minería fue implementada desde un software privado, por lo cual su evolución, adaptación, actualización y sus controles de cambios, han estado supeditados al desarrollo que el proveedor privado realice y a la disponibilidad presupuestal que en cada periodo la ANM pueda disponer para realizar esas acciones. Por esta razón, la ANM viene realizando los análisis, diagnósticos, diseños y planeación necesaria, para complementar el SIGM y construir una solución alternativa más flexible, robusta, con ingeniería colombiana y que procure la soberanía de la información y del código fuente de la solución, en beneficio del Estado Colombiano. Todo esto, debe redundar además en la creación de un sistema y unos procesos más acordes con las recientes disposiciones de las autoridades judiciales frente a la administración del recurso minero con una perspectiva ambiental y minera conjunta.</w:t>
      </w:r>
    </w:p>
    <w:p w:rsidR="00E74D6B" w:rsidP="5775DF11" w:rsidRDefault="00E74D6B" w14:paraId="2F6AB7E0" w14:textId="4C656A61">
      <w:pPr>
        <w:pStyle w:val="Caption"/>
        <w:jc w:val="both"/>
        <w:rPr>
          <w:b w:val="0"/>
          <w:color w:val="000000" w:themeColor="text1"/>
          <w:sz w:val="22"/>
          <w:szCs w:val="22"/>
        </w:rPr>
      </w:pPr>
      <w:r w:rsidRPr="287A971D">
        <w:rPr>
          <w:b w:val="0"/>
          <w:bCs w:val="0"/>
          <w:color w:val="000000" w:themeColor="text1"/>
          <w:sz w:val="22"/>
          <w:szCs w:val="22"/>
        </w:rPr>
        <w:t xml:space="preserve">En este contexto, y conforme a los datos proporcionados por la </w:t>
      </w:r>
      <w:r w:rsidRPr="287A971D" w:rsidDel="008716A5">
        <w:rPr>
          <w:b w:val="0"/>
          <w:bCs w:val="0"/>
          <w:color w:val="000000" w:themeColor="text1"/>
          <w:sz w:val="22"/>
          <w:szCs w:val="22"/>
        </w:rPr>
        <w:t>Agencia Nacional de Minería (</w:t>
      </w:r>
      <w:r w:rsidRPr="287A971D">
        <w:rPr>
          <w:b w:val="0"/>
          <w:bCs w:val="0"/>
          <w:color w:val="000000" w:themeColor="text1"/>
          <w:sz w:val="22"/>
          <w:szCs w:val="22"/>
        </w:rPr>
        <w:t>ANM</w:t>
      </w:r>
      <w:r w:rsidRPr="287A971D" w:rsidDel="008716A5">
        <w:rPr>
          <w:b w:val="0"/>
          <w:bCs w:val="0"/>
          <w:color w:val="000000" w:themeColor="text1"/>
          <w:sz w:val="22"/>
          <w:szCs w:val="22"/>
        </w:rPr>
        <w:t>)</w:t>
      </w:r>
      <w:r w:rsidRPr="287A971D">
        <w:rPr>
          <w:b w:val="0"/>
          <w:bCs w:val="0"/>
          <w:color w:val="000000" w:themeColor="text1"/>
          <w:sz w:val="22"/>
          <w:szCs w:val="22"/>
        </w:rPr>
        <w:t xml:space="preserve"> al corte del 17 de mayo de 2024, existen en el país un total de 7.247 títulos mineros vigentes. Estos títulos abarcan 3.289.060,5 hectáreas del territorio nacional. La ilustración </w:t>
      </w:r>
      <w:r w:rsidR="003B450B">
        <w:rPr>
          <w:b w:val="0"/>
          <w:bCs w:val="0"/>
          <w:color w:val="000000" w:themeColor="text1"/>
          <w:sz w:val="22"/>
          <w:szCs w:val="22"/>
        </w:rPr>
        <w:t>4</w:t>
      </w:r>
      <w:r w:rsidRPr="287A971D">
        <w:rPr>
          <w:b w:val="0"/>
          <w:bCs w:val="0"/>
          <w:color w:val="000000" w:themeColor="text1"/>
          <w:sz w:val="22"/>
          <w:szCs w:val="22"/>
        </w:rPr>
        <w:t xml:space="preserve"> complementa esta información, mostrando el histórico de títulos mineros vigentes entre 2010 y 2023, el porcentaje de títulos distribuidos por etapas (exploración, construcción y montaje, explotación), la clasificación según el tamaño de la minería y, de forma general, los tipos de minerales presentes.</w:t>
      </w:r>
    </w:p>
    <w:p w:rsidRPr="0086703B" w:rsidR="00C443D6" w:rsidP="00012130" w:rsidRDefault="00012130" w14:paraId="378CC0A1" w14:textId="457E7F03">
      <w:pPr>
        <w:pStyle w:val="Caption"/>
      </w:pPr>
      <w:bookmarkStart w:name="_Toc210292704" w:id="580"/>
      <w:bookmarkEnd w:id="579"/>
      <w:r>
        <w:t xml:space="preserve">Ilustración </w:t>
      </w:r>
      <w:r>
        <w:fldChar w:fldCharType="begin"/>
      </w:r>
      <w:r>
        <w:instrText>SEQ Ilustración \* ARABIC</w:instrText>
      </w:r>
      <w:r>
        <w:fldChar w:fldCharType="separate"/>
      </w:r>
      <w:r w:rsidR="00DD6760">
        <w:rPr>
          <w:noProof/>
        </w:rPr>
        <w:t>4</w:t>
      </w:r>
      <w:r>
        <w:fldChar w:fldCharType="end"/>
      </w:r>
      <w:r>
        <w:t xml:space="preserve">. </w:t>
      </w:r>
      <w:r w:rsidRPr="00B67AE6">
        <w:t>Principales características de la titularidad minera</w:t>
      </w:r>
      <w:bookmarkEnd w:id="580"/>
    </w:p>
    <w:tbl>
      <w:tblPr>
        <w:tblStyle w:val="TableGrid"/>
        <w:tblW w:w="0" w:type="auto"/>
        <w:tblLayout w:type="fixed"/>
        <w:tblCellMar>
          <w:left w:w="70" w:type="dxa"/>
          <w:right w:w="70" w:type="dxa"/>
        </w:tblCellMar>
        <w:tblLook w:val="04A0" w:firstRow="1" w:lastRow="0" w:firstColumn="1" w:lastColumn="0" w:noHBand="0" w:noVBand="1"/>
      </w:tblPr>
      <w:tblGrid>
        <w:gridCol w:w="4531"/>
        <w:gridCol w:w="4155"/>
      </w:tblGrid>
      <w:tr w:rsidR="001D36D4" w:rsidTr="0108C3FA" w14:paraId="6FFF2622" w14:textId="77777777">
        <w:tc>
          <w:tcPr>
            <w:tcW w:w="4531" w:type="dxa"/>
            <w:tcMar/>
          </w:tcPr>
          <w:p w:rsidR="0108C3FA" w:rsidP="0108C3FA" w:rsidRDefault="0108C3FA" w14:paraId="5F399AFB" w14:textId="4D26AC8C">
            <w:pPr>
              <w:jc w:val="both"/>
              <w:rPr>
                <w:rFonts w:ascii="Calibri" w:hAnsi="Calibri" w:eastAsia="Calibri" w:cs="Calibri"/>
                <w:b w:val="0"/>
                <w:bCs w:val="0"/>
                <w:i w:val="0"/>
                <w:iCs w:val="0"/>
                <w:caps w:val="0"/>
                <w:smallCaps w:val="0"/>
                <w:color w:val="000000" w:themeColor="text1" w:themeTint="FF" w:themeShade="FF"/>
                <w:sz w:val="18"/>
                <w:szCs w:val="18"/>
              </w:rPr>
            </w:pPr>
            <w:r w:rsidRPr="0108C3FA" w:rsidR="0108C3FA">
              <w:rPr>
                <w:rFonts w:ascii="Calibri" w:hAnsi="Calibri" w:eastAsia="Calibri" w:cs="Calibri"/>
                <w:b w:val="0"/>
                <w:bCs w:val="0"/>
                <w:i w:val="0"/>
                <w:iCs w:val="0"/>
                <w:caps w:val="0"/>
                <w:smallCaps w:val="0"/>
                <w:color w:val="000000" w:themeColor="text1" w:themeTint="FF" w:themeShade="FF"/>
                <w:sz w:val="18"/>
                <w:szCs w:val="18"/>
                <w:lang w:val="es-CO"/>
              </w:rPr>
              <w:t>Ilustración a. Historial 2010-2023 títulos mineros vigentes</w:t>
            </w:r>
          </w:p>
          <w:p w:rsidR="0108C3FA" w:rsidP="0108C3FA" w:rsidRDefault="0108C3FA" w14:paraId="52346C9F" w14:textId="42290DA8">
            <w:pPr>
              <w:jc w:val="center"/>
              <w:rPr>
                <w:rFonts w:ascii="Calibri" w:hAnsi="Calibri" w:eastAsia="Calibri" w:cs="Calibri"/>
                <w:b w:val="0"/>
                <w:bCs w:val="0"/>
                <w:i w:val="0"/>
                <w:iCs w:val="0"/>
                <w:caps w:val="0"/>
                <w:smallCaps w:val="0"/>
                <w:color w:val="000000" w:themeColor="text1" w:themeTint="FF" w:themeShade="FF"/>
                <w:sz w:val="18"/>
                <w:szCs w:val="18"/>
              </w:rPr>
            </w:pPr>
            <w:r w:rsidR="0108C3FA">
              <w:drawing>
                <wp:inline wp14:editId="74E3747A" wp14:anchorId="21B4ADBB">
                  <wp:extent cx="2543175" cy="1495425"/>
                  <wp:effectExtent l="0" t="0" r="0" b="0"/>
                  <wp:docPr id="184956012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49560126" name=""/>
                          <pic:cNvPicPr/>
                        </pic:nvPicPr>
                        <pic:blipFill>
                          <a:blip xmlns:r="http://schemas.openxmlformats.org/officeDocument/2006/relationships" r:embed="rId861428008">
                            <a:extLst>
                              <a:ext xmlns:a="http://schemas.openxmlformats.org/drawingml/2006/main" uri="{28A0092B-C50C-407E-A947-70E740481C1C}">
                                <a14:useLocalDpi xmlns:a14="http://schemas.microsoft.com/office/drawing/2010/main" val="0"/>
                              </a:ext>
                            </a:extLst>
                          </a:blip>
                          <a:stretch>
                            <a:fillRect/>
                          </a:stretch>
                        </pic:blipFill>
                        <pic:spPr>
                          <a:xfrm>
                            <a:off x="0" y="0"/>
                            <a:ext cx="2543175" cy="1495425"/>
                          </a:xfrm>
                          <a:prstGeom prst="rect">
                            <a:avLst/>
                          </a:prstGeom>
                        </pic:spPr>
                      </pic:pic>
                    </a:graphicData>
                  </a:graphic>
                </wp:inline>
              </w:drawing>
            </w:r>
          </w:p>
        </w:tc>
        <w:tc>
          <w:tcPr>
            <w:tcW w:w="4155" w:type="dxa"/>
            <w:tcMar/>
          </w:tcPr>
          <w:p w:rsidR="0108C3FA" w:rsidP="0108C3FA" w:rsidRDefault="0108C3FA" w14:paraId="338D278C" w14:textId="1A391912">
            <w:pPr>
              <w:jc w:val="center"/>
              <w:rPr>
                <w:rFonts w:ascii="Calibri" w:hAnsi="Calibri" w:eastAsia="Calibri" w:cs="Calibri"/>
                <w:b w:val="0"/>
                <w:bCs w:val="0"/>
                <w:i w:val="0"/>
                <w:iCs w:val="0"/>
                <w:caps w:val="0"/>
                <w:smallCaps w:val="0"/>
                <w:color w:val="000000" w:themeColor="text1" w:themeTint="FF" w:themeShade="FF"/>
                <w:sz w:val="18"/>
                <w:szCs w:val="18"/>
              </w:rPr>
            </w:pPr>
            <w:r w:rsidRPr="0108C3FA" w:rsidR="0108C3FA">
              <w:rPr>
                <w:rFonts w:ascii="Calibri" w:hAnsi="Calibri" w:eastAsia="Calibri" w:cs="Calibri"/>
                <w:b w:val="0"/>
                <w:bCs w:val="0"/>
                <w:i w:val="0"/>
                <w:iCs w:val="0"/>
                <w:caps w:val="0"/>
                <w:smallCaps w:val="0"/>
                <w:color w:val="000000" w:themeColor="text1" w:themeTint="FF" w:themeShade="FF"/>
                <w:sz w:val="18"/>
                <w:szCs w:val="18"/>
                <w:lang w:val="es-CO"/>
              </w:rPr>
              <w:t>Ilustración b. Porcentaje títulos por etapa</w:t>
            </w:r>
          </w:p>
          <w:p w:rsidR="0108C3FA" w:rsidP="0108C3FA" w:rsidRDefault="0108C3FA" w14:paraId="6EEAA46C" w14:textId="478B66D0">
            <w:pPr>
              <w:jc w:val="center"/>
              <w:rPr>
                <w:rFonts w:ascii="Calibri" w:hAnsi="Calibri" w:eastAsia="Calibri" w:cs="Calibri"/>
                <w:b w:val="0"/>
                <w:bCs w:val="0"/>
                <w:i w:val="0"/>
                <w:iCs w:val="0"/>
                <w:caps w:val="0"/>
                <w:smallCaps w:val="0"/>
                <w:color w:val="000000" w:themeColor="text1" w:themeTint="FF" w:themeShade="FF"/>
                <w:sz w:val="18"/>
                <w:szCs w:val="18"/>
              </w:rPr>
            </w:pPr>
          </w:p>
          <w:p w:rsidR="0108C3FA" w:rsidP="0108C3FA" w:rsidRDefault="0108C3FA" w14:paraId="3AD08FC5" w14:textId="3C48CAA2">
            <w:pPr>
              <w:jc w:val="center"/>
              <w:rPr>
                <w:rFonts w:ascii="Calibri" w:hAnsi="Calibri" w:eastAsia="Calibri" w:cs="Calibri"/>
                <w:b w:val="0"/>
                <w:bCs w:val="0"/>
                <w:i w:val="0"/>
                <w:iCs w:val="0"/>
                <w:caps w:val="0"/>
                <w:smallCaps w:val="0"/>
                <w:color w:val="000000" w:themeColor="text1" w:themeTint="FF" w:themeShade="FF"/>
                <w:sz w:val="18"/>
                <w:szCs w:val="18"/>
              </w:rPr>
            </w:pPr>
            <w:r w:rsidR="0108C3FA">
              <w:drawing>
                <wp:inline wp14:editId="7DD2C5D3" wp14:anchorId="4C229FBE">
                  <wp:extent cx="2419350" cy="1581150"/>
                  <wp:effectExtent l="0" t="0" r="0" b="0"/>
                  <wp:docPr id="211106891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111068915" name=""/>
                          <pic:cNvPicPr/>
                        </pic:nvPicPr>
                        <pic:blipFill>
                          <a:blip xmlns:r="http://schemas.openxmlformats.org/officeDocument/2006/relationships" r:embed="rId75068059">
                            <a:extLst>
                              <a:ext xmlns:a="http://schemas.openxmlformats.org/drawingml/2006/main" uri="{28A0092B-C50C-407E-A947-70E740481C1C}">
                                <a14:useLocalDpi xmlns:a14="http://schemas.microsoft.com/office/drawing/2010/main" val="0"/>
                              </a:ext>
                            </a:extLst>
                          </a:blip>
                          <a:stretch>
                            <a:fillRect/>
                          </a:stretch>
                        </pic:blipFill>
                        <pic:spPr>
                          <a:xfrm>
                            <a:off x="0" y="0"/>
                            <a:ext cx="2419350" cy="1581150"/>
                          </a:xfrm>
                          <a:prstGeom prst="rect">
                            <a:avLst/>
                          </a:prstGeom>
                        </pic:spPr>
                      </pic:pic>
                    </a:graphicData>
                  </a:graphic>
                </wp:inline>
              </w:drawing>
            </w:r>
          </w:p>
        </w:tc>
      </w:tr>
      <w:tr w:rsidR="001D36D4" w:rsidTr="0108C3FA" w14:paraId="1813A896" w14:textId="77777777">
        <w:tblPrEx>
          <w:tblCellMar>
            <w:left w:w="108" w:type="dxa"/>
            <w:right w:w="108" w:type="dxa"/>
          </w:tblCellMar>
        </w:tblPrEx>
        <w:tc>
          <w:tcPr>
            <w:tcW w:w="4531" w:type="dxa"/>
            <w:tcMar/>
          </w:tcPr>
          <w:p w:rsidR="0108C3FA" w:rsidP="0108C3FA" w:rsidRDefault="0108C3FA" w14:paraId="463FECB6" w14:textId="618B0598">
            <w:pPr>
              <w:jc w:val="both"/>
              <w:rPr>
                <w:rFonts w:ascii="Calibri" w:hAnsi="Calibri" w:eastAsia="Calibri" w:cs="Calibri"/>
                <w:b w:val="0"/>
                <w:bCs w:val="0"/>
                <w:i w:val="0"/>
                <w:iCs w:val="0"/>
                <w:caps w:val="0"/>
                <w:smallCaps w:val="0"/>
                <w:color w:val="000000" w:themeColor="text1" w:themeTint="FF" w:themeShade="FF"/>
                <w:sz w:val="18"/>
                <w:szCs w:val="18"/>
              </w:rPr>
            </w:pPr>
            <w:r w:rsidRPr="0108C3FA" w:rsidR="0108C3FA">
              <w:rPr>
                <w:rFonts w:ascii="Calibri" w:hAnsi="Calibri" w:eastAsia="Calibri" w:cs="Calibri"/>
                <w:b w:val="0"/>
                <w:bCs w:val="0"/>
                <w:i w:val="0"/>
                <w:iCs w:val="0"/>
                <w:caps w:val="0"/>
                <w:smallCaps w:val="0"/>
                <w:color w:val="000000" w:themeColor="text1" w:themeTint="FF" w:themeShade="FF"/>
                <w:sz w:val="18"/>
                <w:szCs w:val="18"/>
                <w:lang w:val="es-CO"/>
              </w:rPr>
              <w:t>Ilustración c. Títulos según clasificación por tamaño de minería</w:t>
            </w:r>
          </w:p>
          <w:p w:rsidR="0108C3FA" w:rsidP="0108C3FA" w:rsidRDefault="0108C3FA" w14:paraId="1F65BE47" w14:textId="53D8A4F1">
            <w:pPr>
              <w:jc w:val="center"/>
              <w:rPr>
                <w:rFonts w:ascii="Calibri" w:hAnsi="Calibri" w:eastAsia="Calibri" w:cs="Calibri"/>
                <w:b w:val="0"/>
                <w:bCs w:val="0"/>
                <w:i w:val="0"/>
                <w:iCs w:val="0"/>
                <w:caps w:val="0"/>
                <w:smallCaps w:val="0"/>
                <w:color w:val="000000" w:themeColor="text1" w:themeTint="FF" w:themeShade="FF"/>
                <w:sz w:val="18"/>
                <w:szCs w:val="18"/>
              </w:rPr>
            </w:pPr>
            <w:r w:rsidR="0108C3FA">
              <w:drawing>
                <wp:inline wp14:editId="569A801A" wp14:anchorId="7EFD5639">
                  <wp:extent cx="2543175" cy="1495425"/>
                  <wp:effectExtent l="0" t="0" r="0" b="0"/>
                  <wp:docPr id="47309825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73098254" name=""/>
                          <pic:cNvPicPr/>
                        </pic:nvPicPr>
                        <pic:blipFill>
                          <a:blip xmlns:r="http://schemas.openxmlformats.org/officeDocument/2006/relationships" r:embed="rId1062495565">
                            <a:extLst>
                              <a:ext xmlns:a="http://schemas.openxmlformats.org/drawingml/2006/main" uri="{28A0092B-C50C-407E-A947-70E740481C1C}">
                                <a14:useLocalDpi xmlns:a14="http://schemas.microsoft.com/office/drawing/2010/main" val="0"/>
                              </a:ext>
                            </a:extLst>
                          </a:blip>
                          <a:stretch>
                            <a:fillRect/>
                          </a:stretch>
                        </pic:blipFill>
                        <pic:spPr>
                          <a:xfrm>
                            <a:off x="0" y="0"/>
                            <a:ext cx="2543175" cy="1495425"/>
                          </a:xfrm>
                          <a:prstGeom prst="rect">
                            <a:avLst/>
                          </a:prstGeom>
                        </pic:spPr>
                      </pic:pic>
                    </a:graphicData>
                  </a:graphic>
                </wp:inline>
              </w:drawing>
            </w:r>
          </w:p>
        </w:tc>
        <w:tc>
          <w:tcPr>
            <w:tcW w:w="4155" w:type="dxa"/>
            <w:tcMar/>
          </w:tcPr>
          <w:p w:rsidR="0108C3FA" w:rsidP="0108C3FA" w:rsidRDefault="0108C3FA" w14:paraId="277F5743" w14:textId="4CD387F6">
            <w:pPr>
              <w:jc w:val="both"/>
              <w:rPr>
                <w:rFonts w:ascii="Calibri" w:hAnsi="Calibri" w:eastAsia="Calibri" w:cs="Calibri"/>
                <w:b w:val="0"/>
                <w:bCs w:val="0"/>
                <w:i w:val="0"/>
                <w:iCs w:val="0"/>
                <w:caps w:val="0"/>
                <w:smallCaps w:val="0"/>
                <w:color w:val="000000" w:themeColor="text1" w:themeTint="FF" w:themeShade="FF"/>
                <w:sz w:val="18"/>
                <w:szCs w:val="18"/>
              </w:rPr>
            </w:pPr>
            <w:r w:rsidRPr="0108C3FA" w:rsidR="0108C3FA">
              <w:rPr>
                <w:rFonts w:ascii="Calibri" w:hAnsi="Calibri" w:eastAsia="Calibri" w:cs="Calibri"/>
                <w:b w:val="0"/>
                <w:bCs w:val="0"/>
                <w:i w:val="0"/>
                <w:iCs w:val="0"/>
                <w:caps w:val="0"/>
                <w:smallCaps w:val="0"/>
                <w:color w:val="000000" w:themeColor="text1" w:themeTint="FF" w:themeShade="FF"/>
                <w:sz w:val="18"/>
                <w:szCs w:val="18"/>
                <w:lang w:val="es-CO"/>
              </w:rPr>
              <w:t>Ilustración d. Títulos por tipo de mineral</w:t>
            </w:r>
          </w:p>
          <w:p w:rsidR="0108C3FA" w:rsidP="0108C3FA" w:rsidRDefault="0108C3FA" w14:paraId="39AC57D0" w14:textId="263FCB9E">
            <w:pPr>
              <w:jc w:val="both"/>
              <w:rPr>
                <w:rFonts w:ascii="Calibri" w:hAnsi="Calibri" w:eastAsia="Calibri" w:cs="Calibri"/>
                <w:b w:val="0"/>
                <w:bCs w:val="0"/>
                <w:i w:val="0"/>
                <w:iCs w:val="0"/>
                <w:caps w:val="0"/>
                <w:smallCaps w:val="0"/>
                <w:color w:val="000000" w:themeColor="text1" w:themeTint="FF" w:themeShade="FF"/>
                <w:sz w:val="18"/>
                <w:szCs w:val="18"/>
              </w:rPr>
            </w:pPr>
          </w:p>
          <w:p w:rsidR="0108C3FA" w:rsidP="0108C3FA" w:rsidRDefault="0108C3FA" w14:paraId="297A6CB0" w14:textId="7ACE674B">
            <w:pPr>
              <w:jc w:val="center"/>
              <w:rPr>
                <w:rFonts w:ascii="Calibri" w:hAnsi="Calibri" w:eastAsia="Calibri" w:cs="Calibri"/>
                <w:b w:val="0"/>
                <w:bCs w:val="0"/>
                <w:i w:val="0"/>
                <w:iCs w:val="0"/>
                <w:caps w:val="0"/>
                <w:smallCaps w:val="0"/>
                <w:color w:val="000000" w:themeColor="text1" w:themeTint="FF" w:themeShade="FF"/>
                <w:sz w:val="18"/>
                <w:szCs w:val="18"/>
              </w:rPr>
            </w:pPr>
            <w:r w:rsidR="0108C3FA">
              <w:drawing>
                <wp:inline wp14:editId="5EB7285D" wp14:anchorId="49225921">
                  <wp:extent cx="2495550" cy="1543050"/>
                  <wp:effectExtent l="0" t="0" r="0" b="0"/>
                  <wp:docPr id="63527699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635276990" name=""/>
                          <pic:cNvPicPr/>
                        </pic:nvPicPr>
                        <pic:blipFill>
                          <a:blip xmlns:r="http://schemas.openxmlformats.org/officeDocument/2006/relationships" r:embed="rId26730811">
                            <a:extLst>
                              <a:ext xmlns:a="http://schemas.openxmlformats.org/drawingml/2006/main" uri="{28A0092B-C50C-407E-A947-70E740481C1C}">
                                <a14:useLocalDpi xmlns:a14="http://schemas.microsoft.com/office/drawing/2010/main" val="0"/>
                              </a:ext>
                            </a:extLst>
                          </a:blip>
                          <a:stretch>
                            <a:fillRect/>
                          </a:stretch>
                        </pic:blipFill>
                        <pic:spPr>
                          <a:xfrm>
                            <a:off x="0" y="0"/>
                            <a:ext cx="2495550" cy="1543050"/>
                          </a:xfrm>
                          <a:prstGeom prst="rect">
                            <a:avLst/>
                          </a:prstGeom>
                        </pic:spPr>
                      </pic:pic>
                    </a:graphicData>
                  </a:graphic>
                </wp:inline>
              </w:drawing>
            </w:r>
          </w:p>
        </w:tc>
      </w:tr>
    </w:tbl>
    <w:p w:rsidRPr="00271335" w:rsidR="00C443D6" w:rsidP="5734DBB2" w:rsidRDefault="4A4BE01A" w14:paraId="45372F60" w14:textId="4257AD89" w14:noSpellErr="1">
      <w:pPr>
        <w:autoSpaceDN w:val="0"/>
        <w:jc w:val="center"/>
        <w:textAlignment w:val="baseline"/>
        <w:rPr>
          <w:rFonts w:eastAsia="Calibri" w:cs="Times New Roman"/>
          <w:sz w:val="18"/>
          <w:szCs w:val="18"/>
        </w:rPr>
      </w:pPr>
      <w:r w:rsidRPr="0108C3FA" w:rsidR="4A4BE01A">
        <w:rPr>
          <w:rFonts w:eastAsia="Calibri" w:cs="Times New Roman"/>
          <w:sz w:val="18"/>
          <w:szCs w:val="18"/>
        </w:rPr>
        <w:t>Fuente: Datos ANM 202</w:t>
      </w:r>
      <w:r w:rsidRPr="0108C3FA" w:rsidR="1E3D1CE7">
        <w:rPr>
          <w:rFonts w:eastAsia="Calibri" w:cs="Times New Roman"/>
          <w:sz w:val="18"/>
          <w:szCs w:val="18"/>
        </w:rPr>
        <w:t>3</w:t>
      </w:r>
      <w:r w:rsidRPr="0108C3FA" w:rsidR="4A4BE01A">
        <w:rPr>
          <w:rFonts w:eastAsia="Calibri" w:cs="Times New Roman"/>
          <w:sz w:val="18"/>
          <w:szCs w:val="18"/>
        </w:rPr>
        <w:t>. Elaboración: Dirección de Minería Empresarial (DME-MINENERGÍA)</w:t>
      </w:r>
    </w:p>
    <w:p w:rsidRPr="004D24DF" w:rsidR="004D24DF" w:rsidP="00FB7DD0" w:rsidRDefault="004D24DF" w14:paraId="7653F92E" w14:textId="091E3885">
      <w:pPr>
        <w:pStyle w:val="Caption"/>
      </w:pPr>
    </w:p>
    <w:p w:rsidRPr="00E9703C" w:rsidR="00E74D6B" w:rsidP="00E74D6B" w:rsidRDefault="3EF2CFFD" w14:paraId="10819574" w14:textId="310CEE7E">
      <w:pPr>
        <w:jc w:val="both"/>
        <w:rPr>
          <w:color w:val="000000" w:themeColor="text1"/>
          <w:lang w:val="es-ES"/>
        </w:rPr>
      </w:pPr>
      <w:r w:rsidRPr="17F8AA9B">
        <w:rPr>
          <w:color w:val="000000" w:themeColor="text1"/>
          <w:lang w:val="es-ES"/>
        </w:rPr>
        <w:t xml:space="preserve">Basado en lo </w:t>
      </w:r>
      <w:r w:rsidRPr="17F8AA9B" w:rsidR="6207C138">
        <w:rPr>
          <w:color w:val="000000" w:themeColor="text1"/>
          <w:lang w:val="es-ES"/>
        </w:rPr>
        <w:t>anterior, se resaltan a continuación los aspectos que requieren acciones a corto, mediano y largo plazo en cuanto al otorgamiento de títulos mineros, la fiscalización, el control y seguimiento ambiental:</w:t>
      </w:r>
    </w:p>
    <w:p w:rsidRPr="004B2CAF" w:rsidR="00E74D6B" w:rsidP="00E74D6B" w:rsidRDefault="00E74D6B" w14:paraId="564F33C5" w14:textId="5FFC583D">
      <w:pPr>
        <w:jc w:val="both"/>
        <w:rPr>
          <w:lang w:val="es-ES" w:eastAsia="es-ES" w:bidi="hi-IN"/>
        </w:rPr>
      </w:pPr>
      <w:r w:rsidRPr="31226965">
        <w:rPr>
          <w:b/>
          <w:bCs/>
          <w:lang w:val="es-ES"/>
        </w:rPr>
        <w:t>1.</w:t>
      </w:r>
      <w:r w:rsidRPr="31226965">
        <w:rPr>
          <w:lang w:val="es-ES"/>
        </w:rPr>
        <w:t xml:space="preserve"> En cuanto a </w:t>
      </w:r>
      <w:r w:rsidRPr="31226965" w:rsidR="00DB0D19">
        <w:rPr>
          <w:lang w:val="es-ES"/>
        </w:rPr>
        <w:t xml:space="preserve">la reglamentación </w:t>
      </w:r>
      <w:r w:rsidRPr="31226965">
        <w:rPr>
          <w:lang w:val="es-ES"/>
        </w:rPr>
        <w:t xml:space="preserve">del sector minero, se han evidenciado </w:t>
      </w:r>
      <w:r w:rsidRPr="31226965">
        <w:rPr>
          <w:lang w:val="es-ES" w:eastAsia="es-ES" w:bidi="hi-IN"/>
        </w:rPr>
        <w:t>dificultades en los procedimientos de otorgamiento de títulos mineros</w:t>
      </w:r>
      <w:r w:rsidRPr="31226965" w:rsidR="00DB0D19">
        <w:rPr>
          <w:lang w:val="es-ES" w:eastAsia="es-ES" w:bidi="hi-IN"/>
        </w:rPr>
        <w:t>. L</w:t>
      </w:r>
      <w:r w:rsidRPr="31226965">
        <w:rPr>
          <w:lang w:val="es-ES" w:eastAsia="es-ES" w:bidi="hi-IN"/>
        </w:rPr>
        <w:t>os procesos de contratación y titulación minera definidos en la legislación vigente están basados en un modelo económico extractivista, descontextualizado de la realidad social, ambiental y económica del país, por lo que dicho modelo genera</w:t>
      </w:r>
      <w:r w:rsidRPr="31226965">
        <w:rPr>
          <w:lang w:eastAsia="es-CO"/>
        </w:rPr>
        <w:t xml:space="preserve"> tensiones con los derechos individuales y los colectivos consagrados en la Constitución, así como con diversos instrumentos internacionales. </w:t>
      </w:r>
    </w:p>
    <w:p w:rsidR="00E74D6B" w:rsidP="00E74D6B" w:rsidRDefault="00E74D6B" w14:paraId="3781E1FC" w14:textId="77777777">
      <w:pPr>
        <w:jc w:val="both"/>
        <w:rPr>
          <w:lang w:val="es-ES" w:eastAsia="es-ES" w:bidi="hi-IN"/>
        </w:rPr>
      </w:pPr>
      <w:r w:rsidRPr="004B2CAF">
        <w:rPr>
          <w:lang w:val="es-ES" w:eastAsia="es-ES" w:bidi="hi-IN"/>
        </w:rPr>
        <w:t>Esto ha llevado a que los jueces de la República, mediante diversos fallos, hayan emitido órdenes dirigidas a los sectores minero y ambiental con el fin de optimizar el proceso de adjudicación de títulos mineros. Entre las mejoras requeridas se incluyen el fortalecimiento de los mecanismos de participación ciudadana previa a la celebración de contratos mineros, así como la incorporación de variables ambientales y herramientas de ordenamiento territorial en el proceso de otorgamiento de dichos títulos.</w:t>
      </w:r>
    </w:p>
    <w:p w:rsidRPr="00714B00" w:rsidR="00E74D6B" w:rsidP="00E74D6B" w:rsidRDefault="00E74D6B" w14:paraId="574AD4FB" w14:textId="1290ECDA">
      <w:pPr>
        <w:jc w:val="both"/>
        <w:rPr>
          <w:lang w:val="es-ES" w:eastAsia="es-ES" w:bidi="hi-IN"/>
        </w:rPr>
      </w:pPr>
      <w:r w:rsidRPr="31226965">
        <w:rPr>
          <w:b/>
          <w:bCs/>
          <w:lang w:val="es-ES" w:eastAsia="es-ES" w:bidi="hi-IN"/>
        </w:rPr>
        <w:t>2.</w:t>
      </w:r>
      <w:r w:rsidRPr="31226965">
        <w:rPr>
          <w:lang w:val="es-ES" w:eastAsia="es-ES" w:bidi="hi-IN"/>
        </w:rPr>
        <w:t xml:space="preserve"> </w:t>
      </w:r>
      <w:r w:rsidRPr="009147B0" w:rsidR="009147B0">
        <w:rPr>
          <w:lang w:eastAsia="es-ES" w:bidi="hi-IN"/>
        </w:rPr>
        <w:t>Los contratos de concesión minera regulados por la Ley 685 de 2001 no garantizan plenamente la soberanía nacional sobre los recursos naturales no renovables ni su destinación prioritaria al desarrollo económico del país. Bajo este esquema, los recursos se entregan a cambio de regalías cuyas tarifas no se revisan desde la promulgación de Ley 141 de 1994, lo que ha derivado en un modelo minero orientado por la demanda y la iniciativa privada, más que por las necesidades nacionales. Esta situación ha generado impactos ambientales y sociales adversos y limita la posibilidad de priorizar minerales estratégicos para la producción nacional, la industrialización y la transición energética.</w:t>
      </w:r>
    </w:p>
    <w:p w:rsidR="00E74D6B" w:rsidP="00E74D6B" w:rsidRDefault="71E560C5" w14:paraId="6F039ED5" w14:textId="768CF446">
      <w:pPr>
        <w:jc w:val="both"/>
        <w:rPr>
          <w:noProof/>
          <w:lang w:val="es-ES" w:eastAsia="es-CO"/>
        </w:rPr>
      </w:pPr>
      <w:r>
        <w:rPr>
          <w:lang w:eastAsia="es-CO"/>
        </w:rPr>
        <w:t>Por su parte, como se detalló en los informes al Congreso de la República sobre el Estado de los Recursos Naturales y del Medio Ambiente</w:t>
      </w:r>
      <w:r w:rsidR="00E74D6B">
        <w:rPr>
          <w:rStyle w:val="FootnoteReference"/>
          <w:lang w:eastAsia="es-CO"/>
        </w:rPr>
        <w:footnoteReference w:id="37"/>
      </w:r>
      <w:r>
        <w:rPr>
          <w:lang w:eastAsia="es-CO"/>
        </w:rPr>
        <w:t>, las medidas reglamentarias creadas para reducir el tiempo de trámite para otorgar licencias ambientales restaron eficacia a este instrumento, mientras</w:t>
      </w:r>
      <w:r w:rsidR="17D9D6F6">
        <w:rPr>
          <w:lang w:eastAsia="es-CO"/>
        </w:rPr>
        <w:t xml:space="preserve"> </w:t>
      </w:r>
      <w:r w:rsidRPr="009147B0" w:rsidR="31141A53">
        <w:rPr>
          <w:lang w:eastAsia="es-CO"/>
        </w:rPr>
        <w:t>favorecen al solicitante a costa de riesgos mayores en un trámite que exige estudios, evaluaciones previas y verificaciones en campo que requieren dedicación de tiempo para hacerlo correctamente” (…)“Bajo dichas circunstancias, las autoridades ambientales no sólo tienen que ser eficaces y ágiles en sus procedimientos administrativos, sino además que, en dichos plazos perentorios, se garantice el cumplimiento de los principios de prevención y precaución, tomando decisiones que minimicen el riesgo de daño ambiental producto del desarrollo de un proyecto, obra o actividad sujeta al licenci</w:t>
      </w:r>
      <w:r w:rsidRPr="009147B0" w:rsidR="008F057A">
        <w:rPr>
          <w:lang w:eastAsia="es-CO"/>
        </w:rPr>
        <w:t>a</w:t>
      </w:r>
      <w:r w:rsidRPr="009147B0" w:rsidR="31141A53">
        <w:rPr>
          <w:lang w:eastAsia="es-CO"/>
        </w:rPr>
        <w:t>miento</w:t>
      </w:r>
      <w:r w:rsidRPr="009147B0" w:rsidR="7170A372">
        <w:rPr>
          <w:lang w:eastAsia="es-CO"/>
        </w:rPr>
        <w:t>.</w:t>
      </w:r>
      <w:r w:rsidRPr="3845A57C" w:rsidR="00E74D6B">
        <w:rPr>
          <w:i/>
          <w:iCs/>
          <w:vertAlign w:val="superscript"/>
          <w:lang w:eastAsia="es-CO"/>
        </w:rPr>
        <w:footnoteReference w:id="38"/>
      </w:r>
      <w:r w:rsidR="008F057A">
        <w:rPr>
          <w:noProof/>
          <w:lang w:val="es-ES" w:eastAsia="es-CO"/>
        </w:rPr>
        <w:t xml:space="preserve"> </w:t>
      </w:r>
    </w:p>
    <w:p w:rsidR="00E74D6B" w:rsidP="00E74D6B" w:rsidRDefault="71E560C5" w14:paraId="78F137CE" w14:textId="3BEEDC73">
      <w:pPr>
        <w:jc w:val="both"/>
        <w:rPr>
          <w:color w:val="000000" w:themeColor="text1"/>
          <w:lang w:eastAsia="es-ES" w:bidi="hi-IN"/>
        </w:rPr>
      </w:pPr>
      <w:r>
        <w:rPr>
          <w:b/>
          <w:bCs/>
          <w:lang w:val="es-ES" w:eastAsia="es-ES" w:bidi="hi-IN"/>
        </w:rPr>
        <w:t>3</w:t>
      </w:r>
      <w:r w:rsidRPr="007A2606">
        <w:rPr>
          <w:b/>
          <w:bCs/>
          <w:lang w:val="es-ES" w:eastAsia="es-ES" w:bidi="hi-IN"/>
        </w:rPr>
        <w:t>.</w:t>
      </w:r>
      <w:r>
        <w:rPr>
          <w:lang w:val="es-ES" w:eastAsia="es-ES" w:bidi="hi-IN"/>
        </w:rPr>
        <w:t xml:space="preserve"> </w:t>
      </w:r>
      <w:r w:rsidR="56D5A8F8">
        <w:rPr>
          <w:lang w:val="es-ES" w:eastAsia="es-ES" w:bidi="hi-IN"/>
        </w:rPr>
        <w:t>Se hace evidente</w:t>
      </w:r>
      <w:r w:rsidRPr="005F5507">
        <w:rPr>
          <w:lang w:val="es-ES" w:eastAsia="es-ES" w:bidi="hi-IN"/>
        </w:rPr>
        <w:t xml:space="preserve"> la </w:t>
      </w:r>
      <w:r w:rsidRPr="00714B00">
        <w:rPr>
          <w:lang w:val="es-ES" w:eastAsia="es-ES" w:bidi="hi-IN"/>
        </w:rPr>
        <w:t>insuficie</w:t>
      </w:r>
      <w:r>
        <w:rPr>
          <w:lang w:val="es-ES" w:eastAsia="es-ES" w:bidi="hi-IN"/>
        </w:rPr>
        <w:t xml:space="preserve">nte </w:t>
      </w:r>
      <w:r w:rsidRPr="00714B00">
        <w:rPr>
          <w:color w:val="000000" w:themeColor="text1"/>
          <w:lang w:val="es-ES" w:eastAsia="es-ES" w:bidi="hi-IN"/>
        </w:rPr>
        <w:t>definición y aplicación de requisitos minero-ambientales para el desarrollo de la actividad minera</w:t>
      </w:r>
      <w:r w:rsidRPr="00080D06">
        <w:rPr>
          <w:color w:val="000000" w:themeColor="text1"/>
          <w:lang w:val="es-ES" w:eastAsia="es-ES" w:bidi="hi-IN"/>
        </w:rPr>
        <w:t xml:space="preserve">. </w:t>
      </w:r>
      <w:r>
        <w:rPr>
          <w:color w:val="000000" w:themeColor="text1"/>
          <w:lang w:val="es-ES" w:eastAsia="es-ES" w:bidi="hi-IN"/>
        </w:rPr>
        <w:t>Gran</w:t>
      </w:r>
      <w:r w:rsidRPr="00080D06">
        <w:rPr>
          <w:color w:val="000000" w:themeColor="text1"/>
          <w:lang w:eastAsia="es-ES" w:bidi="hi-IN"/>
        </w:rPr>
        <w:t xml:space="preserve"> parte de la documentación vigente aplicable a la actividad minera está desactualizada con respecto a la realidad ambiental en</w:t>
      </w:r>
      <w:r w:rsidRPr="5775DF11" w:rsidR="1058D733">
        <w:rPr>
          <w:color w:val="000000" w:themeColor="text1"/>
          <w:lang w:eastAsia="es-ES" w:bidi="hi-IN"/>
        </w:rPr>
        <w:t xml:space="preserve"> los</w:t>
      </w:r>
      <w:r w:rsidRPr="00080D06">
        <w:rPr>
          <w:color w:val="000000" w:themeColor="text1"/>
          <w:lang w:eastAsia="es-ES" w:bidi="hi-IN"/>
        </w:rPr>
        <w:t xml:space="preserve"> territorio</w:t>
      </w:r>
      <w:r w:rsidRPr="5775DF11" w:rsidR="1058D733">
        <w:rPr>
          <w:color w:val="000000" w:themeColor="text1"/>
          <w:lang w:eastAsia="es-ES" w:bidi="hi-IN"/>
        </w:rPr>
        <w:t>s</w:t>
      </w:r>
      <w:r w:rsidRPr="00080D06">
        <w:rPr>
          <w:color w:val="000000" w:themeColor="text1"/>
          <w:lang w:eastAsia="es-ES" w:bidi="hi-IN"/>
        </w:rPr>
        <w:t>, lo cual ha generado nuevas demandas que exigen al sector minero ponerse al día. La información geoespacial que se utiliza en la gestión del recurso minero se actualiza de acuerdo con las fuentes oficiales como el RUNAP</w:t>
      </w:r>
      <w:r w:rsidRPr="44AF0C59" w:rsidR="00E74D6B">
        <w:rPr>
          <w:rStyle w:val="FootnoteReference"/>
          <w:rFonts w:eastAsia="Times New Roman" w:cs="Arial"/>
          <w:color w:val="000000" w:themeColor="text1"/>
          <w:lang w:eastAsia="es-ES" w:bidi="hi-IN"/>
        </w:rPr>
        <w:footnoteReference w:id="39"/>
      </w:r>
      <w:r w:rsidRPr="00080D06">
        <w:rPr>
          <w:color w:val="000000" w:themeColor="text1"/>
          <w:lang w:eastAsia="es-ES" w:bidi="hi-IN"/>
        </w:rPr>
        <w:t xml:space="preserve"> y el </w:t>
      </w:r>
      <w:proofErr w:type="spellStart"/>
      <w:r w:rsidRPr="00080D06">
        <w:rPr>
          <w:color w:val="000000" w:themeColor="text1"/>
          <w:lang w:eastAsia="es-ES" w:bidi="hi-IN"/>
        </w:rPr>
        <w:t>geovisor</w:t>
      </w:r>
      <w:proofErr w:type="spellEnd"/>
      <w:r w:rsidRPr="00080D06">
        <w:rPr>
          <w:color w:val="000000" w:themeColor="text1"/>
          <w:lang w:eastAsia="es-ES" w:bidi="hi-IN"/>
        </w:rPr>
        <w:t xml:space="preserve"> SIAC</w:t>
      </w:r>
      <w:r w:rsidRPr="44AF0C59" w:rsidR="00E74D6B">
        <w:rPr>
          <w:rStyle w:val="FootnoteReference"/>
          <w:rFonts w:eastAsia="Times New Roman" w:cs="Arial"/>
          <w:color w:val="000000" w:themeColor="text1"/>
          <w:lang w:eastAsia="es-ES" w:bidi="hi-IN"/>
        </w:rPr>
        <w:footnoteReference w:id="40"/>
      </w:r>
      <w:r w:rsidRPr="00080D06">
        <w:rPr>
          <w:color w:val="000000" w:themeColor="text1"/>
          <w:lang w:eastAsia="es-ES" w:bidi="hi-IN"/>
        </w:rPr>
        <w:t>, herramientas</w:t>
      </w:r>
      <w:r>
        <w:rPr>
          <w:color w:val="000000" w:themeColor="text1"/>
          <w:lang w:eastAsia="es-ES" w:bidi="hi-IN"/>
        </w:rPr>
        <w:t xml:space="preserve"> en las que se encuentra información desactualizada </w:t>
      </w:r>
      <w:r w:rsidRPr="00080D06">
        <w:rPr>
          <w:color w:val="000000" w:themeColor="text1"/>
          <w:lang w:eastAsia="es-ES" w:bidi="hi-IN"/>
        </w:rPr>
        <w:t xml:space="preserve">de las </w:t>
      </w:r>
      <w:r w:rsidRPr="00714B00">
        <w:rPr>
          <w:color w:val="000000" w:themeColor="text1"/>
          <w:lang w:eastAsia="es-ES" w:bidi="hi-IN"/>
        </w:rPr>
        <w:t>Corporaciones Autónomas Regionales y de Desarrollo Sostenible, y al consultar sus sistemas de información dispuestos al público, deben completarse las áreas ambientalmente protegidas y las áreas libres para la actividad minera</w:t>
      </w:r>
      <w:r w:rsidRPr="00080D06" w:rsidR="00E74D6B">
        <w:rPr>
          <w:rStyle w:val="FootnoteReference"/>
          <w:color w:val="000000" w:themeColor="text1"/>
          <w:lang w:eastAsia="es-ES" w:bidi="hi-IN"/>
        </w:rPr>
        <w:footnoteReference w:id="41"/>
      </w:r>
      <w:r w:rsidRPr="00080D06">
        <w:rPr>
          <w:color w:val="000000" w:themeColor="text1"/>
          <w:lang w:eastAsia="es-ES" w:bidi="hi-IN"/>
        </w:rPr>
        <w:t xml:space="preserve">. </w:t>
      </w:r>
    </w:p>
    <w:p w:rsidR="00E74D6B" w:rsidP="00E74D6B" w:rsidRDefault="00E74D6B" w14:paraId="58F6BF5D" w14:textId="20B8488A">
      <w:pPr>
        <w:jc w:val="both"/>
        <w:rPr>
          <w:color w:val="000000" w:themeColor="text1"/>
          <w:lang w:eastAsia="es-ES" w:bidi="hi-IN"/>
        </w:rPr>
      </w:pPr>
      <w:r w:rsidRPr="5775DF11">
        <w:rPr>
          <w:b/>
          <w:bCs/>
          <w:color w:val="000000" w:themeColor="text1"/>
          <w:lang w:eastAsia="es-ES" w:bidi="hi-IN"/>
        </w:rPr>
        <w:t>4.</w:t>
      </w:r>
      <w:r w:rsidRPr="5775DF11">
        <w:rPr>
          <w:color w:val="000000" w:themeColor="text1"/>
          <w:lang w:eastAsia="es-ES" w:bidi="hi-IN"/>
        </w:rPr>
        <w:t xml:space="preserve"> Hay una falta de herramientas tecnológicas y geoespaciales actualizadas y armonizadas entre sectores</w:t>
      </w:r>
      <w:r w:rsidRPr="5775DF11" w:rsidR="003804E0">
        <w:rPr>
          <w:color w:val="000000" w:themeColor="text1"/>
          <w:lang w:eastAsia="es-ES" w:bidi="hi-IN"/>
        </w:rPr>
        <w:t>. Esto</w:t>
      </w:r>
      <w:r w:rsidRPr="5775DF11">
        <w:rPr>
          <w:color w:val="000000" w:themeColor="text1"/>
          <w:lang w:eastAsia="es-ES" w:bidi="hi-IN"/>
        </w:rPr>
        <w:t xml:space="preserve"> tiene estrecha relación con las dificultades en los equipos de fiscalización regionales para acceder a información real, certera y objetiva de las condiciones ambientales de las áreas mineras tituladas</w:t>
      </w:r>
      <w:r w:rsidRPr="5775DF11" w:rsidR="25DBCCEA">
        <w:rPr>
          <w:color w:val="000000" w:themeColor="text1"/>
          <w:lang w:eastAsia="es-ES" w:bidi="hi-IN"/>
        </w:rPr>
        <w:t xml:space="preserve">, en este sentido </w:t>
      </w:r>
      <w:r w:rsidRPr="5775DF11">
        <w:rPr>
          <w:color w:val="000000" w:themeColor="text1"/>
          <w:lang w:eastAsia="es-ES" w:bidi="hi-IN"/>
        </w:rPr>
        <w:t>es importante que se tenga un contexto completo y real sobre el tipo de determinantes ambientales que hay en el área de influencia directa e indirecta de cada título minero, pues la metodología de fiscalización puede variar según los recursos naturales renovables a impactar con la actividad minera.</w:t>
      </w:r>
    </w:p>
    <w:p w:rsidRPr="008D3B9B" w:rsidR="00E74D6B" w:rsidP="00E74D6B" w:rsidRDefault="71E560C5" w14:paraId="0D18316C" w14:textId="322B796F">
      <w:pPr>
        <w:jc w:val="both"/>
      </w:pPr>
      <w:r>
        <w:rPr>
          <w:b/>
          <w:bCs/>
          <w:lang w:eastAsia="es-ES" w:bidi="hi-IN"/>
        </w:rPr>
        <w:t>5</w:t>
      </w:r>
      <w:r w:rsidRPr="00E67A49">
        <w:rPr>
          <w:b/>
          <w:bCs/>
          <w:lang w:val="es-ES" w:eastAsia="es-ES" w:bidi="hi-IN"/>
        </w:rPr>
        <w:t xml:space="preserve">. </w:t>
      </w:r>
      <w:r>
        <w:rPr>
          <w:lang w:val="es-ES" w:eastAsia="es-ES" w:bidi="hi-IN"/>
        </w:rPr>
        <w:t>Debilidad</w:t>
      </w:r>
      <w:r w:rsidRPr="00714B00">
        <w:t xml:space="preserve"> en el </w:t>
      </w:r>
      <w:r>
        <w:t>proceso</w:t>
      </w:r>
      <w:r w:rsidRPr="00714B00">
        <w:t xml:space="preserve"> de control a la producción de los minerales en las diferentes etapas de la cadena de valor</w:t>
      </w:r>
      <w:r>
        <w:t xml:space="preserve">. </w:t>
      </w:r>
      <w:r w:rsidR="0881575D">
        <w:t>En relación con</w:t>
      </w:r>
      <w:r>
        <w:t xml:space="preserve"> l</w:t>
      </w:r>
      <w:r w:rsidRPr="008D3B9B">
        <w:t>a competencia asignada por la ley</w:t>
      </w:r>
      <w:r w:rsidR="00E74D6B">
        <w:rPr>
          <w:rStyle w:val="FootnoteReference"/>
        </w:rPr>
        <w:footnoteReference w:id="42"/>
      </w:r>
      <w:r w:rsidRPr="008D3B9B">
        <w:t xml:space="preserve"> a la </w:t>
      </w:r>
      <w:r>
        <w:t>ANM</w:t>
      </w:r>
      <w:r w:rsidRPr="008D3B9B">
        <w:t xml:space="preserve"> relacionada con la fiscalización minera frente al control </w:t>
      </w:r>
      <w:r>
        <w:t>de</w:t>
      </w:r>
      <w:r w:rsidRPr="008D3B9B">
        <w:t xml:space="preserve"> la producción, se identifica que no se cuenta con información actualizada y estructurada de los recursos y reservas como riqueza intangible de la nación para validar el agotamiento de los mismos en confrontación con el reporte de producción por parte de los titulares mineros que permita la sostenibilidad fiscal, traducida en el control al pago de regalías y otras contraprestaciones económicas; así como para medir el impacto de este sector en la economía </w:t>
      </w:r>
      <w:r>
        <w:t>n</w:t>
      </w:r>
      <w:r w:rsidRPr="008D3B9B">
        <w:t xml:space="preserve">acional. </w:t>
      </w:r>
      <w:r w:rsidRPr="5775DF11">
        <w:rPr>
          <w:lang w:val="es-ES"/>
        </w:rPr>
        <w:t xml:space="preserve">Lo anterior ha provocado que no se logre realizar </w:t>
      </w:r>
      <w:r w:rsidRPr="5775DF11">
        <w:t>la validación eficiente del recaudo de las regalías producto de la explotación y aprovechamiento del recurso, ni tampoco que se logre conocer y cuantificar la producción minera proveniente de actividades no autorizadas e ilícitas</w:t>
      </w:r>
      <w:r w:rsidRPr="008D3B9B">
        <w:t>.</w:t>
      </w:r>
    </w:p>
    <w:p w:rsidR="00E74D6B" w:rsidP="00E74D6B" w:rsidRDefault="6207C138" w14:paraId="742CBF84" w14:textId="54D46AA5">
      <w:pPr>
        <w:jc w:val="both"/>
      </w:pPr>
      <w:r w:rsidRPr="17F8AA9B">
        <w:rPr>
          <w:b/>
          <w:bCs/>
        </w:rPr>
        <w:t>6.</w:t>
      </w:r>
      <w:r>
        <w:t xml:space="preserve"> Existe una debilidad y falencia en los procesos y procedimientos de fiscalización, control y seguimiento a las actividades mineras. Se presenta extenuación en la capacidad operativa de la entidad para el seguimiento y control de las obligaciones técnicas, legales y contractuales, lo cual impide la verificación eficaz del aprovechamiento de los recursos minerales </w:t>
      </w:r>
      <w:r w:rsidRPr="17F8AA9B">
        <w:rPr>
          <w:i/>
          <w:iCs/>
        </w:rPr>
        <w:t>in</w:t>
      </w:r>
      <w:r w:rsidRPr="17F8AA9B" w:rsidR="2E6CE831">
        <w:rPr>
          <w:i/>
          <w:iCs/>
        </w:rPr>
        <w:t xml:space="preserve"> </w:t>
      </w:r>
      <w:r w:rsidRPr="17F8AA9B">
        <w:rPr>
          <w:i/>
          <w:iCs/>
        </w:rPr>
        <w:t>situ</w:t>
      </w:r>
      <w:r>
        <w:t xml:space="preserve">, y proceder oportunamente con trámites administrativos sancionatorios a que haya lugar. </w:t>
      </w:r>
    </w:p>
    <w:p w:rsidR="4C08C3B3" w:rsidP="5734DBB2" w:rsidRDefault="4C08C3B3" w14:paraId="3F6AEF9F" w14:textId="7BD72480">
      <w:pPr>
        <w:jc w:val="both"/>
        <w:rPr>
          <w:lang w:val="es-ES"/>
        </w:rPr>
      </w:pPr>
      <w:r w:rsidRPr="5734DBB2">
        <w:rPr>
          <w:b/>
          <w:bCs/>
        </w:rPr>
        <w:t xml:space="preserve">7. </w:t>
      </w:r>
      <w:r>
        <w:t xml:space="preserve">Adicionalmente, para los títulos en etapa de exploración, construcción y montaje, se evidencia la ausencia de </w:t>
      </w:r>
      <w:r w:rsidRPr="5734DBB2">
        <w:rPr>
          <w:color w:val="000000" w:themeColor="text1"/>
        </w:rPr>
        <w:t>mecanismos legales y contractuales que permitan requerir los soportes técnicos para adelantar un seguimiento ambiental y fiscalización coherente. También se identifica que falta claridad en la normatividad existente para el seguimiento y control de las actividades mineras en proceso de formalización en áreas con prerrogativas de explotación</w:t>
      </w:r>
      <w:r>
        <w:t xml:space="preserve">. </w:t>
      </w:r>
      <w:r w:rsidR="2202AF19">
        <w:t>Lo anterior no solo ocasiona impactos socioeconómicos negativos en las áreas de influencia, sino que fomenta la extracción ilegal de minerales, el aprovechamiento inadecuado del recurso y la pérdida o esterilización de reservas. A esto se suma la ausencia de sanciones efectivas y oportunas frente a incumplimientos y el déficit de mecanismos de participación ciudadana, lo que incrementa la conflictividad social y dificulta la sostenibilidad de la actividad minera.</w:t>
      </w:r>
    </w:p>
    <w:p w:rsidRPr="001124D1" w:rsidR="00E74D6B" w:rsidP="00E74D6B" w:rsidRDefault="00E74D6B" w14:paraId="157727C8" w14:textId="77777777">
      <w:pPr>
        <w:jc w:val="both"/>
        <w:textAlignment w:val="baseline"/>
        <w:rPr>
          <w:b/>
          <w:bCs/>
        </w:rPr>
      </w:pPr>
      <w:r>
        <w:rPr>
          <w:b/>
          <w:bCs/>
          <w:lang w:val="es"/>
        </w:rPr>
        <w:t>8</w:t>
      </w:r>
      <w:r w:rsidRPr="0057477B">
        <w:rPr>
          <w:b/>
          <w:bCs/>
          <w:lang w:val="es"/>
        </w:rPr>
        <w:t xml:space="preserve">. </w:t>
      </w:r>
      <w:r w:rsidRPr="0057477B">
        <w:rPr>
          <w:lang w:val="es"/>
        </w:rPr>
        <w:t>D</w:t>
      </w:r>
      <w:proofErr w:type="spellStart"/>
      <w:r>
        <w:t>ebilidad</w:t>
      </w:r>
      <w:proofErr w:type="spellEnd"/>
      <w:r>
        <w:t xml:space="preserve"> en el conocimiento, socialización e implementación de los reglamentos técnicos nacionales que orientan la seguridad minera en el país, así como estándares internacionales en la materia</w:t>
      </w:r>
      <w:r w:rsidRPr="004CACCD">
        <w:rPr>
          <w:b/>
          <w:bCs/>
        </w:rPr>
        <w:t xml:space="preserve">. </w:t>
      </w:r>
      <w:r>
        <w:t>Al respecto,</w:t>
      </w:r>
      <w:r w:rsidRPr="004CACCD">
        <w:rPr>
          <w:b/>
          <w:bCs/>
        </w:rPr>
        <w:t xml:space="preserve"> </w:t>
      </w:r>
      <w:r w:rsidRPr="004CACCD">
        <w:rPr>
          <w:lang w:val="es-ES"/>
        </w:rPr>
        <w:t xml:space="preserve">no se cuenta con suficientes centros de investigación que produzcan estudios sobre control de riesgos y seguridad minera, y en todo caso, los estudios realizados no cuentan con suficiente divulgación o carecen de implementación. </w:t>
      </w:r>
    </w:p>
    <w:p w:rsidRPr="008D3B9B" w:rsidR="00E74D6B" w:rsidDel="00693E63" w:rsidP="00E74D6B" w:rsidRDefault="71E560C5" w14:paraId="3A1CC8E7" w14:textId="720EF411">
      <w:pPr>
        <w:jc w:val="both"/>
        <w:textAlignment w:val="baseline"/>
        <w:rPr>
          <w:lang w:val="es-ES" w:eastAsia="es-ES" w:bidi="hi-IN"/>
        </w:rPr>
      </w:pPr>
      <w:r>
        <w:t>En consecuencia, se destaca que</w:t>
      </w:r>
      <w:r w:rsidRPr="7369F224">
        <w:rPr>
          <w:lang w:val="es-ES"/>
        </w:rPr>
        <w:t xml:space="preserve"> las cifras de accidentalidad en la actividad minera en la última década han </w:t>
      </w:r>
      <w:r w:rsidRPr="7369F224" w:rsidR="65C3D2B8">
        <w:rPr>
          <w:lang w:val="es-ES"/>
        </w:rPr>
        <w:t>significativas</w:t>
      </w:r>
      <w:r>
        <w:rPr>
          <w:lang w:val="es-ES"/>
        </w:rPr>
        <w:t xml:space="preserve">. Por año, de acuerdo con cifras de la ANM, </w:t>
      </w:r>
      <w:r w:rsidRPr="7369F224">
        <w:rPr>
          <w:lang w:val="es-ES"/>
        </w:rPr>
        <w:t>fallecen en promedio 122,4 trabajadores</w:t>
      </w:r>
      <w:r w:rsidR="00E74D6B">
        <w:rPr>
          <w:rStyle w:val="FootnoteReference"/>
          <w:lang w:val="es-ES"/>
        </w:rPr>
        <w:footnoteReference w:id="43"/>
      </w:r>
      <w:r w:rsidRPr="7369F224">
        <w:rPr>
          <w:lang w:val="es-ES"/>
        </w:rPr>
        <w:t xml:space="preserve"> a causa</w:t>
      </w:r>
      <w:r>
        <w:rPr>
          <w:lang w:val="es-ES"/>
        </w:rPr>
        <w:t xml:space="preserve"> de </w:t>
      </w:r>
      <w:r w:rsidRPr="7369F224">
        <w:rPr>
          <w:lang w:val="es-ES"/>
        </w:rPr>
        <w:t>fallas geomecánicas, atmósferas viciadas, explosiones, accidentes mecánicos</w:t>
      </w:r>
      <w:r>
        <w:rPr>
          <w:lang w:val="es-ES"/>
        </w:rPr>
        <w:t>, entre otros.</w:t>
      </w:r>
      <w:r w:rsidRPr="7369F224">
        <w:rPr>
          <w:lang w:val="es-ES"/>
        </w:rPr>
        <w:t xml:space="preserve">  La accidentalidad en la minería en Colombia ocurre en un alto porcentaje principalmente en labores subterráneas de carbón, las cuales están ubicadas </w:t>
      </w:r>
      <w:r w:rsidR="3C099A17">
        <w:rPr>
          <w:lang w:val="es-ES"/>
        </w:rPr>
        <w:t xml:space="preserve">principalmente </w:t>
      </w:r>
      <w:r w:rsidRPr="7369F224">
        <w:rPr>
          <w:lang w:val="es-ES"/>
        </w:rPr>
        <w:t xml:space="preserve">en los departamentos de Antioquia, Boyacá, Cundinamarca y Norte de </w:t>
      </w:r>
      <w:r w:rsidRPr="7369F224" w:rsidR="206A7CAA">
        <w:rPr>
          <w:lang w:val="es-ES"/>
        </w:rPr>
        <w:t>Santander. Adicionalmente</w:t>
      </w:r>
      <w:r>
        <w:rPr>
          <w:lang w:val="es-ES" w:eastAsia="es-ES" w:bidi="hi-IN"/>
        </w:rPr>
        <w:t>, e</w:t>
      </w:r>
      <w:r w:rsidRPr="702E2754">
        <w:rPr>
          <w:lang w:val="es-ES" w:eastAsia="es-ES" w:bidi="hi-IN"/>
        </w:rPr>
        <w:t>xiste una</w:t>
      </w:r>
      <w:r w:rsidRPr="008D3B9B">
        <w:rPr>
          <w:b/>
          <w:bCs/>
          <w:lang w:val="es-ES" w:eastAsia="es-ES" w:bidi="hi-IN"/>
        </w:rPr>
        <w:t xml:space="preserve"> </w:t>
      </w:r>
      <w:r w:rsidRPr="008D3B9B">
        <w:rPr>
          <w:lang w:val="es-ES" w:eastAsia="es-ES" w:bidi="hi-IN"/>
        </w:rPr>
        <w:t>baja inversión de los titulares para el mejoramiento de la seguridad en sus explotaciones</w:t>
      </w:r>
      <w:r w:rsidRPr="008D3B9B">
        <w:t xml:space="preserve"> </w:t>
      </w:r>
      <w:r w:rsidRPr="008D3B9B">
        <w:rPr>
          <w:lang w:val="es-ES" w:eastAsia="es-ES" w:bidi="hi-IN"/>
        </w:rPr>
        <w:t>y se evidencia</w:t>
      </w:r>
      <w:r w:rsidRPr="008D3B9B">
        <w:t xml:space="preserve"> </w:t>
      </w:r>
      <w:r>
        <w:rPr>
          <w:lang w:val="es-ES" w:eastAsia="es-ES" w:bidi="hi-IN"/>
        </w:rPr>
        <w:t xml:space="preserve">desinterés de estos para tales objetivos, </w:t>
      </w:r>
      <w:r w:rsidRPr="008D3B9B">
        <w:rPr>
          <w:lang w:val="es-ES" w:eastAsia="es-ES" w:bidi="hi-IN"/>
        </w:rPr>
        <w:t xml:space="preserve">aunado a que no se identifica una estrategia </w:t>
      </w:r>
      <w:r>
        <w:rPr>
          <w:lang w:val="es-ES" w:eastAsia="es-ES" w:bidi="hi-IN"/>
        </w:rPr>
        <w:t xml:space="preserve">interinstitucional </w:t>
      </w:r>
      <w:r w:rsidRPr="008D3B9B">
        <w:rPr>
          <w:lang w:val="es-ES" w:eastAsia="es-ES" w:bidi="hi-IN"/>
        </w:rPr>
        <w:t>en conjunto con las aseguradoras que permita prevenir y solucionar la problemática de la alta accidentalidad minera</w:t>
      </w:r>
      <w:r w:rsidR="00E74D6B">
        <w:rPr>
          <w:rStyle w:val="FootnoteReference"/>
          <w:lang w:val="es-ES" w:eastAsia="es-ES" w:bidi="hi-IN"/>
        </w:rPr>
        <w:footnoteReference w:id="44"/>
      </w:r>
      <w:r>
        <w:rPr>
          <w:lang w:val="es-ES" w:eastAsia="es-ES" w:bidi="hi-IN"/>
        </w:rPr>
        <w:t>.</w:t>
      </w:r>
    </w:p>
    <w:p w:rsidR="00C443D6" w:rsidP="007C069E" w:rsidRDefault="4C08C3B3" w14:paraId="0BF0C776" w14:textId="315F1117">
      <w:pPr>
        <w:jc w:val="both"/>
      </w:pPr>
      <w:r w:rsidRPr="5734DBB2">
        <w:rPr>
          <w:b/>
          <w:bCs/>
          <w:lang w:val="es-ES" w:eastAsia="es-ES" w:bidi="hi-IN"/>
        </w:rPr>
        <w:t>9.</w:t>
      </w:r>
      <w:r w:rsidRPr="5734DBB2">
        <w:rPr>
          <w:lang w:val="es-ES" w:eastAsia="es-ES" w:bidi="hi-IN"/>
        </w:rPr>
        <w:t xml:space="preserve"> De</w:t>
      </w:r>
      <w:proofErr w:type="spellStart"/>
      <w:r w:rsidRPr="5734DBB2">
        <w:rPr>
          <w:lang w:eastAsia="es-CO"/>
        </w:rPr>
        <w:t>ficiencia</w:t>
      </w:r>
      <w:proofErr w:type="spellEnd"/>
      <w:r w:rsidRPr="5734DBB2">
        <w:rPr>
          <w:lang w:eastAsia="es-CO"/>
        </w:rPr>
        <w:t xml:space="preserve"> </w:t>
      </w:r>
      <w:r w:rsidRPr="5734DBB2">
        <w:rPr>
          <w:lang w:val="es-ES" w:eastAsia="es-ES" w:bidi="hi-IN"/>
        </w:rPr>
        <w:t>del</w:t>
      </w:r>
      <w:r w:rsidRPr="5734DBB2">
        <w:rPr>
          <w:lang w:eastAsia="es-CO"/>
        </w:rPr>
        <w:t xml:space="preserve"> aseguramiento y calidad de la información entregada por parte de los titulares mineros, pues </w:t>
      </w:r>
      <w:r>
        <w:t xml:space="preserve">no siempre cumple con el rigor normativo vigente. No existen parámetros de referencia o mecanismos para contrastar la información recibida. </w:t>
      </w:r>
      <w:r w:rsidR="3E7BC2CA">
        <w:t>A ello se suma la falta de interoperabilidad con bases de datos oficiales (ambientales, catastrales, comerciales y geológicas), la ausencia de estándares unificados en los formatos de reporte y la limitada trazabilidad que permita detectar inconsistencias. Asimismo, faltan recursos para el fortalecimiento continuo de estas herramientas tecnológicas y para la capacitación del personal encargado de su manejo, lo que repercute negativamente en el trámite de servicios mineros, la adjudicación de áreas, la administración eficiente del recurso, la evaluación de la actividad minera y la preservación del conocimiento técnico, operacional y ambiental necesario para la toma de decisiones oportunas por parte de la autoridad minera.</w:t>
      </w:r>
    </w:p>
    <w:p w:rsidR="00320271" w:rsidP="007C069E" w:rsidRDefault="00320271" w14:paraId="5444593B" w14:textId="77777777">
      <w:pPr>
        <w:jc w:val="both"/>
        <w:rPr>
          <w:lang w:eastAsia="es-CO"/>
        </w:rPr>
      </w:pPr>
    </w:p>
    <w:p w:rsidRPr="007A1539" w:rsidR="00C443D6" w:rsidRDefault="007A1539" w14:paraId="2F20B2E4" w14:textId="5CC179BC">
      <w:pPr>
        <w:pStyle w:val="Heading2"/>
        <w:numPr>
          <w:ilvl w:val="0"/>
          <w:numId w:val="9"/>
        </w:numPr>
        <w:ind w:left="0" w:firstLine="0"/>
      </w:pPr>
      <w:bookmarkStart w:name="_Toc210292977" w:id="585"/>
      <w:r>
        <w:t xml:space="preserve">Falta de </w:t>
      </w:r>
      <w:r w:rsidRPr="007A1539">
        <w:t>garant</w:t>
      </w:r>
      <w:r>
        <w:t>ías</w:t>
      </w:r>
      <w:r w:rsidRPr="007A1539">
        <w:t xml:space="preserve"> </w:t>
      </w:r>
      <w:r w:rsidR="00775C35">
        <w:t xml:space="preserve">para </w:t>
      </w:r>
      <w:r w:rsidRPr="007A1539">
        <w:t>la participación social efectiva en el desarrollo de la actividad minera.</w:t>
      </w:r>
      <w:bookmarkEnd w:id="585"/>
    </w:p>
    <w:p w:rsidR="00C443D6" w:rsidP="002B6295" w:rsidRDefault="00C443D6" w14:paraId="147BA811" w14:textId="77777777">
      <w:pPr>
        <w:rPr>
          <w:lang w:val="es-ES"/>
        </w:rPr>
      </w:pPr>
    </w:p>
    <w:p w:rsidR="00C443D6" w:rsidP="00934F93" w:rsidRDefault="5EFA0007" w14:paraId="6D7D1881" w14:textId="15454D46">
      <w:pPr>
        <w:pStyle w:val="Heading3"/>
        <w:rPr>
          <w:lang w:val="es-ES"/>
        </w:rPr>
      </w:pPr>
      <w:bookmarkStart w:name="_Toc135903123" w:id="586"/>
      <w:bookmarkStart w:name="_Toc87802176" w:id="587"/>
      <w:bookmarkStart w:name="_Toc1323455820" w:id="588"/>
      <w:bookmarkStart w:name="_Toc624736269" w:id="589"/>
      <w:bookmarkStart w:name="_Toc1964120700" w:id="590"/>
      <w:bookmarkStart w:name="_Toc1033870749" w:id="591"/>
      <w:bookmarkStart w:name="_Toc284574299" w:id="592"/>
      <w:bookmarkStart w:name="_Toc2017428081" w:id="593"/>
      <w:bookmarkStart w:name="_Toc1954105518" w:id="594"/>
      <w:bookmarkStart w:name="_Toc1254115851" w:id="595"/>
      <w:bookmarkStart w:name="_Toc600518715" w:id="596"/>
      <w:bookmarkStart w:name="_Toc1495349220" w:id="597"/>
      <w:bookmarkStart w:name="_Toc1940869201" w:id="598"/>
      <w:bookmarkStart w:name="_Toc853775643" w:id="599"/>
      <w:bookmarkStart w:name="_Toc646103575" w:id="600"/>
      <w:bookmarkStart w:name="_Toc1618104037" w:id="601"/>
      <w:bookmarkStart w:name="_Toc418988579" w:id="602"/>
      <w:bookmarkStart w:name="_Toc1886665237" w:id="603"/>
      <w:bookmarkStart w:name="_Toc80468204" w:id="604"/>
      <w:bookmarkStart w:name="_Toc6007972" w:id="605"/>
      <w:bookmarkStart w:name="_Toc1314977996" w:id="606"/>
      <w:bookmarkStart w:name="_Toc2138824559" w:id="607"/>
      <w:bookmarkStart w:name="_Toc2131387118" w:id="608"/>
      <w:bookmarkStart w:name="_Toc561775469" w:id="609"/>
      <w:bookmarkStart w:name="_Toc2114025520" w:id="610"/>
      <w:bookmarkStart w:name="_Toc1960772285" w:id="611"/>
      <w:bookmarkStart w:name="_Toc210292978" w:id="612"/>
      <w:r w:rsidRPr="287A971D">
        <w:rPr>
          <w:lang w:val="es-ES"/>
        </w:rPr>
        <w:t xml:space="preserve">4.1. Los </w:t>
      </w:r>
      <w:r w:rsidRPr="287A971D" w:rsidR="4E59EDCB">
        <w:rPr>
          <w:lang w:val="es-ES"/>
        </w:rPr>
        <w:t>t</w:t>
      </w:r>
      <w:r w:rsidRPr="287A971D">
        <w:rPr>
          <w:lang w:val="es-ES"/>
        </w:rPr>
        <w:t>erritorios y mecanismos de participación</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rsidR="00934F93" w:rsidP="00DF56BA" w:rsidRDefault="00934F93" w14:paraId="4C155C73" w14:textId="77777777">
      <w:pPr>
        <w:spacing w:after="0"/>
        <w:rPr>
          <w:lang w:val="es-ES"/>
        </w:rPr>
      </w:pPr>
    </w:p>
    <w:p w:rsidR="00470F04" w:rsidP="5775DF11" w:rsidRDefault="71A55FB9" w14:paraId="6F791FF4" w14:textId="34EE785A">
      <w:pPr>
        <w:spacing w:after="0"/>
        <w:jc w:val="both"/>
        <w:rPr>
          <w:rStyle w:val="normaltextrun"/>
          <w:rFonts w:cs="Arial"/>
        </w:rPr>
      </w:pPr>
      <w:bookmarkStart w:name="_Hlk199354061" w:id="613"/>
      <w:r>
        <w:t>Las sentencias</w:t>
      </w:r>
      <w:r w:rsidR="00470F04">
        <w:rPr>
          <w:rStyle w:val="FootnoteReference"/>
        </w:rPr>
        <w:footnoteReference w:id="45"/>
      </w:r>
      <w:r>
        <w:t xml:space="preserve"> proferidas por las Altas Cortes respecto de la participación de las comunidades en el marco de los procesos adelantados por la actividad minera recogen dos conclusiones principales: (i) La participación es un derecho fundamental reconocido por la Constitución Política de Colombia (artículos 2, 40, 103 y 270) y (</w:t>
      </w:r>
      <w:proofErr w:type="spellStart"/>
      <w:r>
        <w:t>ii</w:t>
      </w:r>
      <w:proofErr w:type="spellEnd"/>
      <w:r>
        <w:t>) La falta de implementación de procesos que promuevan y protejan el derecho fundamental a la participación ha desencadenado numerosos conflictos en los territorios</w:t>
      </w:r>
      <w:r w:rsidR="00470F04">
        <w:rPr>
          <w:rStyle w:val="FootnoteReference"/>
        </w:rPr>
        <w:footnoteReference w:id="46"/>
      </w:r>
      <w:r>
        <w:rPr>
          <w:rStyle w:val="normaltextrun"/>
          <w:rFonts w:cs="Arial"/>
        </w:rPr>
        <w:t xml:space="preserve">. </w:t>
      </w:r>
    </w:p>
    <w:p w:rsidR="00470F04" w:rsidP="00470F04" w:rsidRDefault="00470F04" w14:paraId="14CBCD54" w14:textId="77777777">
      <w:pPr>
        <w:spacing w:after="0"/>
        <w:jc w:val="both"/>
      </w:pPr>
    </w:p>
    <w:p w:rsidR="00470F04" w:rsidP="00470F04" w:rsidRDefault="310FB12C" w14:paraId="17C1DD2E" w14:noSpellErr="1" w14:textId="619CF2D7">
      <w:pPr>
        <w:jc w:val="both"/>
      </w:pPr>
      <w:r w:rsidR="310FB12C">
        <w:rPr/>
        <w:t xml:space="preserve">Según el informe de conflictos socioambientales en Colombia del Indepaz </w:t>
      </w:r>
      <w:sdt>
        <w:sdtPr>
          <w:id w:val="754328763"/>
          <w:citation/>
          <w:placeholder>
            <w:docPart w:val="DefaultPlaceholder_1081868574"/>
          </w:placeholder>
        </w:sdtPr>
        <w:sdtEndPr/>
        <w:sdtContent>
          <w:r w:rsidR="00ED4EC9">
            <w:fldChar w:fldCharType="begin"/>
          </w:r>
          <w:r w:rsidR="00ED4EC9">
            <w:instrText xml:space="preserve"> CITATION Ind22 \l 9226 </w:instrText>
          </w:r>
          <w:r w:rsidR="00ED4EC9">
            <w:fldChar w:fldCharType="separate"/>
          </w:r>
          <w:r w:rsidR="00104221">
            <w:rPr>
              <w:noProof/>
            </w:rPr>
            <w:t>(Indepaz, 2022)</w:t>
          </w:r>
          <w:r w:rsidR="00ED4EC9">
            <w:fldChar w:fldCharType="end"/>
          </w:r>
        </w:sdtContent>
      </w:sdt>
      <w:r w:rsidR="00ED4EC9">
        <w:rPr/>
        <w:t xml:space="preserve"> </w:t>
      </w:r>
      <w:r w:rsidR="310FB12C">
        <w:rPr/>
        <w:t xml:space="preserve">en Colombia los conflictos socioambientales han escalado visiblemente en las últimas décadas, asociándose principalmente a actividades mineras, deforestación, construcción de hidroeléctricas, entre otros. </w:t>
      </w:r>
      <w:r w:rsidR="310FB12C">
        <w:rPr>
          <w:lang w:val="es-ES"/>
        </w:rPr>
        <w:t>Para el año 2023, otro informe de conflictos socioambientales del sector minero-energético registrado por la Defensoría del Pueblo</w:t>
      </w:r>
      <w:r w:rsidR="6811E207">
        <w:rPr>
          <w:lang w:val="es-ES"/>
        </w:rPr>
        <w:t xml:space="preserve"> </w:t>
      </w:r>
      <w:r w:rsidR="310FB12C">
        <w:rPr>
          <w:lang w:val="es-ES"/>
        </w:rPr>
        <w:t xml:space="preserve">mostró que </w:t>
      </w:r>
      <w:r w:rsidDel="000A247E" w:rsidR="310FB12C">
        <w:rPr>
          <w:lang w:val="es-ES"/>
        </w:rPr>
        <w:t>e</w:t>
      </w:r>
      <w:r w:rsidR="310FB12C">
        <w:rPr>
          <w:lang w:val="es-ES"/>
        </w:rPr>
        <w:t>stos aumentaron un 46% en comparación del año 2022</w:t>
      </w:r>
      <w:r w:rsidR="76A6B28D">
        <w:rPr>
          <w:lang w:val="es-ES"/>
        </w:rPr>
        <w:t xml:space="preserve">, </w:t>
      </w:r>
      <w:r w:rsidRPr="5775DF11" w:rsidR="6811E207">
        <w:rPr>
          <w:lang w:val="es-ES"/>
        </w:rPr>
        <w:t xml:space="preserve">relacionados </w:t>
      </w:r>
      <w:r w:rsidRPr="5775DF11" w:rsidR="0E5C73BC">
        <w:rPr>
          <w:lang w:val="es-ES"/>
        </w:rPr>
        <w:t xml:space="preserve">principalmente </w:t>
      </w:r>
      <w:r w:rsidR="6811E207">
        <w:rPr>
          <w:lang w:val="es-ES"/>
        </w:rPr>
        <w:t>con</w:t>
      </w:r>
      <w:r w:rsidR="310FB12C">
        <w:rPr>
          <w:lang w:val="es-ES"/>
        </w:rPr>
        <w:t>: contratación de mano de obra local, bienes y servicios (33%), conflictos ambientales (32%), regulación, formalización y control de actividades mineras (11%), presencia e inversión estatal (8%), múltiples demandas que involucran a las empresas y al Estado (8%), respeto de los derechos a la identidad, autonomía y la participación de las comunidades en entornos de proyectos minero-energéticos (7%), otros (1%)</w:t>
      </w:r>
      <w:r w:rsidR="008924B2">
        <w:rPr>
          <w:rStyle w:val="FootnoteReference"/>
          <w:lang w:val="es-ES"/>
        </w:rPr>
        <w:footnoteReference w:id="47"/>
      </w:r>
      <w:r w:rsidRPr="31226965" w:rsidR="4007B9B6">
        <w:rPr>
          <w:lang w:val="es-ES"/>
        </w:rPr>
        <w:t>.</w:t>
      </w:r>
      <w:r w:rsidRPr="5775DF11" w:rsidR="4007B9B6">
        <w:rPr>
          <w:lang w:val="es-ES"/>
        </w:rPr>
        <w:t xml:space="preserve"> Por su parte, </w:t>
      </w:r>
      <w:r w:rsidR="310FB12C">
        <w:rPr>
          <w:lang w:val="es-ES"/>
        </w:rPr>
        <w:t xml:space="preserve">las </w:t>
      </w:r>
      <w:r w:rsidR="310FB12C">
        <w:rPr>
          <w:kern w:val="0"/>
          <w:lang w:val="es-ES"/>
        </w:rPr>
        <w:t xml:space="preserve">cifras del Observatorio de </w:t>
      </w:r>
      <w:r w:rsidR="310FB12C">
        <w:rPr>
          <w:kern w:val="0"/>
          <w:lang w:val="es-ES"/>
        </w:rPr>
        <w:t>Conflictos Mineros de América Latina - OCMAL, registraron entre 1991-2016 un total de</w:t>
      </w:r>
      <w:r w:rsidR="310FB12C">
        <w:rPr>
          <w:lang w:val="es-ES"/>
        </w:rPr>
        <w:t xml:space="preserve"> 277 situaciones conflictivas identificadas en todos los países de las cuales 19 corresponden a situaciones en Colombia</w:t>
      </w:r>
      <w:r w:rsidRPr="3D2173F3">
        <w:rPr>
          <w:vertAlign w:val="superscript"/>
          <w:lang w:val="es-ES"/>
        </w:rPr>
        <w:footnoteReference w:id="18613"/>
      </w:r>
      <w:r w:rsidR="310FB12C">
        <w:rPr>
          <w:lang w:val="es-ES"/>
        </w:rPr>
        <w:t xml:space="preserve">.</w:t>
      </w:r>
    </w:p>
    <w:p w:rsidR="00470F04" w:rsidP="00470F04" w:rsidRDefault="00470F04" w14:paraId="07B3D6FD" w14:textId="77777777">
      <w:pPr>
        <w:spacing w:after="0"/>
        <w:jc w:val="both"/>
      </w:pPr>
      <w:r>
        <w:rPr>
          <w:rStyle w:val="normaltextrun"/>
          <w:rFonts w:cs="Arial"/>
        </w:rPr>
        <w:t xml:space="preserve">Así las cosas, las principales problemáticas que enfrenta la participación comunitaria y el relacionamiento con los territorios donde se ejerce la minería, se pueden ver reflejados desde tres componentes macro con problemáticas específicas que afectan la relación de los territorios en todo el ciclo de vida de los proyectos mineros. Estos componentes son:  </w:t>
      </w:r>
    </w:p>
    <w:p w:rsidR="00470F04" w:rsidP="00470F04" w:rsidRDefault="00470F04" w14:paraId="194B54CC" w14:textId="77777777">
      <w:pPr>
        <w:spacing w:after="0"/>
        <w:jc w:val="both"/>
      </w:pPr>
    </w:p>
    <w:p w:rsidR="00470F04" w:rsidP="001C54B2" w:rsidRDefault="00470F04" w14:paraId="7A00D902" w14:textId="77777777">
      <w:pPr>
        <w:pStyle w:val="ListParagraph"/>
        <w:numPr>
          <w:ilvl w:val="3"/>
          <w:numId w:val="22"/>
        </w:numPr>
        <w:suppressAutoHyphens/>
        <w:autoSpaceDN w:val="0"/>
        <w:spacing w:after="0" w:line="251" w:lineRule="auto"/>
        <w:ind w:left="142" w:firstLine="0"/>
        <w:contextualSpacing w:val="0"/>
        <w:jc w:val="both"/>
        <w:textAlignment w:val="baseline"/>
      </w:pPr>
      <w:r>
        <w:rPr>
          <w:rStyle w:val="normaltextrun"/>
          <w:rFonts w:cs="Arial"/>
          <w:b/>
        </w:rPr>
        <w:t>Déficit estructural de mecanismos de participación efectiva y ciudadana:</w:t>
      </w:r>
    </w:p>
    <w:p w:rsidR="00470F04" w:rsidP="001C54B2" w:rsidRDefault="00470F04" w14:paraId="0D921A8D" w14:textId="77777777">
      <w:pPr>
        <w:pStyle w:val="ListParagraph"/>
        <w:numPr>
          <w:ilvl w:val="0"/>
          <w:numId w:val="23"/>
        </w:numPr>
        <w:suppressAutoHyphens/>
        <w:autoSpaceDN w:val="0"/>
        <w:spacing w:after="0" w:line="251" w:lineRule="auto"/>
        <w:contextualSpacing w:val="0"/>
        <w:jc w:val="both"/>
        <w:textAlignment w:val="baseline"/>
      </w:pPr>
      <w:r>
        <w:t xml:space="preserve">No hay una adecuación cultural y social de las estrategias de relacionamiento y mecanismos de participación por parte de las instituciones. </w:t>
      </w:r>
    </w:p>
    <w:p w:rsidR="00470F04" w:rsidP="001C54B2" w:rsidRDefault="00470F04" w14:paraId="391155FC" w14:textId="77777777">
      <w:pPr>
        <w:pStyle w:val="ListParagraph"/>
        <w:numPr>
          <w:ilvl w:val="0"/>
          <w:numId w:val="23"/>
        </w:numPr>
        <w:suppressAutoHyphens/>
        <w:autoSpaceDN w:val="0"/>
        <w:spacing w:after="0" w:line="251" w:lineRule="auto"/>
        <w:contextualSpacing w:val="0"/>
        <w:jc w:val="both"/>
        <w:textAlignment w:val="baseline"/>
      </w:pPr>
      <w:r>
        <w:t xml:space="preserve">Existe una asimetría de conocimientos en los espacios de diálogo e interlocución ciudadanía – Estado. </w:t>
      </w:r>
    </w:p>
    <w:p w:rsidR="00470F04" w:rsidP="001C54B2" w:rsidRDefault="00B25EDF" w14:paraId="691C7851" w14:textId="1DD652C3">
      <w:pPr>
        <w:pStyle w:val="ListParagraph"/>
        <w:numPr>
          <w:ilvl w:val="0"/>
          <w:numId w:val="23"/>
        </w:numPr>
        <w:suppressAutoHyphens/>
        <w:autoSpaceDN w:val="0"/>
        <w:spacing w:after="0" w:line="251" w:lineRule="auto"/>
        <w:jc w:val="both"/>
        <w:textAlignment w:val="baseline"/>
      </w:pPr>
      <w:r>
        <w:t xml:space="preserve">Hay </w:t>
      </w:r>
      <w:r w:rsidR="00470F04">
        <w:t>un déficit de transparencia en la divulgación de la información, por falta de una estrategia de relacionamiento entre la institucionalidad minera-ambiental y la ciudadanía.</w:t>
      </w:r>
    </w:p>
    <w:p w:rsidR="00470F04" w:rsidP="001C54B2" w:rsidRDefault="008567E8" w14:paraId="0440981E" w14:textId="5AC69FCC">
      <w:pPr>
        <w:pStyle w:val="ListParagraph"/>
        <w:numPr>
          <w:ilvl w:val="0"/>
          <w:numId w:val="23"/>
        </w:numPr>
        <w:suppressAutoHyphens/>
        <w:autoSpaceDN w:val="0"/>
        <w:spacing w:after="0" w:line="251" w:lineRule="auto"/>
        <w:jc w:val="both"/>
        <w:textAlignment w:val="baseline"/>
      </w:pPr>
      <w:r w:rsidRPr="31226965">
        <w:rPr>
          <w:lang w:val="es-ES"/>
        </w:rPr>
        <w:t xml:space="preserve">Hay un alto </w:t>
      </w:r>
      <w:r w:rsidRPr="31226965" w:rsidR="00D14A33">
        <w:rPr>
          <w:lang w:val="es-ES"/>
        </w:rPr>
        <w:t>número de asesinato de l</w:t>
      </w:r>
      <w:r w:rsidRPr="31226965" w:rsidR="00470F04">
        <w:rPr>
          <w:lang w:val="es-ES"/>
        </w:rPr>
        <w:t>íderes y lideresas defensoras del ambiente, derechos humanos, campesinos y afrodescendientes</w:t>
      </w:r>
      <w:r w:rsidRPr="31226965" w:rsidR="00D14A33">
        <w:rPr>
          <w:lang w:val="es-ES"/>
        </w:rPr>
        <w:t>. Se</w:t>
      </w:r>
      <w:r w:rsidRPr="31226965" w:rsidR="00470F04">
        <w:rPr>
          <w:lang w:val="es-ES"/>
        </w:rPr>
        <w:t xml:space="preserve"> registraron un total de 712 asesinatos para el año 2022, según cifras del Indepaz</w:t>
      </w:r>
      <w:sdt>
        <w:sdtPr>
          <w:rPr>
            <w:lang w:val="es-ES"/>
          </w:rPr>
          <w:id w:val="1126660550"/>
          <w:citation/>
        </w:sdtPr>
        <w:sdtEndPr/>
        <w:sdtContent>
          <w:r w:rsidR="00ED4EC9">
            <w:rPr>
              <w:lang w:val="es-ES"/>
            </w:rPr>
            <w:fldChar w:fldCharType="begin"/>
          </w:r>
          <w:r w:rsidR="00ED4EC9">
            <w:instrText xml:space="preserve"> CITATION Ind22 \l 9226 </w:instrText>
          </w:r>
          <w:r w:rsidR="00ED4EC9">
            <w:rPr>
              <w:lang w:val="es-ES"/>
            </w:rPr>
            <w:fldChar w:fldCharType="separate"/>
          </w:r>
          <w:r w:rsidR="00104221">
            <w:rPr>
              <w:noProof/>
            </w:rPr>
            <w:t xml:space="preserve"> (Indepaz, 2022)</w:t>
          </w:r>
          <w:r w:rsidR="00ED4EC9">
            <w:rPr>
              <w:lang w:val="es-ES"/>
            </w:rPr>
            <w:fldChar w:fldCharType="end"/>
          </w:r>
        </w:sdtContent>
      </w:sdt>
      <w:r w:rsidRPr="31226965" w:rsidR="00470F04">
        <w:rPr>
          <w:lang w:val="es-ES"/>
        </w:rPr>
        <w:t xml:space="preserve">. </w:t>
      </w:r>
    </w:p>
    <w:p w:rsidR="00470F04" w:rsidP="001C54B2" w:rsidRDefault="00470F04" w14:paraId="3D185E76" w14:textId="77777777">
      <w:pPr>
        <w:pStyle w:val="ListParagraph"/>
        <w:numPr>
          <w:ilvl w:val="0"/>
          <w:numId w:val="23"/>
        </w:numPr>
        <w:suppressAutoHyphens/>
        <w:autoSpaceDN w:val="0"/>
        <w:spacing w:after="0" w:line="251" w:lineRule="auto"/>
        <w:contextualSpacing w:val="0"/>
        <w:jc w:val="both"/>
        <w:textAlignment w:val="baseline"/>
      </w:pPr>
      <w:r>
        <w:t xml:space="preserve">La ciudadanía ha manifestado que la participación se ha convertido en una formalidad, pero no tienen incidencia sobre la forma en la que actúa el sector. </w:t>
      </w:r>
    </w:p>
    <w:p w:rsidR="00470F04" w:rsidP="001C54B2" w:rsidRDefault="1B292B01" w14:paraId="6AECAB1B" w14:textId="1C687160">
      <w:pPr>
        <w:pStyle w:val="ListParagraph"/>
        <w:numPr>
          <w:ilvl w:val="0"/>
          <w:numId w:val="23"/>
        </w:numPr>
        <w:suppressAutoHyphens/>
        <w:autoSpaceDN w:val="0"/>
        <w:spacing w:after="0" w:line="251" w:lineRule="auto"/>
        <w:jc w:val="both"/>
        <w:textAlignment w:val="baseline"/>
      </w:pPr>
      <w:r>
        <w:t>Los espacios de participación no dirimen las tensiones entre los parámetros que fija la Ley para que los operadores mineros desarrollen sus operaciones y las creencias de ciertos actores frente a lo que debería ser aceptable</w:t>
      </w:r>
      <w:r w:rsidR="640DD227">
        <w:t>.</w:t>
      </w:r>
    </w:p>
    <w:p w:rsidR="00470F04" w:rsidP="00470F04" w:rsidRDefault="00470F04" w14:paraId="146D2DA3" w14:textId="77777777">
      <w:pPr>
        <w:pStyle w:val="ListParagraph"/>
        <w:spacing w:after="0"/>
        <w:ind w:left="502"/>
        <w:jc w:val="both"/>
      </w:pPr>
    </w:p>
    <w:p w:rsidRPr="0094584E" w:rsidR="00470F04" w:rsidP="001C54B2" w:rsidRDefault="00470F04" w14:paraId="3B7C7F63" w14:textId="77777777">
      <w:pPr>
        <w:pStyle w:val="ListParagraph"/>
        <w:numPr>
          <w:ilvl w:val="3"/>
          <w:numId w:val="22"/>
        </w:numPr>
        <w:suppressAutoHyphens/>
        <w:autoSpaceDN w:val="0"/>
        <w:spacing w:after="0" w:line="251" w:lineRule="auto"/>
        <w:ind w:left="142" w:firstLine="0"/>
        <w:contextualSpacing w:val="0"/>
        <w:jc w:val="both"/>
        <w:textAlignment w:val="baseline"/>
        <w:rPr>
          <w:rStyle w:val="normaltextrun"/>
        </w:rPr>
      </w:pPr>
      <w:r>
        <w:rPr>
          <w:rStyle w:val="normaltextrun"/>
          <w:rFonts w:cs="Arial"/>
          <w:b/>
        </w:rPr>
        <w:t>Desarticulación institucional y falta de reglamentación en el ejercicio de la participación:</w:t>
      </w:r>
    </w:p>
    <w:p w:rsidR="0094584E" w:rsidP="0094584E" w:rsidRDefault="0094584E" w14:paraId="3C5F4301" w14:textId="24737529">
      <w:pPr>
        <w:pStyle w:val="ListParagraph"/>
        <w:suppressAutoHyphens/>
        <w:autoSpaceDN w:val="0"/>
        <w:spacing w:after="0" w:line="251" w:lineRule="auto"/>
        <w:ind w:left="708"/>
        <w:contextualSpacing w:val="0"/>
        <w:jc w:val="both"/>
        <w:textAlignment w:val="baseline"/>
      </w:pPr>
      <w:r w:rsidRPr="0094584E">
        <w:t>Si bien existe la Resolución 1099 del 22 de diciembre de 2023 expedida por la Agencia Nacional de Minería -ANM- "Por medio de la cual se adopta el procedimiento de Audiencia Pública Minera para el otorgamiento de títulos mineros" cuyo enfoque principal es la participación ciudadana, se evidencian las siguientes falencias:</w:t>
      </w:r>
    </w:p>
    <w:p w:rsidR="00470F04" w:rsidP="001C54B2" w:rsidRDefault="0094584E" w14:paraId="322FC325" w14:textId="2C577C81">
      <w:pPr>
        <w:pStyle w:val="ListParagraph"/>
        <w:numPr>
          <w:ilvl w:val="0"/>
          <w:numId w:val="23"/>
        </w:numPr>
        <w:suppressAutoHyphens/>
        <w:autoSpaceDN w:val="0"/>
        <w:spacing w:after="0" w:line="251" w:lineRule="auto"/>
        <w:contextualSpacing w:val="0"/>
        <w:jc w:val="both"/>
        <w:textAlignment w:val="baseline"/>
      </w:pPr>
      <w:r>
        <w:t>D</w:t>
      </w:r>
      <w:r w:rsidR="00470F04">
        <w:t xml:space="preserve">esarticulación institucional y, por ende, una mirada fragmentada del territorio que influye directamente en la generación de conflictos caracterizados por la ausencia de mecanismos para la participación efectiva. </w:t>
      </w:r>
    </w:p>
    <w:p w:rsidR="00470F04" w:rsidP="001C54B2" w:rsidRDefault="00470F04" w14:paraId="6D5E3589" w14:textId="2827BC62">
      <w:pPr>
        <w:pStyle w:val="ListParagraph"/>
        <w:numPr>
          <w:ilvl w:val="0"/>
          <w:numId w:val="23"/>
        </w:numPr>
        <w:suppressAutoHyphens/>
        <w:autoSpaceDN w:val="0"/>
        <w:spacing w:after="0" w:line="251" w:lineRule="auto"/>
        <w:contextualSpacing w:val="0"/>
        <w:jc w:val="both"/>
        <w:textAlignment w:val="baseline"/>
      </w:pPr>
      <w:r>
        <w:rPr>
          <w:lang w:val="es-ES"/>
        </w:rPr>
        <w:t xml:space="preserve">Los conflictos y tensiones en el territorio se </w:t>
      </w:r>
      <w:r w:rsidR="0094584E">
        <w:rPr>
          <w:lang w:val="es-ES"/>
        </w:rPr>
        <w:t xml:space="preserve">intensifican </w:t>
      </w:r>
      <w:r>
        <w:rPr>
          <w:lang w:val="es-ES"/>
        </w:rPr>
        <w:t xml:space="preserve">a casusa de factores adicionales como: la corrupción, la evasión fiscal y poco desarrollo de actividades económicas diferentes a la extracción de recursos. </w:t>
      </w:r>
    </w:p>
    <w:p w:rsidR="00470F04" w:rsidP="001C54B2" w:rsidRDefault="1A6B8551" w14:paraId="5238B377" w14:textId="5E5E7E9C">
      <w:pPr>
        <w:pStyle w:val="ListParagraph"/>
        <w:numPr>
          <w:ilvl w:val="0"/>
          <w:numId w:val="23"/>
        </w:numPr>
        <w:suppressAutoHyphens/>
        <w:autoSpaceDN w:val="0"/>
        <w:spacing w:after="0" w:line="251" w:lineRule="auto"/>
        <w:jc w:val="both"/>
        <w:textAlignment w:val="baseline"/>
      </w:pPr>
      <w:r>
        <w:t>Las audiencias públicas ambientales como mecanismo de participación se realizan en la fase de explotación</w:t>
      </w:r>
      <w:r w:rsidR="2D138F5C">
        <w:t>,</w:t>
      </w:r>
      <w:r>
        <w:t xml:space="preserve"> m</w:t>
      </w:r>
      <w:r w:rsidR="2D138F5C">
        <w:t>a</w:t>
      </w:r>
      <w:r>
        <w:t>s no en la fase de exploración dado que</w:t>
      </w:r>
      <w:r w:rsidR="62DC67EE">
        <w:t>,</w:t>
      </w:r>
      <w:r>
        <w:t xml:space="preserve"> para estas etapas previas a la explotación</w:t>
      </w:r>
      <w:r w:rsidR="7ECCE0E7">
        <w:t>,</w:t>
      </w:r>
      <w:r>
        <w:t xml:space="preserve"> actualmente no se exige licencia ambiental.</w:t>
      </w:r>
    </w:p>
    <w:p w:rsidR="00470F04" w:rsidP="001C54B2" w:rsidRDefault="00470F04" w14:paraId="6449CF3E" w14:textId="77777777">
      <w:pPr>
        <w:pStyle w:val="ListParagraph"/>
        <w:numPr>
          <w:ilvl w:val="0"/>
          <w:numId w:val="23"/>
        </w:numPr>
        <w:suppressAutoHyphens/>
        <w:autoSpaceDN w:val="0"/>
        <w:spacing w:after="0" w:line="251" w:lineRule="auto"/>
        <w:contextualSpacing w:val="0"/>
        <w:jc w:val="both"/>
        <w:textAlignment w:val="baseline"/>
      </w:pPr>
      <w:r>
        <w:t>La mayoría de los mecanismos de participación operan casi de manera exclusiva con el propósito de resarcir daños o restituir derechos que han sido vulnerados tras el desarrollo de acciones o cuando estas ya se han adelantado.</w:t>
      </w:r>
    </w:p>
    <w:p w:rsidR="00470F04" w:rsidP="00470F04" w:rsidRDefault="00470F04" w14:paraId="7EA076C1" w14:textId="77777777">
      <w:pPr>
        <w:pStyle w:val="ListParagraph"/>
        <w:spacing w:after="0"/>
        <w:ind w:left="502"/>
        <w:jc w:val="both"/>
      </w:pPr>
    </w:p>
    <w:p w:rsidR="00470F04" w:rsidP="001C54B2" w:rsidRDefault="00470F04" w14:paraId="6CF8C644" w14:textId="77777777">
      <w:pPr>
        <w:pStyle w:val="ListParagraph"/>
        <w:numPr>
          <w:ilvl w:val="3"/>
          <w:numId w:val="22"/>
        </w:numPr>
        <w:suppressAutoHyphens/>
        <w:autoSpaceDN w:val="0"/>
        <w:spacing w:after="0" w:line="251" w:lineRule="auto"/>
        <w:ind w:left="142" w:firstLine="0"/>
        <w:contextualSpacing w:val="0"/>
        <w:jc w:val="both"/>
        <w:textAlignment w:val="baseline"/>
      </w:pPr>
      <w:r>
        <w:rPr>
          <w:rStyle w:val="normaltextrun"/>
          <w:rFonts w:cs="Arial"/>
          <w:b/>
        </w:rPr>
        <w:t xml:space="preserve">Consulta previa taxativa y reconocimiento de los derechos territoriales: </w:t>
      </w:r>
    </w:p>
    <w:p w:rsidR="00470F04" w:rsidP="001C54B2" w:rsidRDefault="00470F04" w14:paraId="1EDB1E29" w14:textId="1585F9E2">
      <w:pPr>
        <w:pStyle w:val="ListParagraph"/>
        <w:numPr>
          <w:ilvl w:val="0"/>
          <w:numId w:val="23"/>
        </w:numPr>
        <w:suppressAutoHyphens/>
        <w:autoSpaceDN w:val="0"/>
        <w:spacing w:after="0" w:line="251" w:lineRule="auto"/>
        <w:jc w:val="both"/>
        <w:textAlignment w:val="baseline"/>
      </w:pPr>
      <w:r>
        <w:t xml:space="preserve">Las estrategias y programas de participación orientados a dar trámite a los procesos de </w:t>
      </w:r>
      <w:r w:rsidR="7184DFB1">
        <w:t>licenciamiento</w:t>
      </w:r>
      <w:r>
        <w:t xml:space="preserve"> han ahondado las tensiones entre los actores del sector, pues las comunidades son cada vez más conscientes de su derecho y de las limitantes estructurales que existen para poder ejercerlo.</w:t>
      </w:r>
    </w:p>
    <w:p w:rsidR="00470F04" w:rsidP="001C54B2" w:rsidRDefault="71A55FB9" w14:paraId="5720BD52" w14:textId="77777777">
      <w:pPr>
        <w:pStyle w:val="ListParagraph"/>
        <w:numPr>
          <w:ilvl w:val="0"/>
          <w:numId w:val="23"/>
        </w:numPr>
        <w:suppressAutoHyphens/>
        <w:autoSpaceDN w:val="0"/>
        <w:spacing w:after="0" w:line="251" w:lineRule="auto"/>
        <w:contextualSpacing w:val="0"/>
        <w:jc w:val="both"/>
        <w:textAlignment w:val="baseline"/>
        <w:rPr/>
      </w:pPr>
      <w:r w:rsidR="71A55FB9">
        <w:rPr/>
        <w:t>Debido a efectos negativos y de vulneración de derechos, las comunidades han limitado la confiabilidad y aprobación social de proyectos a desarrollarse a futuro.</w:t>
      </w:r>
      <w:r w:rsidR="00470F04">
        <w:rPr>
          <w:rStyle w:val="FootnoteReference"/>
        </w:rPr>
        <w:footnoteReference w:id="48"/>
      </w:r>
    </w:p>
    <w:p w:rsidR="00470F04" w:rsidP="001C54B2" w:rsidRDefault="00470F04" w14:paraId="471D5DFF" w14:textId="4E5C56E4">
      <w:pPr>
        <w:pStyle w:val="ListParagraph"/>
        <w:numPr>
          <w:ilvl w:val="0"/>
          <w:numId w:val="23"/>
        </w:numPr>
        <w:suppressAutoHyphens/>
        <w:autoSpaceDN w:val="0"/>
        <w:spacing w:after="0" w:line="251" w:lineRule="auto"/>
        <w:jc w:val="both"/>
        <w:textAlignment w:val="baseline"/>
      </w:pPr>
      <w:r>
        <w:t>Las audiencias públicas</w:t>
      </w:r>
      <w:r w:rsidR="00D749D4">
        <w:t xml:space="preserve"> </w:t>
      </w:r>
      <w:r>
        <w:t>sólo son exigibles cuando un proyecto determinado solicita otorgar o necesita modificar o dar por terminada una licencia ambiental vigente</w:t>
      </w:r>
      <w:r w:rsidR="0094584E">
        <w:t>.</w:t>
      </w:r>
    </w:p>
    <w:p w:rsidRPr="0094584E" w:rsidR="0094584E" w:rsidP="001C54B2" w:rsidRDefault="0094584E" w14:paraId="56E9B099" w14:textId="1C18A440">
      <w:pPr>
        <w:pStyle w:val="ListParagraph"/>
        <w:numPr>
          <w:ilvl w:val="0"/>
          <w:numId w:val="23"/>
        </w:numPr>
        <w:suppressAutoHyphens/>
        <w:autoSpaceDN w:val="0"/>
        <w:spacing w:after="0" w:line="251" w:lineRule="auto"/>
        <w:jc w:val="both"/>
        <w:textAlignment w:val="baseline"/>
      </w:pPr>
      <w:r w:rsidRPr="0094584E">
        <w:t>Los alcances limitados de las consultas previas, las audiencias públicas mineras y ambientales, y los programas sectoriales generados desde 2016, como la Estrategia de Desarrollo y Relacionamiento Territorial del sector minero energético</w:t>
      </w:r>
      <w:sdt>
        <w:sdtPr>
          <w:id w:val="1711305544"/>
          <w:citation/>
        </w:sdtPr>
        <w:sdtEndPr/>
        <w:sdtContent>
          <w:r w:rsidR="000D1EC1">
            <w:fldChar w:fldCharType="begin"/>
          </w:r>
          <w:r w:rsidR="00535777">
            <w:instrText xml:space="preserve">CITATION MME22 \l 9226 </w:instrText>
          </w:r>
          <w:r w:rsidR="000D1EC1">
            <w:fldChar w:fldCharType="separate"/>
          </w:r>
          <w:r w:rsidR="00104221">
            <w:rPr>
              <w:noProof/>
            </w:rPr>
            <w:t xml:space="preserve"> (MinEnergía, 2022b)</w:t>
          </w:r>
          <w:r w:rsidR="000D1EC1">
            <w:fldChar w:fldCharType="end"/>
          </w:r>
        </w:sdtContent>
      </w:sdt>
      <w:r w:rsidRPr="0094584E">
        <w:t xml:space="preserve">, y el Programa de Relacionamiento con el Territorio de la ANM, dirigidos a fortalecer la participación en el sector minero, son insuficientes. </w:t>
      </w:r>
    </w:p>
    <w:p w:rsidR="0094584E" w:rsidP="001C54B2" w:rsidRDefault="7CEA5E5F" w14:paraId="6121F61E" w14:textId="5EE0EC87">
      <w:pPr>
        <w:pStyle w:val="ListParagraph"/>
        <w:numPr>
          <w:ilvl w:val="0"/>
          <w:numId w:val="23"/>
        </w:numPr>
        <w:suppressAutoHyphens/>
        <w:autoSpaceDN w:val="0"/>
        <w:spacing w:after="0" w:line="251" w:lineRule="auto"/>
        <w:jc w:val="both"/>
        <w:textAlignment w:val="baseline"/>
      </w:pPr>
      <w:r>
        <w:t xml:space="preserve">Los procesos de consulta previa no son un mecanismo suficiente para prevenir o gestionar las situaciones conflictivas que se presentan en el territorio dado que, a pesar de estar orientado a dirimir tensiones entre el desarrollo de proyectos y comunidades étnicas y garantizar el enfoque étnico en las políticas públicas, la realidad es que el proceso se ha convertido en un trámite que busca el aval para un caso en específico, en el momento de prefactibilidad de un proyecto determinado </w:t>
      </w:r>
      <w:sdt>
        <w:sdtPr>
          <w:id w:val="-1669238781"/>
          <w:citation/>
        </w:sdtPr>
        <w:sdtEndPr/>
        <w:sdtContent>
          <w:r w:rsidR="00F1294E">
            <w:fldChar w:fldCharType="begin"/>
          </w:r>
          <w:r w:rsidR="00F1294E">
            <w:instrText xml:space="preserve"> CITATION UPM22 \l 9226 </w:instrText>
          </w:r>
          <w:r w:rsidR="00F1294E">
            <w:fldChar w:fldCharType="separate"/>
          </w:r>
          <w:r w:rsidR="00104221">
            <w:rPr>
              <w:noProof/>
            </w:rPr>
            <w:t>(UPME, 2022)</w:t>
          </w:r>
          <w:r w:rsidR="00F1294E">
            <w:fldChar w:fldCharType="end"/>
          </w:r>
        </w:sdtContent>
      </w:sdt>
      <w:r>
        <w:t xml:space="preserve"> y no gestiona adecuadamente las demandas de las comunidades, ni aporta significativamente en la disminución de la conflictividad</w:t>
      </w:r>
      <w:r w:rsidR="000D1EC1">
        <w:t xml:space="preserve"> </w:t>
      </w:r>
      <w:sdt>
        <w:sdtPr>
          <w:id w:val="734970192"/>
          <w:citation/>
        </w:sdtPr>
        <w:sdtEndPr/>
        <w:sdtContent>
          <w:r w:rsidR="000D1EC1">
            <w:fldChar w:fldCharType="begin"/>
          </w:r>
          <w:r w:rsidR="00535777">
            <w:instrText xml:space="preserve">CITATION MME22 \l 9226 </w:instrText>
          </w:r>
          <w:r w:rsidR="000D1EC1">
            <w:fldChar w:fldCharType="separate"/>
          </w:r>
          <w:r w:rsidR="00104221">
            <w:rPr>
              <w:noProof/>
            </w:rPr>
            <w:t>(MinEnergía, 2022b)</w:t>
          </w:r>
          <w:r w:rsidR="000D1EC1">
            <w:fldChar w:fldCharType="end"/>
          </w:r>
        </w:sdtContent>
      </w:sdt>
      <w:r w:rsidR="000D1EC1">
        <w:t>.</w:t>
      </w:r>
    </w:p>
    <w:p w:rsidR="00470F04" w:rsidP="00470F04" w:rsidRDefault="00470F04" w14:paraId="4CABC89E" w14:textId="77777777">
      <w:pPr>
        <w:jc w:val="both"/>
      </w:pPr>
    </w:p>
    <w:p w:rsidR="00470F04" w:rsidP="00470F04" w:rsidRDefault="22A46094" w14:paraId="753C2C16" w14:textId="1DF1DB5C">
      <w:pPr>
        <w:jc w:val="both"/>
      </w:pPr>
      <w:r w:rsidR="22A46094">
        <w:rPr/>
        <w:t>En este sentido, el nivel alcanzado por estas tensiones y conflictividades reflejan la necesidad de contar con</w:t>
      </w:r>
      <w:r w:rsidR="7D00CD59">
        <w:rPr/>
        <w:t xml:space="preserve"> mejores</w:t>
      </w:r>
      <w:r w:rsidR="22A46094">
        <w:rPr/>
        <w:t xml:space="preserve"> </w:t>
      </w:r>
      <w:r w:rsidR="246AA842">
        <w:rPr/>
        <w:t>prácticas</w:t>
      </w:r>
      <w:r w:rsidR="22A46094">
        <w:rPr/>
        <w:t xml:space="preserve"> </w:t>
      </w:r>
      <w:r w:rsidR="25EE2841">
        <w:rPr/>
        <w:t xml:space="preserve">por parte del sector </w:t>
      </w:r>
      <w:r w:rsidR="22A46094">
        <w:rPr/>
        <w:t>miner</w:t>
      </w:r>
      <w:r w:rsidR="646A9997">
        <w:rPr/>
        <w:t>o</w:t>
      </w:r>
      <w:r w:rsidR="22A46094">
        <w:rPr/>
        <w:t xml:space="preserve"> en los territorios, y que a su vez estén armonizad</w:t>
      </w:r>
      <w:r w:rsidR="6EF6EE6D">
        <w:rPr/>
        <w:t>a</w:t>
      </w:r>
      <w:r w:rsidR="22A46094">
        <w:rPr/>
        <w:t>s con las diferentes etapas de ejecución de los proyectos</w:t>
      </w:r>
      <w:r w:rsidR="4DFDB606">
        <w:rPr/>
        <w:t>, así como una política territorial asertiva e inclusiva que atienda las condiciones y necesidades particulares de los territorios</w:t>
      </w:r>
      <w:r w:rsidR="22A46094">
        <w:rPr/>
        <w:t xml:space="preserve">. Esta situación ha sido advertida por la Corte Constitucional quien ha insistido en la existencia de un </w:t>
      </w:r>
      <w:r w:rsidRPr="31226965" w:rsidR="22A46094">
        <w:rPr>
          <w:rFonts w:eastAsia="Arial" w:cs="Arial"/>
          <w:color w:val="000000" w:themeColor="text1"/>
        </w:rPr>
        <w:t>déficit de participación pese a la existencia de mecanismos, dando lugar al surgimiento de conflictos ambientales en los territorios en los que se han desarrollado o pretendido desarrollar prácticas extractivistas</w:t>
      </w:r>
      <w:r w:rsidR="0087300A">
        <w:rPr>
          <w:rStyle w:val="FootnoteReference"/>
          <w:rFonts w:eastAsia="Arial" w:cs="Arial"/>
          <w:color w:val="000000" w:themeColor="text1"/>
        </w:rPr>
        <w:footnoteReference w:id="49"/>
      </w:r>
      <w:r w:rsidRPr="31226965" w:rsidR="22A46094">
        <w:rPr>
          <w:rFonts w:eastAsia="Arial" w:cs="Arial"/>
          <w:color w:val="000000" w:themeColor="text1"/>
        </w:rPr>
        <w:t>.</w:t>
      </w:r>
    </w:p>
    <w:p w:rsidR="00470F04" w:rsidP="31226965" w:rsidRDefault="71A55FB9" w14:paraId="6603A746" w14:textId="7A76B59D">
      <w:pPr>
        <w:jc w:val="both"/>
        <w:rPr>
          <w:lang w:val="es"/>
        </w:rPr>
      </w:pPr>
      <w:r w:rsidR="71A55FB9">
        <w:rPr/>
        <w:t xml:space="preserve">Pese a las problemáticas anteriores, se ha buscado establecer espacios de participación y socialización en la etapa precontractual y contractual del otorgamiento del título minero o de un contrato de concesión y se han realizado escenarios de concertación con las entidades territoriales con el fin de que se conozcan los proyectos que se ejecutaran en determinados territorios y se tenga en cuenta los intereses de las autoridades locales. Estos protocolos de actuación amplían la participación y socialización, además de buscar la garantía de </w:t>
      </w:r>
      <w:r w:rsidR="71A55FB9">
        <w:rPr>
          <w:lang w:val="es"/>
        </w:rPr>
        <w:t>escenarios de concertación con entidades territoriales a fin de resolver aspectos de complementariedad y concurrencia de acuerdo con las competencias entre nación y territorio.</w:t>
      </w:r>
      <w:r w:rsidR="71A55FB9">
        <w:rPr/>
        <w:t xml:space="preserve"> No obstante, estos mecanismos no han sido suficientes ya que no garantizan </w:t>
      </w:r>
      <w:r w:rsidR="71A55FB9">
        <w:rPr>
          <w:lang w:val="es"/>
        </w:rPr>
        <w:t>realmente el núcleo esencial del derecho de participación y no están regulados mediante leyes estatutarias. Por ello, la Corte Constitucional exhortó al Congreso de la República para que “en el menor tiempo posible defina uno o varios mecanismos de participación ciudadana y uno o varios instrumentos de coordinación y concurrencia nación territorio</w:t>
      </w:r>
      <w:r w:rsidR="64B892A7">
        <w:rPr>
          <w:lang w:val="es"/>
        </w:rPr>
        <w:t>”.</w:t>
      </w:r>
      <w:r w:rsidR="00470F04">
        <w:rPr>
          <w:rStyle w:val="FootnoteReference"/>
          <w:lang w:val="es"/>
        </w:rPr>
        <w:footnoteReference w:id="50"/>
      </w:r>
    </w:p>
    <w:p w:rsidR="00470F04" w:rsidP="00470F04" w:rsidRDefault="0087300A" w14:paraId="35351500" w14:textId="42570476">
      <w:pPr>
        <w:jc w:val="both"/>
      </w:pPr>
      <w:r>
        <w:t>Las limitaciones en los mecanismos de participación exigen entonces</w:t>
      </w:r>
      <w:r w:rsidR="00470F04">
        <w:t xml:space="preserve"> trascender </w:t>
      </w:r>
      <w:r w:rsidR="009A5602">
        <w:t>y</w:t>
      </w:r>
      <w:r w:rsidR="00470F04">
        <w:t xml:space="preserve"> vincular mecanismos de mayor incidencia de la población, para abordar la conflictividad, satisfacer las demandas, expectativas y preocupaciones sobre el desarrollo de la actividad minera en los territorios</w:t>
      </w:r>
      <w:r>
        <w:t>.</w:t>
      </w:r>
    </w:p>
    <w:p w:rsidR="00470F04" w:rsidP="31226965" w:rsidRDefault="71A55FB9" w14:paraId="50738268" w14:textId="4DB57D6D">
      <w:pPr>
        <w:jc w:val="both"/>
        <w:rPr>
          <w:lang w:val="es-ES"/>
        </w:rPr>
      </w:pPr>
      <w:r w:rsidR="71A55FB9">
        <w:rPr>
          <w:lang w:val="es-ES"/>
        </w:rPr>
        <w:t xml:space="preserve">Ahora bien, </w:t>
      </w:r>
      <w:r w:rsidR="6EB0EE2E">
        <w:rPr>
          <w:lang w:val="es-ES"/>
        </w:rPr>
        <w:t xml:space="preserve">un aspecto relevante para </w:t>
      </w:r>
      <w:r w:rsidR="71A55FB9">
        <w:rPr>
          <w:lang w:val="es-ES"/>
        </w:rPr>
        <w:t>la protección de</w:t>
      </w:r>
      <w:r w:rsidR="6EB0EE2E">
        <w:rPr>
          <w:lang w:val="es-ES"/>
        </w:rPr>
        <w:t>l</w:t>
      </w:r>
      <w:r w:rsidR="71A55FB9">
        <w:rPr>
          <w:lang w:val="es-ES"/>
        </w:rPr>
        <w:t xml:space="preserve"> derecho a la participación </w:t>
      </w:r>
      <w:r w:rsidR="6EB0EE2E">
        <w:rPr>
          <w:lang w:val="es-ES"/>
        </w:rPr>
        <w:t>y la</w:t>
      </w:r>
      <w:r w:rsidR="71A55FB9">
        <w:rPr>
          <w:lang w:val="es-ES"/>
        </w:rPr>
        <w:t xml:space="preserve"> prevención de </w:t>
      </w:r>
      <w:r w:rsidRPr="6CF7E57B" w:rsidR="75F3F1B7">
        <w:rPr>
          <w:lang w:val="es-ES"/>
        </w:rPr>
        <w:t>conflictividad es</w:t>
      </w:r>
      <w:r w:rsidR="71A55FB9">
        <w:rPr>
          <w:lang w:val="es-ES"/>
        </w:rPr>
        <w:t xml:space="preserve"> la garantía del derecho al acceso de la información </w:t>
      </w:r>
      <w:r w:rsidR="00470F04">
        <w:rPr>
          <w:rStyle w:val="FootnoteReference"/>
          <w:lang w:val="es-ES"/>
        </w:rPr>
        <w:footnoteReference w:id="51"/>
      </w:r>
      <w:r w:rsidR="71A55FB9">
        <w:rPr>
          <w:lang w:val="es-ES"/>
        </w:rPr>
        <w:t>. En este sentido, es necesario vincular el acceso a la información previa, permanente, transparente, clara y suficiente, de forma transversal en los diferentes sistemas de información, así como en los instrumentos de política, evaluación y control de las operaciones del sector, que apunten a su vez a la democratización de la información. Así mismo, hay información generada por la ciudadanía sobre sus territorios, costumbres, economía local, entre otros aspectos, que muchas veces no es usada ni tenida en cuenta por las instituciones o por los titulares mineros en la toma de decisiones, por lo que se pierde la oportunidad de conocer más el área de influencia de los proyectos.</w:t>
      </w:r>
    </w:p>
    <w:p w:rsidR="00470F04" w:rsidP="00470F04" w:rsidRDefault="6121D41B" w14:paraId="2881CB62" w14:textId="24BE7671">
      <w:pPr>
        <w:pStyle w:val="Heading3"/>
        <w:rPr>
          <w:lang w:val="es-ES"/>
        </w:rPr>
      </w:pPr>
      <w:bookmarkStart w:name="_Toc135903124" w:id="615"/>
      <w:bookmarkStart w:name="_Toc113603444" w:id="616"/>
      <w:bookmarkStart w:name="_Toc760477245" w:id="617"/>
      <w:bookmarkStart w:name="_Toc1824483718" w:id="618"/>
      <w:bookmarkStart w:name="_Toc1524414137" w:id="619"/>
      <w:bookmarkStart w:name="_Toc1248646882" w:id="620"/>
      <w:bookmarkStart w:name="_Toc393502314" w:id="621"/>
      <w:bookmarkStart w:name="_Toc1577301087" w:id="622"/>
      <w:bookmarkStart w:name="_Toc407158596" w:id="623"/>
      <w:bookmarkStart w:name="_Toc1825061431" w:id="624"/>
      <w:bookmarkStart w:name="_Toc1396723238" w:id="625"/>
      <w:bookmarkStart w:name="_Toc1861792530" w:id="626"/>
      <w:bookmarkStart w:name="_Toc1969554007" w:id="627"/>
      <w:bookmarkStart w:name="_Toc2124547014" w:id="628"/>
      <w:bookmarkStart w:name="_Toc2087019775" w:id="629"/>
      <w:bookmarkStart w:name="_Toc325937664" w:id="630"/>
      <w:bookmarkStart w:name="_Toc1139998413" w:id="631"/>
      <w:bookmarkStart w:name="_Toc61623194" w:id="632"/>
      <w:bookmarkStart w:name="_Toc1991271115" w:id="633"/>
      <w:bookmarkStart w:name="_Toc369270335" w:id="634"/>
      <w:bookmarkStart w:name="_Toc1242796751" w:id="635"/>
      <w:bookmarkStart w:name="_Toc1173623789" w:id="636"/>
      <w:bookmarkStart w:name="_Toc1397629997" w:id="637"/>
      <w:bookmarkStart w:name="_Toc1390734853" w:id="638"/>
      <w:bookmarkStart w:name="_Toc811147398" w:id="639"/>
      <w:bookmarkStart w:name="_Toc1567312284" w:id="640"/>
      <w:bookmarkStart w:name="_Toc210292979" w:id="641"/>
      <w:r w:rsidRPr="287A971D">
        <w:rPr>
          <w:lang w:val="es-ES"/>
        </w:rPr>
        <w:t>4.2. Comunidades étnicas y su relacionamiento con la actividad minera</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rsidR="00470F04" w:rsidP="00470F04" w:rsidRDefault="00470F04" w14:paraId="16642740" w14:textId="77777777">
      <w:pPr>
        <w:spacing w:after="0"/>
        <w:rPr>
          <w:lang w:val="es-ES"/>
        </w:rPr>
      </w:pPr>
    </w:p>
    <w:p w:rsidR="00223AF7" w:rsidP="00470F04" w:rsidRDefault="714CE006" w14:paraId="5480FDCE" w14:textId="7A079D2F">
      <w:pPr>
        <w:jc w:val="both"/>
        <w:rPr>
          <w:color w:val="000000"/>
        </w:rPr>
      </w:pPr>
      <w:r w:rsidRPr="00223AF7" w:rsidR="714CE006">
        <w:rPr>
          <w:color w:val="000000"/>
        </w:rPr>
        <w:t>El Estado Colombiano reconoce y protege la diversidad étnica y cultural de la Nación</w:t>
      </w:r>
      <w:r w:rsidR="00223AF7">
        <w:rPr>
          <w:rStyle w:val="FootnoteReference"/>
          <w:color w:val="000000"/>
        </w:rPr>
        <w:footnoteReference w:id="52"/>
      </w:r>
      <w:r w:rsidRPr="00223AF7" w:rsidR="714CE006">
        <w:rPr>
          <w:color w:val="000000"/>
        </w:rPr>
        <w:t xml:space="preserve">, esto se refiere a las formas de vida y concepciones del mundo distintas a las de la mayoría de la población en aspecto de etnia, religión, lengua, economía y organización política. En Colombia se reconocen cuatro grupos étnicos: los pueblos indígenas, el pueblo </w:t>
      </w:r>
      <w:proofErr w:type="spellStart"/>
      <w:r w:rsidRPr="00223AF7" w:rsidR="714CE006">
        <w:rPr>
          <w:color w:val="000000"/>
        </w:rPr>
        <w:t>Rrom</w:t>
      </w:r>
      <w:proofErr w:type="spellEnd"/>
      <w:r w:rsidRPr="00223AF7" w:rsidR="714CE006">
        <w:rPr>
          <w:color w:val="000000"/>
        </w:rPr>
        <w:t xml:space="preserve"> o gitano, y las comunidades negras, afrodescendientes, raizales y palenqueras. </w:t>
      </w:r>
    </w:p>
    <w:p w:rsidR="00470F04" w:rsidDel="0060415D" w:rsidP="00470F04" w:rsidRDefault="7A067585" w14:paraId="61829D08" w14:textId="23FDA3C8">
      <w:pPr>
        <w:jc w:val="both"/>
      </w:pPr>
      <w:r w:rsidR="7A067585">
        <w:rPr>
          <w:color w:val="000000"/>
        </w:rPr>
        <w:t>El ordenamiento territorial y las territorialidades étnicas han estado en conflicto con el modelo de ordenamiento territorial minero. Esta tensión se ha trasladado al escenario judicial, especialmente por vía de tutela o acciones populares</w:t>
      </w:r>
      <w:r w:rsidR="00470F04">
        <w:rPr>
          <w:rStyle w:val="FootnoteReference"/>
          <w:color w:val="000000"/>
        </w:rPr>
        <w:footnoteReference w:id="53"/>
      </w:r>
      <w:r w:rsidR="7A067585">
        <w:rPr>
          <w:color w:val="000000"/>
        </w:rPr>
        <w:t>. Más allá de resolver en el plano formal, estas tensiones y las decisiones judiciales han abierto nuevos desafíos derivados de la importancia que tiene el territorio para la pervivencia física y cultural de las comunidades, especialmente de aquellas étnicamente diferenciadas.</w:t>
      </w:r>
      <w:r w:rsidR="7A067585">
        <w:rPr>
          <w:b w:val="1"/>
          <w:bCs w:val="1"/>
          <w:color w:val="000000"/>
        </w:rPr>
        <w:t xml:space="preserve"> </w:t>
      </w:r>
    </w:p>
    <w:p w:rsidR="00470F04" w:rsidP="00470F04" w:rsidRDefault="22A46094" w14:paraId="623E3A10" w14:textId="46A6C86D">
      <w:pPr>
        <w:jc w:val="both"/>
        <w:rPr>
          <w:color w:val="000000"/>
        </w:rPr>
      </w:pPr>
      <w:r w:rsidR="22A46094">
        <w:rPr>
          <w:color w:val="000000"/>
        </w:rPr>
        <w:t>Estos derechos se reconocen como una manifestación del derecho de participación, al considerar que el manejo y aprovechamiento de los recursos naturales debe hacerse equilibrando el desarrollo económico, la preservación ambiental, la vida de las futuras generaciones y respeto a los valores históricos, culturales y sociales de los grupos étnicos.</w:t>
      </w:r>
      <w:r w:rsidR="00223AF7">
        <w:rPr>
          <w:rStyle w:val="FootnoteReference"/>
          <w:color w:val="000000"/>
        </w:rPr>
        <w:footnoteReference w:id="54"/>
      </w:r>
    </w:p>
    <w:p w:rsidR="00470F04" w:rsidP="00470F04" w:rsidRDefault="22A46094" w14:paraId="0FE4C0BE" w14:noSpellErr="1" w14:textId="70BF5EC2">
      <w:pPr>
        <w:jc w:val="both"/>
        <w:rPr>
          <w:color w:val="000000"/>
        </w:rPr>
      </w:pPr>
      <w:r w:rsidRPr="3D2173F3" w:rsidR="22A46094">
        <w:rPr>
          <w:color w:val="000000" w:themeColor="text1" w:themeTint="FF" w:themeShade="FF"/>
        </w:rPr>
        <w:t xml:space="preserve">La importancia de reconocer, escuchar y dialogar con las comunidades étnicas es visible mediante la aproximación cartográfica de la ilustración </w:t>
      </w:r>
      <w:r w:rsidRPr="3D2173F3" w:rsidR="7D95CF69">
        <w:rPr>
          <w:color w:val="000000" w:themeColor="text1" w:themeTint="FF" w:themeShade="FF"/>
        </w:rPr>
        <w:t>5</w:t>
      </w:r>
      <w:r w:rsidRPr="3D2173F3" w:rsidR="22A46094">
        <w:rPr>
          <w:color w:val="000000" w:themeColor="text1" w:themeTint="FF" w:themeShade="FF"/>
        </w:rPr>
        <w:t>, sobre la superposición de los títulos mineros y territorialidades étnicas</w:t>
      </w:r>
      <w:r w:rsidRPr="3D2173F3" w:rsidR="57ED1313">
        <w:rPr>
          <w:color w:val="000000" w:themeColor="text1" w:themeTint="FF" w:themeShade="FF"/>
        </w:rPr>
        <w:t xml:space="preserve">. </w:t>
      </w:r>
      <w:bookmarkEnd w:id="613"/>
    </w:p>
    <w:p w:rsidR="3D2173F3" w:rsidP="3D2173F3" w:rsidRDefault="3D2173F3" w14:paraId="056C9767" w14:textId="28A24CE6">
      <w:pPr>
        <w:jc w:val="both"/>
        <w:rPr>
          <w:color w:val="000000" w:themeColor="text1" w:themeTint="FF" w:themeShade="FF"/>
        </w:rPr>
      </w:pPr>
    </w:p>
    <w:p w:rsidR="3D2173F3" w:rsidP="3D2173F3" w:rsidRDefault="3D2173F3" w14:paraId="3EB96FB3" w14:textId="6C3D3FC3">
      <w:pPr>
        <w:jc w:val="both"/>
        <w:rPr>
          <w:color w:val="000000" w:themeColor="text1" w:themeTint="FF" w:themeShade="FF"/>
        </w:rPr>
      </w:pPr>
    </w:p>
    <w:p w:rsidR="3D2173F3" w:rsidP="3D2173F3" w:rsidRDefault="3D2173F3" w14:paraId="466067A3" w14:textId="7B21DD19">
      <w:pPr>
        <w:jc w:val="both"/>
        <w:rPr>
          <w:color w:val="000000" w:themeColor="text1" w:themeTint="FF" w:themeShade="FF"/>
        </w:rPr>
      </w:pPr>
    </w:p>
    <w:p w:rsidR="00470F04" w:rsidP="00DF56BA" w:rsidRDefault="00470F04" w14:paraId="4EE007D6" w14:textId="77777777">
      <w:pPr>
        <w:pStyle w:val="Caption"/>
        <w:rPr>
          <w:color w:val="000000" w:themeColor="text1"/>
        </w:rPr>
      </w:pPr>
    </w:p>
    <w:p w:rsidRPr="00AD6945" w:rsidR="00DF56BA" w:rsidP="00DF56BA" w:rsidRDefault="00DF56BA" w14:paraId="5A741F9F" w14:textId="62C47BB0">
      <w:pPr>
        <w:pStyle w:val="Caption"/>
        <w:rPr>
          <w:color w:val="000000" w:themeColor="text1"/>
        </w:rPr>
      </w:pPr>
      <w:bookmarkStart w:name="_Toc210292705" w:id="643"/>
      <w:r w:rsidRPr="287A971D">
        <w:rPr>
          <w:color w:val="000000" w:themeColor="text1"/>
        </w:rPr>
        <w:t xml:space="preserve">Ilustración </w:t>
      </w:r>
      <w:r w:rsidRPr="287A971D">
        <w:rPr>
          <w:color w:val="000000" w:themeColor="text1"/>
        </w:rPr>
        <w:fldChar w:fldCharType="begin"/>
      </w:r>
      <w:r w:rsidRPr="287A971D">
        <w:rPr>
          <w:color w:val="000000" w:themeColor="text1"/>
        </w:rPr>
        <w:instrText xml:space="preserve"> SEQ Ilustración \* ARABIC </w:instrText>
      </w:r>
      <w:r w:rsidRPr="287A971D">
        <w:rPr>
          <w:color w:val="000000" w:themeColor="text1"/>
        </w:rPr>
        <w:fldChar w:fldCharType="separate"/>
      </w:r>
      <w:r w:rsidR="00DD6760">
        <w:rPr>
          <w:noProof/>
          <w:color w:val="000000" w:themeColor="text1"/>
        </w:rPr>
        <w:t>5</w:t>
      </w:r>
      <w:r w:rsidRPr="287A971D">
        <w:rPr>
          <w:color w:val="000000" w:themeColor="text1"/>
        </w:rPr>
        <w:fldChar w:fldCharType="end"/>
      </w:r>
      <w:r w:rsidRPr="287A971D">
        <w:rPr>
          <w:color w:val="000000" w:themeColor="text1"/>
        </w:rPr>
        <w:t>. Situación de comunidades indígenas y negras respecto a la minería</w:t>
      </w:r>
      <w:bookmarkEnd w:id="643"/>
    </w:p>
    <w:p w:rsidRPr="00AD6945" w:rsidR="00DF56BA" w:rsidP="00DF56BA" w:rsidRDefault="00BE3EC9" w14:paraId="33EDFE9D" w14:textId="7C4A9FAD">
      <w:pPr>
        <w:jc w:val="center"/>
        <w:rPr>
          <w:rFonts w:eastAsia="Calibri" w:cs="Times New Roman"/>
          <w:color w:val="000000" w:themeColor="text1"/>
          <w:sz w:val="18"/>
          <w:szCs w:val="18"/>
        </w:rPr>
      </w:pPr>
      <w:r>
        <w:rPr>
          <w:rFonts w:eastAsia="Calibri" w:cs="Times New Roman"/>
          <w:noProof/>
          <w:color w:val="000000" w:themeColor="text1"/>
          <w:sz w:val="18"/>
          <w:szCs w:val="18"/>
        </w:rPr>
        <w:drawing>
          <wp:inline distT="0" distB="0" distL="0" distR="0" wp14:anchorId="55DCAAF4" wp14:editId="0EA3113C">
            <wp:extent cx="5521960" cy="5866765"/>
            <wp:effectExtent l="0" t="0" r="2540" b="635"/>
            <wp:docPr id="575240039"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40039" name="Imagen 57524003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21960" cy="5866765"/>
                    </a:xfrm>
                    <a:prstGeom prst="rect">
                      <a:avLst/>
                    </a:prstGeom>
                  </pic:spPr>
                </pic:pic>
              </a:graphicData>
            </a:graphic>
          </wp:inline>
        </w:drawing>
      </w:r>
    </w:p>
    <w:p w:rsidRPr="006F53BA" w:rsidR="00DF56BA" w:rsidP="00DF56BA" w:rsidRDefault="006F53BA" w14:paraId="4C4D9D6F" w14:textId="31EBEF52">
      <w:pPr>
        <w:jc w:val="center"/>
        <w:rPr>
          <w:rFonts w:eastAsia="Calibri" w:cs="Times New Roman"/>
          <w:color w:val="000000" w:themeColor="text1"/>
          <w:sz w:val="18"/>
          <w:szCs w:val="18"/>
        </w:rPr>
      </w:pPr>
      <w:r>
        <w:rPr>
          <w:rFonts w:eastAsia="Calibri" w:cs="Times New Roman"/>
          <w:color w:val="000000" w:themeColor="text1"/>
          <w:sz w:val="18"/>
          <w:szCs w:val="18"/>
        </w:rPr>
        <w:t xml:space="preserve">Fuente: </w:t>
      </w:r>
      <w:r w:rsidRPr="006F53BA" w:rsidR="00DF56BA">
        <w:rPr>
          <w:rFonts w:eastAsia="Calibri" w:cs="Times New Roman"/>
          <w:color w:val="000000" w:themeColor="text1"/>
          <w:sz w:val="18"/>
          <w:szCs w:val="18"/>
        </w:rPr>
        <w:t>Elabora</w:t>
      </w:r>
      <w:r>
        <w:rPr>
          <w:rFonts w:eastAsia="Calibri" w:cs="Times New Roman"/>
          <w:color w:val="000000" w:themeColor="text1"/>
          <w:sz w:val="18"/>
          <w:szCs w:val="18"/>
        </w:rPr>
        <w:t>do por</w:t>
      </w:r>
      <w:r w:rsidRPr="006F53BA" w:rsidR="00DF56BA">
        <w:rPr>
          <w:rFonts w:eastAsia="Calibri" w:cs="Times New Roman"/>
          <w:color w:val="000000" w:themeColor="text1"/>
          <w:sz w:val="18"/>
          <w:szCs w:val="18"/>
        </w:rPr>
        <w:t xml:space="preserve"> Oficina de Asuntos Sociales y Ambientales </w:t>
      </w:r>
      <w:proofErr w:type="spellStart"/>
      <w:r w:rsidRPr="006F53BA" w:rsidR="00DF56BA">
        <w:rPr>
          <w:rFonts w:eastAsia="Calibri" w:cs="Times New Roman"/>
          <w:color w:val="000000" w:themeColor="text1"/>
          <w:sz w:val="18"/>
          <w:szCs w:val="18"/>
        </w:rPr>
        <w:t>MinEnergía</w:t>
      </w:r>
      <w:proofErr w:type="spellEnd"/>
      <w:r w:rsidRPr="006F53BA" w:rsidR="00DF56BA">
        <w:rPr>
          <w:rFonts w:eastAsia="Calibri" w:cs="Times New Roman"/>
          <w:color w:val="000000" w:themeColor="text1"/>
          <w:sz w:val="18"/>
          <w:szCs w:val="18"/>
        </w:rPr>
        <w:t xml:space="preserve">. </w:t>
      </w:r>
      <w:r>
        <w:rPr>
          <w:rFonts w:eastAsia="Calibri" w:cs="Times New Roman"/>
          <w:color w:val="000000" w:themeColor="text1"/>
          <w:sz w:val="18"/>
          <w:szCs w:val="18"/>
        </w:rPr>
        <w:t>Datos de</w:t>
      </w:r>
      <w:r w:rsidRPr="006F53BA" w:rsidR="00DF56BA">
        <w:rPr>
          <w:rFonts w:eastAsia="Calibri" w:cs="Times New Roman"/>
          <w:color w:val="000000" w:themeColor="text1"/>
          <w:sz w:val="18"/>
          <w:szCs w:val="18"/>
        </w:rPr>
        <w:t xml:space="preserve"> ANM </w:t>
      </w:r>
      <w:r>
        <w:rPr>
          <w:rFonts w:eastAsia="Calibri" w:cs="Times New Roman"/>
          <w:color w:val="000000" w:themeColor="text1"/>
          <w:sz w:val="18"/>
          <w:szCs w:val="18"/>
        </w:rPr>
        <w:t xml:space="preserve">y </w:t>
      </w:r>
      <w:r w:rsidRPr="006F53BA" w:rsidR="00DF56BA">
        <w:rPr>
          <w:rFonts w:eastAsia="Calibri" w:cs="Times New Roman"/>
          <w:color w:val="000000" w:themeColor="text1"/>
          <w:sz w:val="18"/>
          <w:szCs w:val="18"/>
        </w:rPr>
        <w:t>ANT</w:t>
      </w:r>
      <w:r>
        <w:rPr>
          <w:rFonts w:eastAsia="Calibri" w:cs="Times New Roman"/>
          <w:color w:val="000000" w:themeColor="text1"/>
          <w:sz w:val="18"/>
          <w:szCs w:val="18"/>
        </w:rPr>
        <w:t xml:space="preserve">, </w:t>
      </w:r>
      <w:r w:rsidRPr="006F53BA" w:rsidR="00DF56BA">
        <w:rPr>
          <w:rFonts w:eastAsia="Calibri" w:cs="Times New Roman"/>
          <w:color w:val="000000" w:themeColor="text1"/>
          <w:sz w:val="18"/>
          <w:szCs w:val="18"/>
        </w:rPr>
        <w:t>202</w:t>
      </w:r>
      <w:r w:rsidRPr="006F53BA" w:rsidR="00BE3EC9">
        <w:rPr>
          <w:rFonts w:eastAsia="Calibri" w:cs="Times New Roman"/>
          <w:color w:val="000000" w:themeColor="text1"/>
          <w:sz w:val="18"/>
          <w:szCs w:val="18"/>
        </w:rPr>
        <w:t>5</w:t>
      </w:r>
      <w:r>
        <w:rPr>
          <w:rFonts w:eastAsia="Calibri" w:cs="Times New Roman"/>
          <w:color w:val="000000" w:themeColor="text1"/>
          <w:sz w:val="18"/>
          <w:szCs w:val="18"/>
        </w:rPr>
        <w:t>.</w:t>
      </w:r>
    </w:p>
    <w:p w:rsidRPr="00DD62BB" w:rsidR="00DD62BB" w:rsidP="00DD62BB" w:rsidRDefault="52E5C552" w14:paraId="62A84767" w14:textId="6DBC08A7">
      <w:pPr>
        <w:jc w:val="both"/>
        <w:rPr>
          <w:color w:val="000000" w:themeColor="text1"/>
        </w:rPr>
      </w:pPr>
      <w:r w:rsidRPr="769A4CE5">
        <w:rPr>
          <w:color w:val="000000" w:themeColor="text1"/>
        </w:rPr>
        <w:t xml:space="preserve">Al cruzar las capas de información espacial de resguardos legalizados y los títulos mineros, se </w:t>
      </w:r>
      <w:r w:rsidR="00223AF7">
        <w:rPr>
          <w:color w:val="000000" w:themeColor="text1"/>
        </w:rPr>
        <w:t>concluye</w:t>
      </w:r>
      <w:r w:rsidRPr="769A4CE5">
        <w:rPr>
          <w:color w:val="000000" w:themeColor="text1"/>
        </w:rPr>
        <w:t xml:space="preserve"> que: 255 títulos mineros se traslapan con 134 resguardos indígenas (equivalentes al 16,9% de total de resguardos del país) en una extensión aproximada de 298.297 hectáreas.  A su vez</w:t>
      </w:r>
      <w:r w:rsidR="00223AF7">
        <w:rPr>
          <w:color w:val="000000" w:themeColor="text1"/>
        </w:rPr>
        <w:t>,</w:t>
      </w:r>
      <w:r w:rsidRPr="769A4CE5">
        <w:rPr>
          <w:color w:val="000000" w:themeColor="text1"/>
        </w:rPr>
        <w:t xml:space="preserve"> 659 solicitudes mineras se traslapan con 257 resguardos indígenas (equivalentes al 32,57% de la totalidad de resguardos) en una extensión aproximada de 814.948 hectáreas. Los tres departamentos más afectados por este fenómeno son Antioquía con 120 títulos mineros traslapados con resguardos indígenas, le sigue Chocó con 102 títulos mineros, Guainía con 82, La Guajira con 28, y Tolima con 19 (Ver Ilustración </w:t>
      </w:r>
      <w:r w:rsidR="00012130">
        <w:rPr>
          <w:color w:val="000000" w:themeColor="text1"/>
        </w:rPr>
        <w:t>6</w:t>
      </w:r>
      <w:r w:rsidRPr="769A4CE5">
        <w:rPr>
          <w:color w:val="000000" w:themeColor="text1"/>
        </w:rPr>
        <w:t>)</w:t>
      </w:r>
      <w:r w:rsidRPr="769A4CE5" w:rsidR="27650838">
        <w:rPr>
          <w:color w:val="000000" w:themeColor="text1"/>
        </w:rPr>
        <w:t>.</w:t>
      </w:r>
    </w:p>
    <w:p w:rsidRPr="00AD6945" w:rsidR="00EE2172" w:rsidP="00DF56BA" w:rsidRDefault="00EE2172" w14:paraId="66A7783A" w14:textId="77777777">
      <w:pPr>
        <w:jc w:val="center"/>
        <w:rPr>
          <w:rFonts w:eastAsia="Calibri" w:cs="Times New Roman"/>
          <w:b/>
          <w:bCs/>
          <w:color w:val="000000" w:themeColor="text1"/>
          <w:sz w:val="18"/>
          <w:szCs w:val="18"/>
        </w:rPr>
      </w:pPr>
    </w:p>
    <w:p w:rsidRPr="00AD6945" w:rsidR="00DF56BA" w:rsidP="00DF56BA" w:rsidRDefault="6659D13E" w14:paraId="6921046D" w14:textId="4246E1A0">
      <w:pPr>
        <w:pStyle w:val="Caption"/>
        <w:rPr>
          <w:color w:val="000000" w:themeColor="text1"/>
        </w:rPr>
      </w:pPr>
      <w:bookmarkStart w:name="_Toc210292706" w:id="644"/>
      <w:r w:rsidRPr="5734DBB2">
        <w:rPr>
          <w:color w:val="000000" w:themeColor="text1"/>
        </w:rPr>
        <w:t xml:space="preserve">Ilustración </w:t>
      </w:r>
      <w:r w:rsidRPr="5734DBB2" w:rsidR="00DF56BA">
        <w:rPr>
          <w:color w:val="000000" w:themeColor="text1"/>
        </w:rPr>
        <w:fldChar w:fldCharType="begin"/>
      </w:r>
      <w:r w:rsidRPr="5734DBB2" w:rsidR="00DF56BA">
        <w:rPr>
          <w:color w:val="000000" w:themeColor="text1"/>
        </w:rPr>
        <w:instrText xml:space="preserve"> SEQ Ilustración \* ARABIC </w:instrText>
      </w:r>
      <w:r w:rsidRPr="5734DBB2" w:rsidR="00DF56BA">
        <w:rPr>
          <w:color w:val="000000" w:themeColor="text1"/>
        </w:rPr>
        <w:fldChar w:fldCharType="separate"/>
      </w:r>
      <w:r w:rsidR="00DD6760">
        <w:rPr>
          <w:noProof/>
          <w:color w:val="000000" w:themeColor="text1"/>
        </w:rPr>
        <w:t>6</w:t>
      </w:r>
      <w:r w:rsidRPr="5734DBB2" w:rsidR="00DF56BA">
        <w:rPr>
          <w:color w:val="000000" w:themeColor="text1"/>
        </w:rPr>
        <w:fldChar w:fldCharType="end"/>
      </w:r>
      <w:r w:rsidRPr="5734DBB2">
        <w:rPr>
          <w:color w:val="000000" w:themeColor="text1"/>
        </w:rPr>
        <w:t>. Traslape entre títulos mineros y territorios colectivos indígenas</w:t>
      </w:r>
      <w:bookmarkEnd w:id="644"/>
    </w:p>
    <w:p w:rsidRPr="00AD6945" w:rsidR="00DF56BA" w:rsidP="00DF56BA" w:rsidRDefault="743AA7C1" w14:paraId="32B3AB15" w14:textId="398A52DE">
      <w:pPr>
        <w:jc w:val="center"/>
      </w:pPr>
      <w:r>
        <w:rPr>
          <w:noProof/>
        </w:rPr>
        <w:drawing>
          <wp:inline distT="0" distB="0" distL="0" distR="0" wp14:anchorId="72523CBB" wp14:editId="53C1AE2F">
            <wp:extent cx="5210175" cy="5534025"/>
            <wp:effectExtent l="0" t="0" r="0" b="0"/>
            <wp:docPr id="150090903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909037"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10175" cy="5534025"/>
                    </a:xfrm>
                    <a:prstGeom prst="rect">
                      <a:avLst/>
                    </a:prstGeom>
                  </pic:spPr>
                </pic:pic>
              </a:graphicData>
            </a:graphic>
          </wp:inline>
        </w:drawing>
      </w:r>
    </w:p>
    <w:p w:rsidRPr="006F53BA" w:rsidR="00DF56BA" w:rsidP="00DF56BA" w:rsidRDefault="006F53BA" w14:paraId="31B7042B" w14:textId="075C9643">
      <w:pPr>
        <w:jc w:val="center"/>
        <w:rPr>
          <w:rFonts w:eastAsia="Calibri" w:cs="Times New Roman"/>
          <w:color w:val="000000" w:themeColor="text1"/>
          <w:sz w:val="18"/>
          <w:szCs w:val="18"/>
        </w:rPr>
      </w:pPr>
      <w:r>
        <w:rPr>
          <w:rFonts w:eastAsia="Calibri" w:cs="Times New Roman"/>
          <w:color w:val="000000" w:themeColor="text1"/>
          <w:sz w:val="18"/>
          <w:szCs w:val="18"/>
        </w:rPr>
        <w:t xml:space="preserve">Fuente: </w:t>
      </w:r>
      <w:r w:rsidRPr="006F53BA" w:rsidR="00DF56BA">
        <w:rPr>
          <w:rFonts w:eastAsia="Calibri" w:cs="Times New Roman"/>
          <w:color w:val="000000" w:themeColor="text1"/>
          <w:sz w:val="18"/>
          <w:szCs w:val="18"/>
        </w:rPr>
        <w:t>Elabora</w:t>
      </w:r>
      <w:r>
        <w:rPr>
          <w:rFonts w:eastAsia="Calibri" w:cs="Times New Roman"/>
          <w:color w:val="000000" w:themeColor="text1"/>
          <w:sz w:val="18"/>
          <w:szCs w:val="18"/>
        </w:rPr>
        <w:t>do por</w:t>
      </w:r>
      <w:r w:rsidRPr="006F53BA" w:rsidR="00DF56BA">
        <w:rPr>
          <w:rFonts w:eastAsia="Calibri" w:cs="Times New Roman"/>
          <w:color w:val="000000" w:themeColor="text1"/>
          <w:sz w:val="18"/>
          <w:szCs w:val="18"/>
        </w:rPr>
        <w:t xml:space="preserve"> Oficina de Asuntos Sociales y Ambientales </w:t>
      </w:r>
      <w:proofErr w:type="spellStart"/>
      <w:r w:rsidRPr="006F53BA" w:rsidR="00DF56BA">
        <w:rPr>
          <w:rFonts w:eastAsia="Calibri" w:cs="Times New Roman"/>
          <w:color w:val="000000" w:themeColor="text1"/>
          <w:sz w:val="18"/>
          <w:szCs w:val="18"/>
        </w:rPr>
        <w:t>MinEnergía</w:t>
      </w:r>
      <w:proofErr w:type="spellEnd"/>
      <w:r w:rsidRPr="006F53BA" w:rsidR="00DF56BA">
        <w:rPr>
          <w:rFonts w:eastAsia="Calibri" w:cs="Times New Roman"/>
          <w:color w:val="000000" w:themeColor="text1"/>
          <w:sz w:val="18"/>
          <w:szCs w:val="18"/>
        </w:rPr>
        <w:t xml:space="preserve">. </w:t>
      </w:r>
      <w:r>
        <w:rPr>
          <w:rFonts w:eastAsia="Calibri" w:cs="Times New Roman"/>
          <w:color w:val="000000" w:themeColor="text1"/>
          <w:sz w:val="18"/>
          <w:szCs w:val="18"/>
        </w:rPr>
        <w:t>Datos de</w:t>
      </w:r>
      <w:r w:rsidRPr="006F53BA" w:rsidR="00DF56BA">
        <w:rPr>
          <w:rFonts w:eastAsia="Calibri" w:cs="Times New Roman"/>
          <w:color w:val="000000" w:themeColor="text1"/>
          <w:sz w:val="18"/>
          <w:szCs w:val="18"/>
        </w:rPr>
        <w:t xml:space="preserve"> ANM </w:t>
      </w:r>
      <w:r>
        <w:rPr>
          <w:rFonts w:eastAsia="Calibri" w:cs="Times New Roman"/>
          <w:color w:val="000000" w:themeColor="text1"/>
          <w:sz w:val="18"/>
          <w:szCs w:val="18"/>
        </w:rPr>
        <w:t>y</w:t>
      </w:r>
      <w:r w:rsidRPr="006F53BA" w:rsidR="00DF56BA">
        <w:rPr>
          <w:rFonts w:eastAsia="Calibri" w:cs="Times New Roman"/>
          <w:color w:val="000000" w:themeColor="text1"/>
          <w:sz w:val="18"/>
          <w:szCs w:val="18"/>
        </w:rPr>
        <w:t xml:space="preserve"> ANT</w:t>
      </w:r>
      <w:r>
        <w:rPr>
          <w:rFonts w:eastAsia="Calibri" w:cs="Times New Roman"/>
          <w:color w:val="000000" w:themeColor="text1"/>
          <w:sz w:val="18"/>
          <w:szCs w:val="18"/>
        </w:rPr>
        <w:t>,</w:t>
      </w:r>
      <w:r w:rsidRPr="006F53BA" w:rsidR="00DF56BA">
        <w:rPr>
          <w:rFonts w:eastAsia="Calibri" w:cs="Times New Roman"/>
          <w:color w:val="000000" w:themeColor="text1"/>
          <w:sz w:val="18"/>
          <w:szCs w:val="18"/>
        </w:rPr>
        <w:t xml:space="preserve"> 202</w:t>
      </w:r>
      <w:r w:rsidRPr="006F53BA" w:rsidR="00BE3EC9">
        <w:rPr>
          <w:rFonts w:eastAsia="Calibri" w:cs="Times New Roman"/>
          <w:color w:val="000000" w:themeColor="text1"/>
          <w:sz w:val="18"/>
          <w:szCs w:val="18"/>
        </w:rPr>
        <w:t>5</w:t>
      </w:r>
      <w:r>
        <w:rPr>
          <w:rFonts w:eastAsia="Calibri" w:cs="Times New Roman"/>
          <w:color w:val="000000" w:themeColor="text1"/>
          <w:sz w:val="18"/>
          <w:szCs w:val="18"/>
        </w:rPr>
        <w:t>.</w:t>
      </w:r>
    </w:p>
    <w:p w:rsidRPr="00DD62BB" w:rsidR="00DD62BB" w:rsidP="00DD62BB" w:rsidRDefault="00DD62BB" w14:paraId="32367239" w14:textId="0DAC46F0">
      <w:pPr>
        <w:jc w:val="both"/>
        <w:rPr>
          <w:color w:val="000000" w:themeColor="text1"/>
        </w:rPr>
      </w:pPr>
      <w:r w:rsidRPr="00DD62BB">
        <w:rPr>
          <w:color w:val="000000" w:themeColor="text1"/>
        </w:rPr>
        <w:t xml:space="preserve">En el caso de comunidades negras, se observa que 211 títulos mineros de traslapan con 61 títulos colectivos de comunidades negras en una extensión aproximada de 409.439 hectáreas; mientras que 496 solicitudes mineras se traslapan con 98 títulos de comunidades negras en una extensión aproximada de 565.709 hectáreas, es decir, que el 28,9% y el 46,4% de la totalidad de títulos de comunidades negras en el país, se superponen con títulos y solicitudes mineras respectivamente (ver ilustración </w:t>
      </w:r>
      <w:r w:rsidR="00012130">
        <w:rPr>
          <w:color w:val="000000" w:themeColor="text1"/>
        </w:rPr>
        <w:t>7</w:t>
      </w:r>
      <w:r w:rsidRPr="00DD62BB">
        <w:rPr>
          <w:color w:val="000000" w:themeColor="text1"/>
        </w:rPr>
        <w:t xml:space="preserve">). </w:t>
      </w:r>
    </w:p>
    <w:p w:rsidRPr="00AD6945" w:rsidR="00DF56BA" w:rsidP="00DF56BA" w:rsidRDefault="00DF56BA" w14:paraId="188F2C3A" w14:textId="03789D84">
      <w:pPr>
        <w:pStyle w:val="Caption"/>
        <w:rPr>
          <w:color w:val="000000" w:themeColor="text1"/>
        </w:rPr>
      </w:pPr>
      <w:bookmarkStart w:name="_Toc210292707" w:id="645"/>
      <w:r w:rsidRPr="287A971D">
        <w:rPr>
          <w:color w:val="000000" w:themeColor="text1"/>
        </w:rPr>
        <w:t xml:space="preserve">Ilustración </w:t>
      </w:r>
      <w:r w:rsidRPr="287A971D">
        <w:rPr>
          <w:color w:val="000000" w:themeColor="text1"/>
        </w:rPr>
        <w:fldChar w:fldCharType="begin"/>
      </w:r>
      <w:r w:rsidRPr="287A971D">
        <w:rPr>
          <w:color w:val="000000" w:themeColor="text1"/>
        </w:rPr>
        <w:instrText xml:space="preserve"> SEQ Ilustración \* ARABIC </w:instrText>
      </w:r>
      <w:r w:rsidRPr="287A971D">
        <w:rPr>
          <w:color w:val="000000" w:themeColor="text1"/>
        </w:rPr>
        <w:fldChar w:fldCharType="separate"/>
      </w:r>
      <w:r w:rsidR="00DD6760">
        <w:rPr>
          <w:noProof/>
          <w:color w:val="000000" w:themeColor="text1"/>
        </w:rPr>
        <w:t>7</w:t>
      </w:r>
      <w:r w:rsidRPr="287A971D">
        <w:rPr>
          <w:color w:val="000000" w:themeColor="text1"/>
        </w:rPr>
        <w:fldChar w:fldCharType="end"/>
      </w:r>
      <w:r w:rsidRPr="287A971D">
        <w:rPr>
          <w:color w:val="000000" w:themeColor="text1"/>
        </w:rPr>
        <w:t>. Traslape entre títulos mineros y territorios colectivos comunidades negras</w:t>
      </w:r>
      <w:bookmarkEnd w:id="645"/>
    </w:p>
    <w:p w:rsidRPr="00AD6945" w:rsidR="00DF56BA" w:rsidP="00DF56BA" w:rsidRDefault="00BE3EC9" w14:paraId="47A06DCF" w14:textId="7D1A2578">
      <w:pPr>
        <w:jc w:val="center"/>
        <w:rPr>
          <w:rFonts w:eastAsia="Calibri" w:cs="Times New Roman"/>
          <w:b/>
          <w:iCs/>
          <w:color w:val="000000" w:themeColor="text1"/>
          <w:sz w:val="18"/>
          <w:szCs w:val="18"/>
        </w:rPr>
      </w:pPr>
      <w:r>
        <w:rPr>
          <w:rFonts w:eastAsia="Calibri" w:cs="Times New Roman"/>
          <w:b/>
          <w:iCs/>
          <w:noProof/>
          <w:color w:val="000000" w:themeColor="text1"/>
          <w:sz w:val="18"/>
          <w:szCs w:val="18"/>
        </w:rPr>
        <w:drawing>
          <wp:inline distT="0" distB="0" distL="0" distR="0" wp14:anchorId="6F1C6527" wp14:editId="73973B65">
            <wp:extent cx="5521960" cy="5866765"/>
            <wp:effectExtent l="0" t="0" r="2540" b="635"/>
            <wp:docPr id="1074700539" name="Imagen 5"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700539" name="Imagen 5" descr="Mapa&#10;&#10;El contenido generado por IA puede ser incorrecto."/>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21960" cy="5866765"/>
                    </a:xfrm>
                    <a:prstGeom prst="rect">
                      <a:avLst/>
                    </a:prstGeom>
                  </pic:spPr>
                </pic:pic>
              </a:graphicData>
            </a:graphic>
          </wp:inline>
        </w:drawing>
      </w:r>
    </w:p>
    <w:p w:rsidRPr="00223AF7" w:rsidR="001701A6" w:rsidP="00223AF7" w:rsidRDefault="006F53BA" w14:paraId="1CFAD99B" w14:textId="1F80F867">
      <w:pPr>
        <w:jc w:val="center"/>
        <w:rPr>
          <w:rFonts w:eastAsia="Calibri" w:cs="Times New Roman"/>
          <w:color w:val="000000" w:themeColor="text1"/>
          <w:sz w:val="18"/>
          <w:szCs w:val="18"/>
        </w:rPr>
      </w:pPr>
      <w:r w:rsidRPr="31226965">
        <w:rPr>
          <w:rFonts w:eastAsia="Calibri" w:cs="Times New Roman"/>
          <w:color w:val="000000" w:themeColor="text1"/>
          <w:sz w:val="18"/>
          <w:szCs w:val="18"/>
        </w:rPr>
        <w:t xml:space="preserve">Fuente: </w:t>
      </w:r>
      <w:r w:rsidRPr="31226965" w:rsidR="00DF56BA">
        <w:rPr>
          <w:rFonts w:eastAsia="Calibri" w:cs="Times New Roman"/>
          <w:color w:val="000000" w:themeColor="text1"/>
          <w:sz w:val="18"/>
          <w:szCs w:val="18"/>
        </w:rPr>
        <w:t>Elabora</w:t>
      </w:r>
      <w:r w:rsidRPr="31226965">
        <w:rPr>
          <w:rFonts w:eastAsia="Calibri" w:cs="Times New Roman"/>
          <w:color w:val="000000" w:themeColor="text1"/>
          <w:sz w:val="18"/>
          <w:szCs w:val="18"/>
        </w:rPr>
        <w:t>do po</w:t>
      </w:r>
      <w:r w:rsidRPr="31226965" w:rsidR="00583B07">
        <w:rPr>
          <w:rFonts w:eastAsia="Calibri" w:cs="Times New Roman"/>
          <w:color w:val="000000" w:themeColor="text1"/>
          <w:sz w:val="18"/>
          <w:szCs w:val="18"/>
        </w:rPr>
        <w:t>r</w:t>
      </w:r>
      <w:r w:rsidRPr="31226965" w:rsidR="00DF56BA">
        <w:rPr>
          <w:rFonts w:eastAsia="Calibri" w:cs="Times New Roman"/>
          <w:color w:val="000000" w:themeColor="text1"/>
          <w:sz w:val="18"/>
          <w:szCs w:val="18"/>
        </w:rPr>
        <w:t xml:space="preserve"> Oficina de Asuntos Sociales y Ambientales </w:t>
      </w:r>
      <w:proofErr w:type="spellStart"/>
      <w:r w:rsidRPr="31226965" w:rsidR="00DF56BA">
        <w:rPr>
          <w:rFonts w:eastAsia="Calibri" w:cs="Times New Roman"/>
          <w:color w:val="000000" w:themeColor="text1"/>
          <w:sz w:val="18"/>
          <w:szCs w:val="18"/>
        </w:rPr>
        <w:t>MinEnergía</w:t>
      </w:r>
      <w:proofErr w:type="spellEnd"/>
      <w:r w:rsidRPr="31226965" w:rsidR="00DF56BA">
        <w:rPr>
          <w:rFonts w:eastAsia="Calibri" w:cs="Times New Roman"/>
          <w:color w:val="000000" w:themeColor="text1"/>
          <w:sz w:val="18"/>
          <w:szCs w:val="18"/>
        </w:rPr>
        <w:t xml:space="preserve">. </w:t>
      </w:r>
      <w:r w:rsidRPr="31226965">
        <w:rPr>
          <w:rFonts w:eastAsia="Calibri" w:cs="Times New Roman"/>
          <w:color w:val="000000" w:themeColor="text1"/>
          <w:sz w:val="18"/>
          <w:szCs w:val="18"/>
        </w:rPr>
        <w:t>Datos de</w:t>
      </w:r>
      <w:r w:rsidRPr="31226965" w:rsidR="00DF56BA">
        <w:rPr>
          <w:rFonts w:eastAsia="Calibri" w:cs="Times New Roman"/>
          <w:color w:val="000000" w:themeColor="text1"/>
          <w:sz w:val="18"/>
          <w:szCs w:val="18"/>
        </w:rPr>
        <w:t xml:space="preserve"> ANM </w:t>
      </w:r>
      <w:r w:rsidRPr="31226965">
        <w:rPr>
          <w:rFonts w:eastAsia="Calibri" w:cs="Times New Roman"/>
          <w:color w:val="000000" w:themeColor="text1"/>
          <w:sz w:val="18"/>
          <w:szCs w:val="18"/>
        </w:rPr>
        <w:t>y</w:t>
      </w:r>
      <w:r w:rsidRPr="31226965" w:rsidR="00DF56BA">
        <w:rPr>
          <w:rFonts w:eastAsia="Calibri" w:cs="Times New Roman"/>
          <w:color w:val="000000" w:themeColor="text1"/>
          <w:sz w:val="18"/>
          <w:szCs w:val="18"/>
        </w:rPr>
        <w:t xml:space="preserve"> ANT</w:t>
      </w:r>
      <w:r w:rsidRPr="31226965">
        <w:rPr>
          <w:rFonts w:eastAsia="Calibri" w:cs="Times New Roman"/>
          <w:color w:val="000000" w:themeColor="text1"/>
          <w:sz w:val="18"/>
          <w:szCs w:val="18"/>
        </w:rPr>
        <w:t xml:space="preserve">, </w:t>
      </w:r>
      <w:r w:rsidRPr="31226965" w:rsidR="00DF56BA">
        <w:rPr>
          <w:rFonts w:eastAsia="Calibri" w:cs="Times New Roman"/>
          <w:color w:val="000000" w:themeColor="text1"/>
          <w:sz w:val="18"/>
          <w:szCs w:val="18"/>
        </w:rPr>
        <w:t>202</w:t>
      </w:r>
      <w:r w:rsidRPr="31226965" w:rsidR="00BE3EC9">
        <w:rPr>
          <w:rFonts w:eastAsia="Calibri" w:cs="Times New Roman"/>
          <w:color w:val="000000" w:themeColor="text1"/>
          <w:sz w:val="18"/>
          <w:szCs w:val="18"/>
        </w:rPr>
        <w:t>5</w:t>
      </w:r>
      <w:r w:rsidRPr="31226965">
        <w:rPr>
          <w:rFonts w:eastAsia="Calibri" w:cs="Times New Roman"/>
          <w:color w:val="000000" w:themeColor="text1"/>
          <w:sz w:val="18"/>
          <w:szCs w:val="18"/>
        </w:rPr>
        <w:t>.</w:t>
      </w:r>
    </w:p>
    <w:p w:rsidRPr="00AD6945" w:rsidR="00DF56BA" w:rsidP="00DF56BA" w:rsidRDefault="00DF56BA" w14:paraId="2DD61D20" w14:textId="5E593632">
      <w:pPr>
        <w:jc w:val="center"/>
        <w:rPr>
          <w:rFonts w:eastAsia="Calibri" w:cs="Times New Roman"/>
          <w:b/>
          <w:iCs/>
          <w:color w:val="000000" w:themeColor="text1"/>
          <w:sz w:val="18"/>
          <w:szCs w:val="18"/>
        </w:rPr>
      </w:pPr>
    </w:p>
    <w:p w:rsidRPr="00DD62BB" w:rsidR="00DD62BB" w:rsidP="00DD62BB" w:rsidRDefault="3A712993" w14:paraId="0734D011" w14:textId="439F38A0">
      <w:pPr>
        <w:jc w:val="both"/>
        <w:rPr>
          <w:color w:val="000000" w:themeColor="text1"/>
        </w:rPr>
      </w:pPr>
      <w:r w:rsidRPr="31226965" w:rsidR="3A712993">
        <w:rPr>
          <w:color w:val="000000" w:themeColor="text1"/>
        </w:rPr>
        <w:t xml:space="preserve">Al cruzar </w:t>
      </w:r>
      <w:r w:rsidR="714CE006">
        <w:rPr>
          <w:color w:val="000000" w:themeColor="text1"/>
        </w:rPr>
        <w:t>las</w:t>
      </w:r>
      <w:r w:rsidRPr="31226965" w:rsidR="3A712993">
        <w:rPr>
          <w:color w:val="000000" w:themeColor="text1"/>
        </w:rPr>
        <w:t xml:space="preserve"> solicitudes territoriales de comunidades étnicas con los títulos mineros, se estima que, 98 solicitudes de legalización de resguardos indígenas se traslapan con 218 títulos mineros en una extensión aproximada de 130.870 hectáreas; 18 solicitudes de territorios ancestrales se traslapan con 173 títulos mineros en una extensión aproximada de 213.785 hectáreas;  y 63 títulos mineros se traslapan con 24 solicitudes de legalización de resguardo colonial en una extensión aproximada de 1.695 hectáreas. En el caso de pretensiones de comunidades negras, 61 de estas áreas se traslapan con 188 títulos mineros en una extensión aproximada de 43.807 hectáreas</w:t>
      </w:r>
      <w:r w:rsidR="008B0809">
        <w:rPr>
          <w:rStyle w:val="FootnoteReference"/>
          <w:color w:val="000000" w:themeColor="text1"/>
        </w:rPr>
        <w:footnoteReference w:id="55"/>
      </w:r>
    </w:p>
    <w:p w:rsidRPr="00DD62BB" w:rsidR="00DD62BB" w:rsidP="00DD62BB" w:rsidRDefault="00DD62BB" w14:paraId="101EDECA" w14:textId="77777777">
      <w:pPr>
        <w:jc w:val="both"/>
        <w:rPr>
          <w:color w:val="000000" w:themeColor="text1"/>
        </w:rPr>
      </w:pPr>
      <w:r w:rsidRPr="00DD62BB">
        <w:rPr>
          <w:color w:val="000000" w:themeColor="text1"/>
        </w:rPr>
        <w:t xml:space="preserve">En materia de solicitudes mineras se estima que 439 solicitudes mineras se traslapan con 70 solicitudes de legalización de resguardo; 195 solicitudes mineras se traslapan con 16 solicitudes de territorios ancestrales; y 131 solicitudes mineras se traslapan con 38 solicitudes de legalización de resguardo colonial. Para el caso de comunidades negras, 175 solicitudes mineras se traslapan con 87 pretensiones territoriales de afrocolombianos.  Lo que motiva que este tema no quede rezagado o al margen y también sea pertinente prever acciones que permitan dar cumplimiento a las decisiones jurisprudenciales que han desarrollado el tema. </w:t>
      </w:r>
    </w:p>
    <w:p w:rsidRPr="00DF56BA" w:rsidR="00DD62BB" w:rsidP="00DF56BA" w:rsidRDefault="00DD62BB" w14:paraId="2FEBAE6B" w14:textId="77777777">
      <w:pPr>
        <w:jc w:val="both"/>
        <w:rPr>
          <w:color w:val="000000" w:themeColor="text1"/>
        </w:rPr>
      </w:pPr>
    </w:p>
    <w:p w:rsidRPr="00BF4D03" w:rsidR="00C443D6" w:rsidRDefault="00BF4D03" w14:paraId="71B7D3EA" w14:textId="628D06B5">
      <w:pPr>
        <w:pStyle w:val="Heading2"/>
        <w:numPr>
          <w:ilvl w:val="0"/>
          <w:numId w:val="9"/>
        </w:numPr>
        <w:ind w:left="993"/>
      </w:pPr>
      <w:bookmarkStart w:name="_Toc210292980" w:id="646"/>
      <w:r>
        <w:t>Alta</w:t>
      </w:r>
      <w:r w:rsidRPr="00BF4D03">
        <w:t xml:space="preserve"> tasa de informalidad y bajo nivel de desarrollo empresarial en las actividades de la pequeña minería.</w:t>
      </w:r>
      <w:bookmarkEnd w:id="646"/>
    </w:p>
    <w:p w:rsidR="00C443D6" w:rsidP="00F13F21" w:rsidRDefault="00C443D6" w14:paraId="34499B37" w14:textId="2E4410D5">
      <w:pPr>
        <w:spacing w:after="0"/>
        <w:rPr>
          <w:lang w:val="es-ES"/>
        </w:rPr>
      </w:pPr>
    </w:p>
    <w:p w:rsidRPr="00E7444A" w:rsidR="0080428B" w:rsidP="0080428B" w:rsidRDefault="0080428B" w14:paraId="50D20AB2" w14:textId="77777777">
      <w:pPr>
        <w:pStyle w:val="Caption"/>
        <w:jc w:val="both"/>
        <w:rPr>
          <w:rFonts w:ascii="Calibri" w:hAnsi="Calibri" w:cs="Calibri"/>
          <w:b w:val="0"/>
          <w:bCs w:val="0"/>
          <w:sz w:val="22"/>
          <w:szCs w:val="22"/>
          <w:lang w:val="es-ES"/>
        </w:rPr>
      </w:pPr>
      <w:bookmarkStart w:name="_Toc136366258" w:id="647"/>
      <w:r w:rsidRPr="00E7444A">
        <w:rPr>
          <w:rFonts w:ascii="Calibri" w:hAnsi="Calibri" w:cs="Calibri"/>
          <w:b w:val="0"/>
          <w:bCs w:val="0"/>
          <w:sz w:val="22"/>
          <w:szCs w:val="22"/>
          <w:lang w:val="es-ES"/>
        </w:rPr>
        <w:t xml:space="preserve">En Colombia se han desplegado múltiples esfuerzos para alcanzar la formalización de la actividad minera, pese a estos, hoy se presentan importantes desafíos que han obstaculizado el pleno éxito de estos procesos; según el Plan Único de Legalización y Formalización Minera- PULFM- versión 2023, los desafíos se enmarcan  en aspectos como: i) Débil confianza en las instituciones, </w:t>
      </w:r>
      <w:proofErr w:type="spellStart"/>
      <w:r w:rsidRPr="00E7444A">
        <w:rPr>
          <w:rFonts w:ascii="Calibri" w:hAnsi="Calibri" w:cs="Calibri"/>
          <w:b w:val="0"/>
          <w:bCs w:val="0"/>
          <w:sz w:val="22"/>
          <w:szCs w:val="22"/>
          <w:lang w:val="es-ES"/>
        </w:rPr>
        <w:t>ii</w:t>
      </w:r>
      <w:proofErr w:type="spellEnd"/>
      <w:r w:rsidRPr="00E7444A">
        <w:rPr>
          <w:rFonts w:ascii="Calibri" w:hAnsi="Calibri" w:cs="Calibri"/>
          <w:b w:val="0"/>
          <w:bCs w:val="0"/>
          <w:sz w:val="22"/>
          <w:szCs w:val="22"/>
          <w:lang w:val="es-ES"/>
        </w:rPr>
        <w:t xml:space="preserve">) Falta de financiamiento, </w:t>
      </w:r>
      <w:proofErr w:type="spellStart"/>
      <w:r w:rsidRPr="00E7444A">
        <w:rPr>
          <w:rFonts w:ascii="Calibri" w:hAnsi="Calibri" w:cs="Calibri"/>
          <w:b w:val="0"/>
          <w:bCs w:val="0"/>
          <w:sz w:val="22"/>
          <w:szCs w:val="22"/>
          <w:lang w:val="es-ES"/>
        </w:rPr>
        <w:t>iii</w:t>
      </w:r>
      <w:proofErr w:type="spellEnd"/>
      <w:r w:rsidRPr="00E7444A">
        <w:rPr>
          <w:rFonts w:ascii="Calibri" w:hAnsi="Calibri" w:cs="Calibri"/>
          <w:b w:val="0"/>
          <w:bCs w:val="0"/>
          <w:sz w:val="22"/>
          <w:szCs w:val="22"/>
          <w:lang w:val="es-ES"/>
        </w:rPr>
        <w:t xml:space="preserve">) Condiciones de los territorios que obstaculizan la formalización, </w:t>
      </w:r>
      <w:proofErr w:type="spellStart"/>
      <w:r w:rsidRPr="00E7444A">
        <w:rPr>
          <w:rFonts w:ascii="Calibri" w:hAnsi="Calibri" w:cs="Calibri"/>
          <w:b w:val="0"/>
          <w:bCs w:val="0"/>
          <w:sz w:val="22"/>
          <w:szCs w:val="22"/>
          <w:lang w:val="es-ES"/>
        </w:rPr>
        <w:t>iv</w:t>
      </w:r>
      <w:proofErr w:type="spellEnd"/>
      <w:r w:rsidRPr="00E7444A">
        <w:rPr>
          <w:rFonts w:ascii="Calibri" w:hAnsi="Calibri" w:cs="Calibri"/>
          <w:b w:val="0"/>
          <w:bCs w:val="0"/>
          <w:sz w:val="22"/>
          <w:szCs w:val="22"/>
          <w:lang w:val="es-ES"/>
        </w:rPr>
        <w:t xml:space="preserve">) Incertidumbre sobre la compatibilidad de la actividad minera con zonas ambientalmente Protegidas, v) Dificultades para acceder a asistencia profesional y técnica para la formalización, vi) Falta de información oficial actualizada para identificar a los mineros susceptibles de formalización, </w:t>
      </w:r>
      <w:proofErr w:type="spellStart"/>
      <w:r w:rsidRPr="00E7444A">
        <w:rPr>
          <w:rFonts w:ascii="Calibri" w:hAnsi="Calibri" w:cs="Calibri"/>
          <w:b w:val="0"/>
          <w:bCs w:val="0"/>
          <w:sz w:val="22"/>
          <w:szCs w:val="22"/>
          <w:lang w:val="es-ES"/>
        </w:rPr>
        <w:t>vii</w:t>
      </w:r>
      <w:proofErr w:type="spellEnd"/>
      <w:r w:rsidRPr="00E7444A">
        <w:rPr>
          <w:rFonts w:ascii="Calibri" w:hAnsi="Calibri" w:cs="Calibri"/>
          <w:b w:val="0"/>
          <w:bCs w:val="0"/>
          <w:sz w:val="22"/>
          <w:szCs w:val="22"/>
          <w:lang w:val="es-ES"/>
        </w:rPr>
        <w:t xml:space="preserve">) Reglamentaciones y adecuaciones de política en curso y </w:t>
      </w:r>
      <w:proofErr w:type="spellStart"/>
      <w:r w:rsidRPr="00E7444A">
        <w:rPr>
          <w:rFonts w:ascii="Calibri" w:hAnsi="Calibri" w:cs="Calibri"/>
          <w:b w:val="0"/>
          <w:bCs w:val="0"/>
          <w:sz w:val="22"/>
          <w:szCs w:val="22"/>
          <w:lang w:val="es-ES"/>
        </w:rPr>
        <w:t>viii</w:t>
      </w:r>
      <w:proofErr w:type="spellEnd"/>
      <w:r w:rsidRPr="00E7444A">
        <w:rPr>
          <w:rFonts w:ascii="Calibri" w:hAnsi="Calibri" w:cs="Calibri"/>
          <w:b w:val="0"/>
          <w:bCs w:val="0"/>
          <w:sz w:val="22"/>
          <w:szCs w:val="22"/>
          <w:lang w:val="es-ES"/>
        </w:rPr>
        <w:t xml:space="preserve">) Desafíos para la identificación de áreas libres para la formalización. </w:t>
      </w:r>
    </w:p>
    <w:p w:rsidRPr="00E7444A" w:rsidR="00AE48C1" w:rsidP="0080428B" w:rsidRDefault="0080428B" w14:paraId="28841946" w14:textId="77777777">
      <w:pPr>
        <w:pStyle w:val="Caption"/>
        <w:jc w:val="both"/>
        <w:rPr>
          <w:rFonts w:ascii="Calibri" w:hAnsi="Calibri" w:cs="Calibri"/>
          <w:b w:val="0"/>
          <w:bCs w:val="0"/>
          <w:sz w:val="22"/>
          <w:szCs w:val="22"/>
          <w:lang w:val="es-ES"/>
        </w:rPr>
      </w:pPr>
      <w:r w:rsidRPr="00E7444A">
        <w:rPr>
          <w:rFonts w:ascii="Calibri" w:hAnsi="Calibri" w:cs="Calibri"/>
          <w:b w:val="0"/>
          <w:bCs w:val="0"/>
          <w:sz w:val="22"/>
          <w:szCs w:val="22"/>
          <w:lang w:val="es-ES"/>
        </w:rPr>
        <w:t>Así mismo, en el PULF</w:t>
      </w:r>
      <w:r w:rsidRPr="00E7444A" w:rsidR="00AE48C1">
        <w:rPr>
          <w:rFonts w:ascii="Calibri" w:hAnsi="Calibri" w:cs="Calibri"/>
          <w:b w:val="0"/>
          <w:bCs w:val="0"/>
          <w:sz w:val="22"/>
          <w:szCs w:val="22"/>
          <w:lang w:val="es-ES"/>
        </w:rPr>
        <w:t>M</w:t>
      </w:r>
      <w:r w:rsidRPr="00E7444A">
        <w:rPr>
          <w:rFonts w:ascii="Calibri" w:hAnsi="Calibri" w:cs="Calibri"/>
          <w:b w:val="0"/>
          <w:bCs w:val="0"/>
          <w:sz w:val="22"/>
          <w:szCs w:val="22"/>
          <w:lang w:val="es-ES"/>
        </w:rPr>
        <w:t xml:space="preserve"> se logró identificar en cuanto a brechas, que el obstáculo con mayor frecuencia en el territorio nacional radica en la categoría institucional, en la cual se identificaron desafíos relacionados con la poca credibilidad en la eficiencia de los mecanismos de formalización, demoras en respuesta a las solicitudes tanto de trámites mineros como ambientales, procesos de liberación de áreas lentos, ineficiencia en los trámites de notificación, entre otros; y, el segundo se relaciona con aspectos financieros. En contraste, los obstáculos que representan una menor incidencia en el proceso obedecen a los aspectos técnicos</w:t>
      </w:r>
      <w:r w:rsidRPr="00E7444A" w:rsidR="00AE48C1">
        <w:rPr>
          <w:rFonts w:ascii="Calibri" w:hAnsi="Calibri" w:cs="Calibri"/>
          <w:b w:val="0"/>
          <w:bCs w:val="0"/>
          <w:sz w:val="22"/>
          <w:szCs w:val="22"/>
          <w:lang w:val="es-ES"/>
        </w:rPr>
        <w:t xml:space="preserve"> y </w:t>
      </w:r>
      <w:r w:rsidRPr="00E7444A">
        <w:rPr>
          <w:rFonts w:ascii="Calibri" w:hAnsi="Calibri" w:cs="Calibri"/>
          <w:b w:val="0"/>
          <w:bCs w:val="0"/>
          <w:sz w:val="22"/>
          <w:szCs w:val="22"/>
          <w:lang w:val="es-ES"/>
        </w:rPr>
        <w:t>los legales</w:t>
      </w:r>
      <w:r w:rsidRPr="00E7444A" w:rsidR="00AE48C1">
        <w:rPr>
          <w:rFonts w:ascii="Calibri" w:hAnsi="Calibri" w:cs="Calibri"/>
          <w:b w:val="0"/>
          <w:bCs w:val="0"/>
          <w:sz w:val="22"/>
          <w:szCs w:val="22"/>
          <w:lang w:val="es-ES"/>
        </w:rPr>
        <w:t>.</w:t>
      </w:r>
    </w:p>
    <w:p w:rsidR="0080428B" w:rsidP="0080428B" w:rsidRDefault="0080428B" w14:paraId="6C96D306" w14:textId="28DC5A62">
      <w:pPr>
        <w:pStyle w:val="Caption"/>
        <w:jc w:val="both"/>
        <w:rPr>
          <w:rFonts w:ascii="Calibri" w:hAnsi="Calibri" w:cs="Calibri"/>
          <w:b w:val="0"/>
          <w:bCs w:val="0"/>
          <w:sz w:val="22"/>
          <w:szCs w:val="22"/>
          <w:lang w:val="es-ES"/>
        </w:rPr>
      </w:pPr>
      <w:r w:rsidRPr="00E7444A">
        <w:rPr>
          <w:rFonts w:ascii="Calibri" w:hAnsi="Calibri" w:cs="Calibri"/>
          <w:b w:val="0"/>
          <w:bCs w:val="0"/>
          <w:sz w:val="22"/>
          <w:szCs w:val="22"/>
          <w:lang w:val="es-ES"/>
        </w:rPr>
        <w:t>A continuación, se muestran los diferentes procesos vigentes que han permitido a los mineros con vocación a la formalización, contar con trámite ante la Autoridad Minera:</w:t>
      </w:r>
    </w:p>
    <w:p w:rsidRPr="003165EE" w:rsidR="00AE48C1" w:rsidP="00012130" w:rsidRDefault="00012130" w14:paraId="50A65271" w14:textId="7AC87D17">
      <w:pPr>
        <w:pStyle w:val="Caption"/>
        <w:rPr>
          <w:rFonts w:ascii="Work Sans" w:hAnsi="Work Sans"/>
          <w:b w:val="0"/>
          <w:i/>
        </w:rPr>
      </w:pPr>
      <w:bookmarkStart w:name="_Toc209191831" w:id="648"/>
      <w:r>
        <w:t xml:space="preserve">Tabla </w:t>
      </w:r>
      <w:r>
        <w:fldChar w:fldCharType="begin"/>
      </w:r>
      <w:r>
        <w:instrText>SEQ Tabla \* ARABIC</w:instrText>
      </w:r>
      <w:r>
        <w:fldChar w:fldCharType="separate"/>
      </w:r>
      <w:r w:rsidR="00DD6760">
        <w:rPr>
          <w:noProof/>
        </w:rPr>
        <w:t>2</w:t>
      </w:r>
      <w:r>
        <w:fldChar w:fldCharType="end"/>
      </w:r>
      <w:r>
        <w:t xml:space="preserve">. </w:t>
      </w:r>
      <w:r w:rsidRPr="00F97F9F">
        <w:t>Mecanismos de formalización activos</w:t>
      </w:r>
      <w:bookmarkEnd w:id="648"/>
    </w:p>
    <w:tbl>
      <w:tblPr>
        <w:tblStyle w:val="TableGrid"/>
        <w:tblW w:w="0" w:type="auto"/>
        <w:tblLook w:val="04A0" w:firstRow="1" w:lastRow="0" w:firstColumn="1" w:lastColumn="0" w:noHBand="0" w:noVBand="1"/>
      </w:tblPr>
      <w:tblGrid>
        <w:gridCol w:w="5240"/>
        <w:gridCol w:w="3254"/>
      </w:tblGrid>
      <w:tr w:rsidRPr="003165EE" w:rsidR="00AE48C1" w:rsidTr="00AB7292" w14:paraId="5B36E45E" w14:textId="77777777">
        <w:tc>
          <w:tcPr>
            <w:tcW w:w="5240" w:type="dxa"/>
          </w:tcPr>
          <w:p w:rsidRPr="003165EE" w:rsidR="00AE48C1" w:rsidP="00AB7292" w:rsidRDefault="00AE48C1" w14:paraId="17B5A720" w14:textId="77777777">
            <w:pPr>
              <w:jc w:val="center"/>
              <w:rPr>
                <w:rFonts w:ascii="Work Sans" w:hAnsi="Work Sans"/>
                <w:b/>
                <w:bCs/>
              </w:rPr>
            </w:pPr>
            <w:r w:rsidRPr="003165EE">
              <w:rPr>
                <w:rFonts w:ascii="Work Sans" w:hAnsi="Work Sans"/>
                <w:b/>
                <w:bCs/>
              </w:rPr>
              <w:t>Mecanismos de formalización</w:t>
            </w:r>
          </w:p>
        </w:tc>
        <w:tc>
          <w:tcPr>
            <w:tcW w:w="3254" w:type="dxa"/>
          </w:tcPr>
          <w:p w:rsidRPr="003165EE" w:rsidR="00AE48C1" w:rsidP="00AB7292" w:rsidRDefault="00AE48C1" w14:paraId="2ED92395" w14:textId="77777777">
            <w:pPr>
              <w:jc w:val="center"/>
              <w:rPr>
                <w:rFonts w:ascii="Work Sans" w:hAnsi="Work Sans"/>
                <w:b/>
                <w:bCs/>
              </w:rPr>
            </w:pPr>
            <w:r w:rsidRPr="003165EE">
              <w:rPr>
                <w:rFonts w:ascii="Work Sans" w:hAnsi="Work Sans"/>
                <w:b/>
                <w:bCs/>
              </w:rPr>
              <w:t>No. De procesos en el país</w:t>
            </w:r>
          </w:p>
        </w:tc>
      </w:tr>
      <w:tr w:rsidRPr="003165EE" w:rsidR="00AE48C1" w:rsidTr="00AB7292" w14:paraId="3F26F2D2" w14:textId="77777777">
        <w:tc>
          <w:tcPr>
            <w:tcW w:w="5240" w:type="dxa"/>
          </w:tcPr>
          <w:p w:rsidRPr="003165EE" w:rsidR="00AE48C1" w:rsidP="00AB7292" w:rsidRDefault="00AE48C1" w14:paraId="63E3D0CC" w14:textId="77777777">
            <w:pPr>
              <w:rPr>
                <w:rFonts w:ascii="Work Sans" w:hAnsi="Work Sans"/>
              </w:rPr>
            </w:pPr>
            <w:r w:rsidRPr="003165EE">
              <w:rPr>
                <w:rFonts w:ascii="Work Sans" w:hAnsi="Work Sans"/>
              </w:rPr>
              <w:t xml:space="preserve">Áreas de Reserva Especial- ARE declaradas </w:t>
            </w:r>
          </w:p>
        </w:tc>
        <w:tc>
          <w:tcPr>
            <w:tcW w:w="3254" w:type="dxa"/>
          </w:tcPr>
          <w:p w:rsidRPr="003165EE" w:rsidR="00AE48C1" w:rsidP="00AB7292" w:rsidRDefault="00AE48C1" w14:paraId="35CE1C78" w14:textId="77777777">
            <w:pPr>
              <w:jc w:val="center"/>
              <w:rPr>
                <w:rFonts w:ascii="Work Sans" w:hAnsi="Work Sans"/>
              </w:rPr>
            </w:pPr>
            <w:r w:rsidRPr="003165EE">
              <w:rPr>
                <w:rFonts w:ascii="Work Sans" w:hAnsi="Work Sans"/>
              </w:rPr>
              <w:t>82</w:t>
            </w:r>
          </w:p>
        </w:tc>
      </w:tr>
      <w:tr w:rsidRPr="003165EE" w:rsidR="00AE48C1" w:rsidTr="00AB7292" w14:paraId="6A6AE33A" w14:textId="77777777">
        <w:tc>
          <w:tcPr>
            <w:tcW w:w="5240" w:type="dxa"/>
          </w:tcPr>
          <w:p w:rsidRPr="003165EE" w:rsidR="00AE48C1" w:rsidP="00AB7292" w:rsidRDefault="00AE48C1" w14:paraId="543E4A37" w14:textId="77777777">
            <w:pPr>
              <w:rPr>
                <w:rFonts w:ascii="Work Sans" w:hAnsi="Work Sans"/>
              </w:rPr>
            </w:pPr>
            <w:r w:rsidRPr="003165EE">
              <w:rPr>
                <w:rFonts w:ascii="Work Sans" w:hAnsi="Work Sans"/>
              </w:rPr>
              <w:t>Subcontratos de formalización minera</w:t>
            </w:r>
          </w:p>
        </w:tc>
        <w:tc>
          <w:tcPr>
            <w:tcW w:w="3254" w:type="dxa"/>
          </w:tcPr>
          <w:p w:rsidRPr="003165EE" w:rsidR="00AE48C1" w:rsidP="00AB7292" w:rsidRDefault="00AE48C1" w14:paraId="74B1F758" w14:textId="77777777">
            <w:pPr>
              <w:jc w:val="center"/>
              <w:rPr>
                <w:rFonts w:ascii="Work Sans" w:hAnsi="Work Sans"/>
              </w:rPr>
            </w:pPr>
            <w:r w:rsidRPr="003165EE">
              <w:rPr>
                <w:rFonts w:ascii="Work Sans" w:hAnsi="Work Sans"/>
              </w:rPr>
              <w:t>314</w:t>
            </w:r>
          </w:p>
        </w:tc>
      </w:tr>
      <w:tr w:rsidRPr="003165EE" w:rsidR="00AE48C1" w:rsidTr="00AB7292" w14:paraId="67EF67DB" w14:textId="77777777">
        <w:tc>
          <w:tcPr>
            <w:tcW w:w="5240" w:type="dxa"/>
          </w:tcPr>
          <w:p w:rsidRPr="003165EE" w:rsidR="00AE48C1" w:rsidP="00AB7292" w:rsidRDefault="00AE48C1" w14:paraId="219C1671" w14:textId="77777777">
            <w:pPr>
              <w:rPr>
                <w:rFonts w:ascii="Work Sans" w:hAnsi="Work Sans"/>
              </w:rPr>
            </w:pPr>
            <w:r w:rsidRPr="003165EE">
              <w:rPr>
                <w:rFonts w:ascii="Work Sans" w:hAnsi="Work Sans"/>
              </w:rPr>
              <w:t xml:space="preserve">Contratos especiales de concesión </w:t>
            </w:r>
          </w:p>
        </w:tc>
        <w:tc>
          <w:tcPr>
            <w:tcW w:w="3254" w:type="dxa"/>
          </w:tcPr>
          <w:p w:rsidRPr="003165EE" w:rsidR="00AE48C1" w:rsidP="00AB7292" w:rsidRDefault="00AE48C1" w14:paraId="7C15B5E1" w14:textId="77777777">
            <w:pPr>
              <w:jc w:val="center"/>
              <w:rPr>
                <w:rFonts w:ascii="Work Sans" w:hAnsi="Work Sans"/>
              </w:rPr>
            </w:pPr>
            <w:r w:rsidRPr="003165EE">
              <w:rPr>
                <w:rFonts w:ascii="Work Sans" w:hAnsi="Work Sans"/>
              </w:rPr>
              <w:t>51</w:t>
            </w:r>
          </w:p>
        </w:tc>
      </w:tr>
      <w:tr w:rsidRPr="003165EE" w:rsidR="00AE48C1" w:rsidTr="00AB7292" w14:paraId="6D48DBF7" w14:textId="77777777">
        <w:tc>
          <w:tcPr>
            <w:tcW w:w="5240" w:type="dxa"/>
          </w:tcPr>
          <w:p w:rsidRPr="003165EE" w:rsidR="00AE48C1" w:rsidP="00AB7292" w:rsidRDefault="00AE48C1" w14:paraId="667024C8" w14:textId="77777777">
            <w:pPr>
              <w:rPr>
                <w:rFonts w:ascii="Work Sans" w:hAnsi="Work Sans"/>
              </w:rPr>
            </w:pPr>
            <w:r w:rsidRPr="003165EE">
              <w:rPr>
                <w:rFonts w:ascii="Work Sans" w:hAnsi="Work Sans"/>
              </w:rPr>
              <w:t>Contratos de concesión con requisitos diferenciales</w:t>
            </w:r>
          </w:p>
        </w:tc>
        <w:tc>
          <w:tcPr>
            <w:tcW w:w="3254" w:type="dxa"/>
          </w:tcPr>
          <w:p w:rsidRPr="003165EE" w:rsidR="00AE48C1" w:rsidP="00AB7292" w:rsidRDefault="00AE48C1" w14:paraId="773FFFE5" w14:textId="77777777">
            <w:pPr>
              <w:jc w:val="center"/>
              <w:rPr>
                <w:rFonts w:ascii="Work Sans" w:hAnsi="Work Sans"/>
              </w:rPr>
            </w:pPr>
            <w:r w:rsidRPr="003165EE">
              <w:rPr>
                <w:rFonts w:ascii="Work Sans" w:hAnsi="Work Sans"/>
              </w:rPr>
              <w:t>42</w:t>
            </w:r>
          </w:p>
        </w:tc>
      </w:tr>
      <w:tr w:rsidRPr="003165EE" w:rsidR="00AE48C1" w:rsidTr="00AB7292" w14:paraId="5DE3113B" w14:textId="77777777">
        <w:tc>
          <w:tcPr>
            <w:tcW w:w="5240" w:type="dxa"/>
          </w:tcPr>
          <w:p w:rsidRPr="003165EE" w:rsidR="00AE48C1" w:rsidP="00AB7292" w:rsidRDefault="00AE48C1" w14:paraId="1F2B829A" w14:textId="77777777">
            <w:pPr>
              <w:rPr>
                <w:rFonts w:ascii="Work Sans" w:hAnsi="Work Sans"/>
              </w:rPr>
            </w:pPr>
            <w:r w:rsidRPr="003165EE">
              <w:rPr>
                <w:rFonts w:ascii="Work Sans" w:hAnsi="Work Sans"/>
              </w:rPr>
              <w:t>Total</w:t>
            </w:r>
          </w:p>
        </w:tc>
        <w:tc>
          <w:tcPr>
            <w:tcW w:w="3254" w:type="dxa"/>
          </w:tcPr>
          <w:p w:rsidRPr="003165EE" w:rsidR="00AE48C1" w:rsidP="00AB7292" w:rsidRDefault="00AE48C1" w14:paraId="633E08C3" w14:textId="77777777">
            <w:pPr>
              <w:jc w:val="center"/>
              <w:rPr>
                <w:rFonts w:ascii="Work Sans" w:hAnsi="Work Sans"/>
              </w:rPr>
            </w:pPr>
            <w:r w:rsidRPr="003165EE">
              <w:rPr>
                <w:rFonts w:ascii="Work Sans" w:hAnsi="Work Sans"/>
              </w:rPr>
              <w:t>489</w:t>
            </w:r>
          </w:p>
        </w:tc>
      </w:tr>
    </w:tbl>
    <w:p w:rsidRPr="003165EE" w:rsidR="00AE48C1" w:rsidP="00AE48C1" w:rsidRDefault="00AE48C1" w14:paraId="6B18EFF4" w14:textId="77777777">
      <w:pPr>
        <w:spacing w:after="0" w:line="240" w:lineRule="auto"/>
        <w:jc w:val="center"/>
        <w:rPr>
          <w:rFonts w:ascii="Work Sans" w:hAnsi="Work Sans"/>
          <w:b/>
          <w:sz w:val="20"/>
          <w:szCs w:val="20"/>
        </w:rPr>
      </w:pPr>
      <w:r w:rsidRPr="003165EE">
        <w:rPr>
          <w:rFonts w:ascii="Work Sans" w:hAnsi="Work Sans" w:eastAsia="Calibri" w:cs="Arial"/>
          <w:bCs/>
          <w:iCs/>
          <w:sz w:val="20"/>
          <w:szCs w:val="20"/>
        </w:rPr>
        <w:t xml:space="preserve">Fuente: Datos sustraídos de </w:t>
      </w:r>
      <w:proofErr w:type="spellStart"/>
      <w:r w:rsidRPr="003165EE">
        <w:rPr>
          <w:rFonts w:ascii="Work Sans" w:hAnsi="Work Sans" w:eastAsia="Calibri" w:cs="Arial"/>
          <w:bCs/>
          <w:iCs/>
          <w:sz w:val="20"/>
          <w:szCs w:val="20"/>
        </w:rPr>
        <w:t>AnnA</w:t>
      </w:r>
      <w:proofErr w:type="spellEnd"/>
      <w:r w:rsidRPr="003165EE">
        <w:rPr>
          <w:rFonts w:ascii="Work Sans" w:hAnsi="Work Sans" w:eastAsia="Calibri" w:cs="Arial"/>
          <w:bCs/>
          <w:iCs/>
          <w:sz w:val="20"/>
          <w:szCs w:val="20"/>
        </w:rPr>
        <w:t xml:space="preserve"> Minería de ANM, corte: 22 agosto 2025</w:t>
      </w:r>
    </w:p>
    <w:p w:rsidRPr="00AE48C1" w:rsidR="00AE48C1" w:rsidP="00AE48C1" w:rsidRDefault="00AE48C1" w14:paraId="456F0F2F" w14:textId="77777777"/>
    <w:p w:rsidRPr="009144FC" w:rsidR="00AE48C1" w:rsidP="00012130" w:rsidRDefault="00012130" w14:paraId="6B7701A7" w14:textId="5667AA93">
      <w:pPr>
        <w:pStyle w:val="Caption"/>
        <w:rPr>
          <w:rFonts w:ascii="Work Sans" w:hAnsi="Work Sans"/>
          <w:i/>
          <w:iCs/>
        </w:rPr>
      </w:pPr>
      <w:bookmarkStart w:name="_Toc209191832" w:id="649"/>
      <w:r>
        <w:t xml:space="preserve">Tabla </w:t>
      </w:r>
      <w:r>
        <w:fldChar w:fldCharType="begin"/>
      </w:r>
      <w:r>
        <w:instrText>SEQ Tabla \* ARABIC</w:instrText>
      </w:r>
      <w:r>
        <w:fldChar w:fldCharType="separate"/>
      </w:r>
      <w:r w:rsidR="00DD6760">
        <w:rPr>
          <w:noProof/>
        </w:rPr>
        <w:t>3</w:t>
      </w:r>
      <w:r>
        <w:fldChar w:fldCharType="end"/>
      </w:r>
      <w:r>
        <w:t xml:space="preserve">. </w:t>
      </w:r>
      <w:r w:rsidRPr="009E1A80">
        <w:t>Mecanismos de formalización en evaluación</w:t>
      </w:r>
      <w:bookmarkEnd w:id="649"/>
    </w:p>
    <w:tbl>
      <w:tblPr>
        <w:tblStyle w:val="TableGrid"/>
        <w:tblW w:w="0" w:type="auto"/>
        <w:tblLook w:val="04A0" w:firstRow="1" w:lastRow="0" w:firstColumn="1" w:lastColumn="0" w:noHBand="0" w:noVBand="1"/>
      </w:tblPr>
      <w:tblGrid>
        <w:gridCol w:w="5665"/>
        <w:gridCol w:w="2829"/>
      </w:tblGrid>
      <w:tr w:rsidRPr="002103BB" w:rsidR="00AE48C1" w:rsidTr="00AB7292" w14:paraId="20B0D4AB" w14:textId="77777777">
        <w:tc>
          <w:tcPr>
            <w:tcW w:w="5665" w:type="dxa"/>
          </w:tcPr>
          <w:p w:rsidRPr="002103BB" w:rsidR="00AE48C1" w:rsidP="00AB7292" w:rsidRDefault="00AE48C1" w14:paraId="4F874EBD" w14:textId="77777777">
            <w:pPr>
              <w:jc w:val="center"/>
              <w:rPr>
                <w:rFonts w:ascii="Work Sans" w:hAnsi="Work Sans"/>
                <w:b/>
                <w:bCs/>
                <w:sz w:val="20"/>
                <w:szCs w:val="20"/>
              </w:rPr>
            </w:pPr>
            <w:r w:rsidRPr="002103BB">
              <w:rPr>
                <w:rFonts w:ascii="Work Sans" w:hAnsi="Work Sans"/>
                <w:b/>
                <w:bCs/>
                <w:sz w:val="20"/>
                <w:szCs w:val="20"/>
              </w:rPr>
              <w:t>Mecanismos de formalización</w:t>
            </w:r>
          </w:p>
        </w:tc>
        <w:tc>
          <w:tcPr>
            <w:tcW w:w="2829" w:type="dxa"/>
          </w:tcPr>
          <w:p w:rsidRPr="002103BB" w:rsidR="00AE48C1" w:rsidP="00AB7292" w:rsidRDefault="00AE48C1" w14:paraId="14E4983B" w14:textId="77777777">
            <w:pPr>
              <w:jc w:val="center"/>
              <w:rPr>
                <w:rFonts w:ascii="Work Sans" w:hAnsi="Work Sans"/>
                <w:b/>
                <w:bCs/>
                <w:sz w:val="20"/>
                <w:szCs w:val="20"/>
              </w:rPr>
            </w:pPr>
            <w:r w:rsidRPr="002103BB">
              <w:rPr>
                <w:rFonts w:ascii="Work Sans" w:hAnsi="Work Sans"/>
                <w:b/>
                <w:bCs/>
                <w:sz w:val="20"/>
                <w:szCs w:val="20"/>
              </w:rPr>
              <w:t>No. De procesos en el país</w:t>
            </w:r>
          </w:p>
        </w:tc>
      </w:tr>
      <w:tr w:rsidRPr="002103BB" w:rsidR="00AE48C1" w:rsidTr="00AB7292" w14:paraId="31985235" w14:textId="77777777">
        <w:tc>
          <w:tcPr>
            <w:tcW w:w="5665" w:type="dxa"/>
          </w:tcPr>
          <w:p w:rsidRPr="002103BB" w:rsidR="00AE48C1" w:rsidP="00AB7292" w:rsidRDefault="00AE48C1" w14:paraId="3ADB77AB" w14:textId="77777777">
            <w:pPr>
              <w:rPr>
                <w:rFonts w:ascii="Work Sans" w:hAnsi="Work Sans"/>
                <w:sz w:val="20"/>
                <w:szCs w:val="20"/>
              </w:rPr>
            </w:pPr>
            <w:r w:rsidRPr="002103BB">
              <w:rPr>
                <w:rFonts w:ascii="Work Sans" w:hAnsi="Work Sans"/>
                <w:sz w:val="20"/>
                <w:szCs w:val="20"/>
              </w:rPr>
              <w:t xml:space="preserve">Áreas de Reserva Especial- ARE en evaluación </w:t>
            </w:r>
          </w:p>
        </w:tc>
        <w:tc>
          <w:tcPr>
            <w:tcW w:w="2829" w:type="dxa"/>
          </w:tcPr>
          <w:p w:rsidRPr="002103BB" w:rsidR="00AE48C1" w:rsidP="00AB7292" w:rsidRDefault="00AE48C1" w14:paraId="108AA2E8" w14:textId="77777777">
            <w:pPr>
              <w:jc w:val="center"/>
              <w:rPr>
                <w:rFonts w:ascii="Work Sans" w:hAnsi="Work Sans"/>
                <w:sz w:val="20"/>
                <w:szCs w:val="20"/>
              </w:rPr>
            </w:pPr>
            <w:r w:rsidRPr="002103BB">
              <w:rPr>
                <w:rFonts w:ascii="Work Sans" w:hAnsi="Work Sans"/>
                <w:sz w:val="20"/>
                <w:szCs w:val="20"/>
              </w:rPr>
              <w:t>1479</w:t>
            </w:r>
          </w:p>
        </w:tc>
      </w:tr>
      <w:tr w:rsidRPr="002103BB" w:rsidR="00AE48C1" w:rsidTr="00AB7292" w14:paraId="5CB6459B" w14:textId="77777777">
        <w:tc>
          <w:tcPr>
            <w:tcW w:w="5665" w:type="dxa"/>
          </w:tcPr>
          <w:p w:rsidRPr="002103BB" w:rsidR="00AE48C1" w:rsidP="00AB7292" w:rsidRDefault="00AE48C1" w14:paraId="3B96905F" w14:textId="77777777">
            <w:pPr>
              <w:rPr>
                <w:rFonts w:ascii="Work Sans" w:hAnsi="Work Sans"/>
                <w:sz w:val="20"/>
                <w:szCs w:val="20"/>
              </w:rPr>
            </w:pPr>
            <w:r w:rsidRPr="002103BB">
              <w:rPr>
                <w:rFonts w:ascii="Work Sans" w:hAnsi="Work Sans"/>
                <w:sz w:val="20"/>
                <w:szCs w:val="20"/>
              </w:rPr>
              <w:t xml:space="preserve">Propuesta de contrato de concesión con requisitos diferenciales en evaluación </w:t>
            </w:r>
          </w:p>
        </w:tc>
        <w:tc>
          <w:tcPr>
            <w:tcW w:w="2829" w:type="dxa"/>
          </w:tcPr>
          <w:p w:rsidRPr="002103BB" w:rsidR="00AE48C1" w:rsidP="00AB7292" w:rsidRDefault="00AE48C1" w14:paraId="1A2D738A" w14:textId="77777777">
            <w:pPr>
              <w:jc w:val="center"/>
              <w:rPr>
                <w:rFonts w:ascii="Work Sans" w:hAnsi="Work Sans"/>
                <w:sz w:val="20"/>
                <w:szCs w:val="20"/>
              </w:rPr>
            </w:pPr>
            <w:r w:rsidRPr="002103BB">
              <w:rPr>
                <w:rFonts w:ascii="Work Sans" w:hAnsi="Work Sans"/>
                <w:sz w:val="20"/>
                <w:szCs w:val="20"/>
              </w:rPr>
              <w:t>460</w:t>
            </w:r>
          </w:p>
        </w:tc>
      </w:tr>
      <w:tr w:rsidRPr="002103BB" w:rsidR="00AE48C1" w:rsidTr="00AB7292" w14:paraId="3A67251E" w14:textId="77777777">
        <w:tc>
          <w:tcPr>
            <w:tcW w:w="5665" w:type="dxa"/>
          </w:tcPr>
          <w:p w:rsidRPr="002103BB" w:rsidR="00AE48C1" w:rsidP="00AB7292" w:rsidRDefault="00AE48C1" w14:paraId="5799284B" w14:textId="77777777">
            <w:pPr>
              <w:rPr>
                <w:rFonts w:ascii="Work Sans" w:hAnsi="Work Sans"/>
                <w:sz w:val="20"/>
                <w:szCs w:val="20"/>
              </w:rPr>
            </w:pPr>
            <w:r w:rsidRPr="002103BB">
              <w:rPr>
                <w:rFonts w:ascii="Work Sans" w:hAnsi="Work Sans"/>
                <w:sz w:val="20"/>
                <w:szCs w:val="20"/>
              </w:rPr>
              <w:t>Contrato de concesión minera especial- Comunidades negras</w:t>
            </w:r>
          </w:p>
        </w:tc>
        <w:tc>
          <w:tcPr>
            <w:tcW w:w="2829" w:type="dxa"/>
          </w:tcPr>
          <w:p w:rsidRPr="002103BB" w:rsidR="00AE48C1" w:rsidP="00AB7292" w:rsidRDefault="00AE48C1" w14:paraId="29ABAF0C" w14:textId="77777777">
            <w:pPr>
              <w:jc w:val="center"/>
              <w:rPr>
                <w:rFonts w:ascii="Work Sans" w:hAnsi="Work Sans"/>
                <w:sz w:val="20"/>
                <w:szCs w:val="20"/>
              </w:rPr>
            </w:pPr>
            <w:r w:rsidRPr="002103BB">
              <w:rPr>
                <w:rFonts w:ascii="Work Sans" w:hAnsi="Work Sans"/>
                <w:sz w:val="20"/>
                <w:szCs w:val="20"/>
              </w:rPr>
              <w:t>43</w:t>
            </w:r>
          </w:p>
        </w:tc>
      </w:tr>
      <w:tr w:rsidRPr="002103BB" w:rsidR="00AE48C1" w:rsidTr="00AB7292" w14:paraId="34063B42" w14:textId="77777777">
        <w:tc>
          <w:tcPr>
            <w:tcW w:w="5665" w:type="dxa"/>
          </w:tcPr>
          <w:p w:rsidRPr="002103BB" w:rsidR="00AE48C1" w:rsidP="00AB7292" w:rsidRDefault="00AE48C1" w14:paraId="2207CDDC" w14:textId="77777777">
            <w:pPr>
              <w:rPr>
                <w:rFonts w:ascii="Work Sans" w:hAnsi="Work Sans"/>
                <w:sz w:val="20"/>
                <w:szCs w:val="20"/>
              </w:rPr>
            </w:pPr>
            <w:r w:rsidRPr="002103BB">
              <w:rPr>
                <w:rFonts w:ascii="Work Sans" w:hAnsi="Work Sans"/>
                <w:sz w:val="20"/>
                <w:szCs w:val="20"/>
              </w:rPr>
              <w:t xml:space="preserve">Subcontratos de formalización minera en evaluación </w:t>
            </w:r>
          </w:p>
        </w:tc>
        <w:tc>
          <w:tcPr>
            <w:tcW w:w="2829" w:type="dxa"/>
          </w:tcPr>
          <w:p w:rsidRPr="002103BB" w:rsidR="00AE48C1" w:rsidP="00AB7292" w:rsidRDefault="00AE48C1" w14:paraId="20714239" w14:textId="77777777">
            <w:pPr>
              <w:jc w:val="center"/>
              <w:rPr>
                <w:rFonts w:ascii="Work Sans" w:hAnsi="Work Sans"/>
                <w:sz w:val="20"/>
                <w:szCs w:val="20"/>
              </w:rPr>
            </w:pPr>
            <w:r w:rsidRPr="002103BB">
              <w:rPr>
                <w:rFonts w:ascii="Work Sans" w:hAnsi="Work Sans"/>
                <w:sz w:val="20"/>
                <w:szCs w:val="20"/>
              </w:rPr>
              <w:t>28</w:t>
            </w:r>
          </w:p>
        </w:tc>
      </w:tr>
      <w:tr w:rsidRPr="002103BB" w:rsidR="00AE48C1" w:rsidTr="00AB7292" w14:paraId="4026E4FB" w14:textId="77777777">
        <w:tc>
          <w:tcPr>
            <w:tcW w:w="5665" w:type="dxa"/>
          </w:tcPr>
          <w:p w:rsidRPr="002103BB" w:rsidR="00AE48C1" w:rsidP="00AB7292" w:rsidRDefault="00AE48C1" w14:paraId="6E1C0F71" w14:textId="77777777">
            <w:pPr>
              <w:rPr>
                <w:rFonts w:ascii="Work Sans" w:hAnsi="Work Sans"/>
                <w:sz w:val="20"/>
                <w:szCs w:val="20"/>
              </w:rPr>
            </w:pPr>
            <w:r w:rsidRPr="002103BB">
              <w:rPr>
                <w:rFonts w:ascii="Work Sans" w:hAnsi="Work Sans"/>
                <w:sz w:val="20"/>
                <w:szCs w:val="20"/>
              </w:rPr>
              <w:t xml:space="preserve">Solicitudes de legalización minera en evaluación </w:t>
            </w:r>
          </w:p>
        </w:tc>
        <w:tc>
          <w:tcPr>
            <w:tcW w:w="2829" w:type="dxa"/>
          </w:tcPr>
          <w:p w:rsidRPr="002103BB" w:rsidR="00AE48C1" w:rsidP="00AB7292" w:rsidRDefault="00AE48C1" w14:paraId="4589524B" w14:textId="77777777">
            <w:pPr>
              <w:jc w:val="center"/>
              <w:rPr>
                <w:rFonts w:ascii="Work Sans" w:hAnsi="Work Sans"/>
                <w:sz w:val="20"/>
                <w:szCs w:val="20"/>
              </w:rPr>
            </w:pPr>
            <w:r w:rsidRPr="002103BB">
              <w:rPr>
                <w:rFonts w:ascii="Work Sans" w:hAnsi="Work Sans"/>
                <w:sz w:val="20"/>
                <w:szCs w:val="20"/>
              </w:rPr>
              <w:t>324</w:t>
            </w:r>
          </w:p>
        </w:tc>
      </w:tr>
      <w:tr w:rsidRPr="002103BB" w:rsidR="00AE48C1" w:rsidTr="00AB7292" w14:paraId="2F6B1B93" w14:textId="77777777">
        <w:tc>
          <w:tcPr>
            <w:tcW w:w="5665" w:type="dxa"/>
          </w:tcPr>
          <w:p w:rsidRPr="002103BB" w:rsidR="00AE48C1" w:rsidP="00AB7292" w:rsidRDefault="00AE48C1" w14:paraId="2F2B53F1" w14:textId="77777777">
            <w:pPr>
              <w:rPr>
                <w:rFonts w:ascii="Work Sans" w:hAnsi="Work Sans"/>
                <w:sz w:val="20"/>
                <w:szCs w:val="20"/>
              </w:rPr>
            </w:pPr>
            <w:r w:rsidRPr="002103BB">
              <w:rPr>
                <w:rFonts w:ascii="Work Sans" w:hAnsi="Work Sans"/>
                <w:sz w:val="20"/>
                <w:szCs w:val="20"/>
              </w:rPr>
              <w:t>Total</w:t>
            </w:r>
          </w:p>
        </w:tc>
        <w:tc>
          <w:tcPr>
            <w:tcW w:w="2829" w:type="dxa"/>
          </w:tcPr>
          <w:p w:rsidRPr="002103BB" w:rsidR="00AE48C1" w:rsidP="00AB7292" w:rsidRDefault="00AE48C1" w14:paraId="2C400777" w14:textId="77777777">
            <w:pPr>
              <w:jc w:val="center"/>
              <w:rPr>
                <w:rFonts w:ascii="Work Sans" w:hAnsi="Work Sans"/>
                <w:sz w:val="20"/>
                <w:szCs w:val="20"/>
              </w:rPr>
            </w:pPr>
            <w:r w:rsidRPr="002103BB">
              <w:rPr>
                <w:rFonts w:ascii="Work Sans" w:hAnsi="Work Sans"/>
                <w:sz w:val="20"/>
                <w:szCs w:val="20"/>
              </w:rPr>
              <w:t>2334</w:t>
            </w:r>
          </w:p>
        </w:tc>
      </w:tr>
    </w:tbl>
    <w:p w:rsidRPr="002103BB" w:rsidR="00AE48C1" w:rsidP="00AE48C1" w:rsidRDefault="00AE48C1" w14:paraId="3B0DAAD9" w14:textId="77777777">
      <w:pPr>
        <w:spacing w:after="0" w:line="240" w:lineRule="auto"/>
        <w:jc w:val="center"/>
        <w:rPr>
          <w:rFonts w:ascii="Work Sans" w:hAnsi="Work Sans"/>
          <w:b/>
          <w:sz w:val="20"/>
          <w:szCs w:val="20"/>
        </w:rPr>
      </w:pPr>
      <w:r w:rsidRPr="002103BB">
        <w:rPr>
          <w:rFonts w:ascii="Work Sans" w:hAnsi="Work Sans" w:eastAsia="Calibri" w:cs="Arial"/>
          <w:bCs/>
          <w:iCs/>
          <w:sz w:val="20"/>
          <w:szCs w:val="20"/>
        </w:rPr>
        <w:t xml:space="preserve">Fuente: Datos sustraídos de </w:t>
      </w:r>
      <w:proofErr w:type="spellStart"/>
      <w:r w:rsidRPr="002103BB">
        <w:rPr>
          <w:rFonts w:ascii="Work Sans" w:hAnsi="Work Sans" w:eastAsia="Calibri" w:cs="Arial"/>
          <w:bCs/>
          <w:iCs/>
          <w:sz w:val="20"/>
          <w:szCs w:val="20"/>
        </w:rPr>
        <w:t>AnnA</w:t>
      </w:r>
      <w:proofErr w:type="spellEnd"/>
      <w:r w:rsidRPr="002103BB">
        <w:rPr>
          <w:rFonts w:ascii="Work Sans" w:hAnsi="Work Sans" w:eastAsia="Calibri" w:cs="Arial"/>
          <w:bCs/>
          <w:iCs/>
          <w:sz w:val="20"/>
          <w:szCs w:val="20"/>
        </w:rPr>
        <w:t xml:space="preserve"> Minería de ANM, corte: 22 agosto 2025</w:t>
      </w:r>
    </w:p>
    <w:p w:rsidR="005C6803" w:rsidP="005C6803" w:rsidRDefault="005C6803" w14:paraId="0345A446" w14:textId="77777777">
      <w:pPr>
        <w:pStyle w:val="Caption"/>
        <w:jc w:val="both"/>
        <w:rPr>
          <w:rFonts w:ascii="Calibri" w:hAnsi="Calibri" w:cs="Calibri"/>
          <w:b w:val="0"/>
          <w:bCs w:val="0"/>
          <w:sz w:val="22"/>
          <w:szCs w:val="22"/>
        </w:rPr>
      </w:pPr>
    </w:p>
    <w:p w:rsidR="002C71D6" w:rsidP="005C6803" w:rsidRDefault="002C71D6" w14:paraId="7020D3D3" w14:textId="689EE4DB">
      <w:pPr>
        <w:pStyle w:val="Caption"/>
        <w:jc w:val="both"/>
        <w:rPr>
          <w:rFonts w:ascii="Calibri" w:hAnsi="Calibri" w:cs="Calibri"/>
          <w:b w:val="0"/>
          <w:bCs w:val="0"/>
          <w:sz w:val="22"/>
          <w:szCs w:val="22"/>
        </w:rPr>
      </w:pPr>
      <w:r w:rsidRPr="002C71D6">
        <w:rPr>
          <w:rFonts w:ascii="Calibri" w:hAnsi="Calibri" w:cs="Calibri"/>
          <w:b w:val="0"/>
          <w:bCs w:val="0"/>
          <w:sz w:val="22"/>
          <w:szCs w:val="22"/>
        </w:rPr>
        <w:t>Las cifras revelan que, en los últimos años un número importante de personas que desarrollan actividades mineras alcanzaron la regularización de operaciones mineras, no obstante, un importante número sigue sin alcanzar una plena formalización de sus actividades. Las razones son diferentes, por ejemplo, debido a la ausencia de un trato diferenciado, pues por medio de los requerimientos normales del contrato de concesión, muchos de ellos no podrían alcanzar la formalización; por la falta de articulación efectiva entre las autoridades y otros por la falta de acompañamiento a las poblaciones mineras, como efectivamente lo reconoció el artículo 5 de la Ley 2250 de 2022.</w:t>
      </w:r>
    </w:p>
    <w:p w:rsidR="00AE48C1" w:rsidP="005C6803" w:rsidRDefault="449ACBA6" w14:paraId="7526C596" w14:textId="116C5662">
      <w:pPr>
        <w:pStyle w:val="Caption"/>
        <w:jc w:val="both"/>
        <w:rPr>
          <w:rFonts w:ascii="Calibri" w:hAnsi="Calibri" w:cs="Calibri"/>
          <w:b w:val="0"/>
          <w:bCs w:val="0"/>
          <w:sz w:val="22"/>
          <w:szCs w:val="22"/>
        </w:rPr>
      </w:pPr>
      <w:r w:rsidRPr="005C6803" w:rsidR="449ACBA6">
        <w:rPr>
          <w:rFonts w:ascii="Calibri" w:hAnsi="Calibri" w:cs="Calibri"/>
          <w:b w:val="0"/>
          <w:bCs w:val="0"/>
          <w:sz w:val="22"/>
          <w:szCs w:val="22"/>
        </w:rPr>
        <w:t>El marco legal colombiano ha intentado reconocer las prácticas de minería ancestral, tradicional y artesanal, pero lo ha hecho de manera fragmentada y limitada. Desde el Decreto 2655 de 1988 y la Ley 685 de 2001 se plantearon aproximaciones a estas formas de minería, aunque con definiciones restrictivas que no consideran factores culturales ni impactos del conflicto armado. Posteriormente, el Decreto 933 de 2013 definió la minería tradicional,</w:t>
      </w:r>
      <w:r w:rsidR="583BA458">
        <w:rPr>
          <w:rFonts w:ascii="Calibri" w:hAnsi="Calibri" w:cs="Calibri"/>
          <w:b w:val="0"/>
          <w:bCs w:val="0"/>
          <w:sz w:val="22"/>
          <w:szCs w:val="22"/>
        </w:rPr>
        <w:t xml:space="preserve"> y por su parte, la ley 2250 de 2022 también da una definición de minería tradicional</w:t>
      </w:r>
      <w:r w:rsidR="002E0555">
        <w:rPr>
          <w:rStyle w:val="FootnoteReference"/>
          <w:rFonts w:ascii="Calibri" w:hAnsi="Calibri" w:cs="Calibri"/>
          <w:b w:val="0"/>
          <w:bCs w:val="0"/>
          <w:sz w:val="22"/>
          <w:szCs w:val="22"/>
        </w:rPr>
        <w:footnoteReference w:id="56"/>
      </w:r>
      <w:r w:rsidR="583BA458">
        <w:rPr>
          <w:rFonts w:ascii="Calibri" w:hAnsi="Calibri" w:cs="Calibri"/>
          <w:b w:val="0"/>
          <w:bCs w:val="0"/>
          <w:sz w:val="22"/>
          <w:szCs w:val="22"/>
        </w:rPr>
        <w:t xml:space="preserve">, </w:t>
      </w:r>
      <w:r w:rsidRPr="005C6803" w:rsidR="449ACBA6">
        <w:rPr>
          <w:rFonts w:ascii="Calibri" w:hAnsi="Calibri" w:cs="Calibri"/>
          <w:b w:val="0"/>
          <w:bCs w:val="0"/>
          <w:sz w:val="22"/>
          <w:szCs w:val="22"/>
        </w:rPr>
        <w:t>mientras que el Decreto 1666 de 2016 introdujo el concepto de minería de subsistencia, equivalente a la artesanal, aunque sin reconocer plenamente sus dimensiones sociales y culturales.</w:t>
      </w:r>
      <w:r w:rsidR="583BA458">
        <w:rPr>
          <w:rFonts w:ascii="Calibri" w:hAnsi="Calibri" w:cs="Calibri"/>
          <w:b w:val="0"/>
          <w:bCs w:val="0"/>
          <w:sz w:val="22"/>
          <w:szCs w:val="22"/>
        </w:rPr>
        <w:t xml:space="preserve"> </w:t>
      </w:r>
      <w:r w:rsidRPr="005C6803" w:rsidR="449ACBA6">
        <w:rPr>
          <w:rFonts w:ascii="Calibri" w:hAnsi="Calibri" w:cs="Calibri"/>
          <w:b w:val="0"/>
          <w:bCs w:val="0"/>
          <w:sz w:val="22"/>
          <w:szCs w:val="22"/>
        </w:rPr>
        <w:t>El Plan de Gobierno y el PND 2022-2026 buscan reemplazar este término por “minería artesanal”, dignificando saberes y prácticas. No obstante, la minería ancestral solo fue reconocida en el Decreto 1396 de 2023, después de años de desconocimiento que propiciaron estigmatización, criminalización y mayores conflictos, especialmente tras el Decreto 2235 de 2012 que autorizaba la destrucción de maquinaria.</w:t>
      </w:r>
      <w:r w:rsidR="449ACBA6">
        <w:rPr>
          <w:rFonts w:ascii="Calibri" w:hAnsi="Calibri" w:cs="Calibri"/>
          <w:b w:val="0"/>
          <w:bCs w:val="0"/>
          <w:sz w:val="22"/>
          <w:szCs w:val="22"/>
        </w:rPr>
        <w:t xml:space="preserve"> </w:t>
      </w:r>
      <w:r w:rsidRPr="005C6803" w:rsidR="449ACBA6">
        <w:rPr>
          <w:rFonts w:ascii="Calibri" w:hAnsi="Calibri" w:cs="Calibri"/>
          <w:b w:val="0"/>
          <w:bCs w:val="0"/>
          <w:sz w:val="22"/>
          <w:szCs w:val="22"/>
        </w:rPr>
        <w:t xml:space="preserve">En conclusión, aunque existen avances, la ausencia de un marco legal integral </w:t>
      </w:r>
      <w:proofErr w:type="spellStart"/>
      <w:r w:rsidRPr="005C6803" w:rsidR="449ACBA6">
        <w:rPr>
          <w:rFonts w:ascii="Calibri" w:hAnsi="Calibri" w:cs="Calibri"/>
          <w:b w:val="0"/>
          <w:bCs w:val="0"/>
          <w:sz w:val="22"/>
          <w:szCs w:val="22"/>
        </w:rPr>
        <w:t>ha</w:t>
      </w:r>
      <w:proofErr w:type="spellEnd"/>
      <w:r w:rsidRPr="005C6803" w:rsidR="449ACBA6">
        <w:rPr>
          <w:rFonts w:ascii="Calibri" w:hAnsi="Calibri" w:cs="Calibri"/>
          <w:b w:val="0"/>
          <w:bCs w:val="0"/>
          <w:sz w:val="22"/>
          <w:szCs w:val="22"/>
        </w:rPr>
        <w:t xml:space="preserve"> invisibilizado y debilitado la minería ancestral y tradicional, poniendo en riesgo tanto la subsistencia económica como la identidad cultural de las comunidades.</w:t>
      </w:r>
    </w:p>
    <w:p w:rsidR="005C6803" w:rsidP="005C6803" w:rsidRDefault="005C6803" w14:paraId="1948A1DB" w14:textId="24DC6077">
      <w:pPr>
        <w:jc w:val="both"/>
      </w:pPr>
      <w:r>
        <w:t>Por otro lado, se ha identificado que l</w:t>
      </w:r>
      <w:r w:rsidRPr="005C6803">
        <w:t xml:space="preserve">a minería de </w:t>
      </w:r>
      <w:r w:rsidR="002E0555">
        <w:t>artesanal</w:t>
      </w:r>
      <w:r w:rsidRPr="005C6803">
        <w:t xml:space="preserve"> y de pequeña escala se desarrolla en contextos de pobreza multidimensional, baja productividad, limitado acceso a financiamiento y precarias condiciones laborales y de salud</w:t>
      </w:r>
      <w:r w:rsidR="00097986">
        <w:t xml:space="preserve">, lo cual </w:t>
      </w:r>
      <w:r w:rsidRPr="005C6803">
        <w:t>evidencia la necesidad de fortalecer la oferta institucional mediante el fomento a una minería sustentable que mejore la calidad de vida, impulse la transferencia tecnológica, la asociatividad, el desarrollo de competencias y la coordinación con actores estratégicos.</w:t>
      </w:r>
    </w:p>
    <w:p w:rsidR="00E06C1B" w:rsidP="005C6803" w:rsidRDefault="00186183" w14:paraId="21DA6F20" w14:textId="480666EA">
      <w:pPr>
        <w:jc w:val="both"/>
      </w:pPr>
      <w:r>
        <w:t>Adicionalmente, p</w:t>
      </w:r>
      <w:r w:rsidRPr="00E06C1B" w:rsidR="00E06C1B">
        <w:t>ese al acompañamiento y capacitación institucional, la minería de pequeña escala mantiene debilidades en el cumplimiento de obligaciones. Según la ANM, en el indicador Sinergia “Porcentaje del grado de cumplimiento de obligaciones mineras”, en 2022 el cumplimiento fue del 64%. Ese mismo año se registraron 91 multas y 82 títulos caducados por incumplimientos técnicos, de seguridad e higiene, lo que refleja mayores riesgos en la actividad minera.</w:t>
      </w:r>
    </w:p>
    <w:p w:rsidR="00186183" w:rsidP="007D08D3" w:rsidRDefault="1327005C" w14:paraId="0ACEB50B" w14:noSpellErr="1" w14:textId="1EFB4067">
      <w:pPr>
        <w:spacing w:after="0" w:line="240" w:lineRule="auto"/>
        <w:jc w:val="both"/>
        <w:textAlignment w:val="baseline"/>
        <w:rPr>
          <w:rFonts w:eastAsia="Times New Roman"/>
          <w:lang w:eastAsia="es-CO"/>
        </w:rPr>
      </w:pPr>
      <w:r w:rsidRPr="7DF7D6D5" w:rsidR="1327005C">
        <w:rPr>
          <w:rFonts w:eastAsia="Times New Roman"/>
          <w:lang w:eastAsia="es-CO"/>
        </w:rPr>
        <w:t>Otro aspecto para resaltar es el comportamiento de las cifras de accidentalidad en el país</w:t>
      </w:r>
      <w:r w:rsidRPr="3D2173F3">
        <w:rPr>
          <w:rFonts w:eastAsia="Times New Roman"/>
          <w:vertAlign w:val="superscript"/>
          <w:lang w:eastAsia="es-CO"/>
        </w:rPr>
        <w:footnoteReference w:id="12794"/>
      </w:r>
      <w:r w:rsidRPr="7DF7D6D5" w:rsidR="1327005C">
        <w:rPr>
          <w:rFonts w:eastAsia="Times New Roman"/>
          <w:lang w:eastAsia="es-CO"/>
        </w:rPr>
        <w:t>, las cuales dan cuenta de las debilidades del sector para desarrollar prácticas seguras. </w:t>
      </w:r>
      <w:r w:rsidRPr="7DF7D6D5" w:rsidR="1327005C">
        <w:rPr>
          <w:rFonts w:eastAsia="Times New Roman"/>
          <w:lang w:val="es-MX" w:eastAsia="es-CO"/>
        </w:rPr>
        <w:t xml:space="preserve">Los datos históricos de la accidentalidad en el sector minero colombiano nos indican que</w:t>
      </w:r>
      <w:r w:rsidRPr="7DF7D6D5" w:rsidR="0C6A2F99">
        <w:rPr>
          <w:rFonts w:eastAsia="Times New Roman"/>
          <w:lang w:val="es-MX" w:eastAsia="es-CO"/>
        </w:rPr>
        <w:t xml:space="preserve"> “e</w:t>
      </w:r>
      <w:r w:rsidRPr="3D2173F3" w:rsidR="0C6A2F99">
        <w:rPr>
          <w:rFonts w:eastAsia="Times New Roman"/>
          <w:lang w:val="es-MX" w:eastAsia="es-CO"/>
        </w:rPr>
        <w:t>n 2022 se presentaron 146 víctimas mortales en el sector minero, no siempre con las condiciones de seguridad necesarias, en 2021 el registro fue de 148 y 2020 la cifra fue superior, 171 fallecidos en emergencias en minas.</w:t>
      </w:r>
      <w:r w:rsidRPr="7DF7D6D5" w:rsidR="007D08D3">
        <w:rPr>
          <w:rStyle w:val="FootnoteReference"/>
          <w:rFonts w:eastAsia="Times New Roman"/>
          <w:lang w:val="es-MX" w:eastAsia="es-CO"/>
        </w:rPr>
        <w:footnoteReference w:id="57"/>
      </w:r>
      <w:r w:rsidRPr="7DF7D6D5" w:rsidR="1327005C">
        <w:rPr>
          <w:rFonts w:eastAsia="Times New Roman"/>
          <w:lang w:val="es-MX" w:eastAsia="es-CO"/>
        </w:rPr>
        <w:t>.</w:t>
      </w:r>
      <w:r w:rsidRPr="7DF7D6D5" w:rsidR="1327005C">
        <w:rPr>
          <w:rFonts w:eastAsia="Times New Roman"/>
          <w:lang w:eastAsia="es-CO"/>
        </w:rPr>
        <w:t>  </w:t>
      </w:r>
    </w:p>
    <w:p w:rsidR="002C71D6" w:rsidP="007D08D3" w:rsidRDefault="002C71D6" w14:paraId="39D8FC7F" w14:textId="77777777">
      <w:pPr>
        <w:spacing w:after="0" w:line="240" w:lineRule="auto"/>
        <w:jc w:val="both"/>
        <w:textAlignment w:val="baseline"/>
        <w:rPr>
          <w:rFonts w:eastAsia="Times New Roman"/>
          <w:lang w:eastAsia="es-CO"/>
        </w:rPr>
      </w:pPr>
    </w:p>
    <w:p w:rsidRPr="002C71D6" w:rsidR="002C71D6" w:rsidP="002C71D6" w:rsidRDefault="002C71D6" w14:paraId="202A4FF6" w14:textId="77777777">
      <w:pPr>
        <w:jc w:val="both"/>
        <w:textAlignment w:val="baseline"/>
        <w:rPr>
          <w:rFonts w:ascii="Segoe UI" w:hAnsi="Segoe UI" w:eastAsia="Times New Roman" w:cs="Segoe UI"/>
          <w:sz w:val="18"/>
          <w:szCs w:val="18"/>
          <w:lang w:eastAsia="es-CO"/>
        </w:rPr>
      </w:pPr>
      <w:r w:rsidRPr="002C71D6">
        <w:rPr>
          <w:rFonts w:eastAsia="Times New Roman" w:cs="Arial"/>
          <w:lang w:val="es-ES" w:eastAsia="es-CO"/>
        </w:rPr>
        <w:t>En la implementación de procesos de formalización en Colombia se han desplegado múltiples esfuerzos para alcanzar la formalización de la actividad minera, pese a estos, hoy se presentan importantes desafíos que han obstaculizado el pleno éxito de estos procesos, como son:</w:t>
      </w:r>
    </w:p>
    <w:p w:rsidRPr="00E47A8E" w:rsidR="00E47A8E" w:rsidP="001C54B2" w:rsidRDefault="0A81F92F" w14:paraId="43807129" w14:textId="77777777">
      <w:pPr>
        <w:pStyle w:val="ListParagraph"/>
        <w:numPr>
          <w:ilvl w:val="0"/>
          <w:numId w:val="16"/>
        </w:numPr>
        <w:ind w:left="284" w:hanging="284"/>
        <w:jc w:val="both"/>
        <w:textAlignment w:val="baseline"/>
        <w:rPr>
          <w:rFonts w:ascii="Segoe UI" w:hAnsi="Segoe UI" w:eastAsia="Times New Roman" w:cs="Segoe UI"/>
          <w:sz w:val="18"/>
          <w:szCs w:val="18"/>
          <w:lang w:eastAsia="es-CO"/>
        </w:rPr>
      </w:pPr>
      <w:r w:rsidRPr="00E47A8E" w:rsidR="0A81F92F">
        <w:rPr>
          <w:rFonts w:eastAsia="Times New Roman" w:cs="Arial"/>
          <w:lang w:eastAsia="es-CO"/>
        </w:rPr>
        <w:t>La formalización minera exige la articulación de varias instituciones, especialmente autoridades mineras y ambientales. Aunque se han hecho esfuerzos de coordinación, persisten demoras en tiempos de respuesta, requisitos técnicos y financieros, y problemas de notificación, lo que genera desistimientos y dificulta que los mineros logren formalizar sus operaciones.</w:t>
      </w:r>
      <w:r w:rsidRPr="002C71D6" w:rsidR="002C71D6">
        <w:rPr>
          <w:rStyle w:val="FootnoteReference"/>
          <w:rFonts w:eastAsia="Times New Roman" w:cs="Arial"/>
          <w:lang w:val="es-ES" w:eastAsia="es-CO"/>
        </w:rPr>
        <w:footnoteReference w:id="58"/>
      </w:r>
      <w:r w:rsidRPr="002C71D6" w:rsidR="62EA8BC2">
        <w:rPr>
          <w:rFonts w:eastAsia="Times New Roman" w:cs="Arial"/>
          <w:lang w:val="es-ES" w:eastAsia="es-CO"/>
        </w:rPr>
        <w:t>.</w:t>
      </w:r>
      <w:r w:rsidRPr="002C71D6" w:rsidR="62EA8BC2">
        <w:rPr>
          <w:rFonts w:eastAsia="Times New Roman" w:cs="Arial"/>
          <w:lang w:eastAsia="es-CO"/>
        </w:rPr>
        <w:t> </w:t>
      </w:r>
    </w:p>
    <w:p w:rsidRPr="00E47A8E" w:rsidR="00E47A8E" w:rsidP="00E47A8E" w:rsidRDefault="00E47A8E" w14:paraId="044A5BCF" w14:textId="77777777">
      <w:pPr>
        <w:pStyle w:val="ListParagraph"/>
        <w:ind w:left="284"/>
        <w:jc w:val="both"/>
        <w:textAlignment w:val="baseline"/>
        <w:rPr>
          <w:rFonts w:ascii="Segoe UI" w:hAnsi="Segoe UI" w:eastAsia="Times New Roman" w:cs="Segoe UI"/>
          <w:sz w:val="18"/>
          <w:szCs w:val="18"/>
          <w:lang w:eastAsia="es-CO"/>
        </w:rPr>
      </w:pPr>
    </w:p>
    <w:p w:rsidR="00975BA3" w:rsidP="001C54B2" w:rsidRDefault="00E47A8E" w14:paraId="0F413779" w14:textId="77777777">
      <w:pPr>
        <w:pStyle w:val="ListParagraph"/>
        <w:numPr>
          <w:ilvl w:val="0"/>
          <w:numId w:val="16"/>
        </w:numPr>
        <w:ind w:left="284" w:hanging="284"/>
        <w:jc w:val="both"/>
        <w:textAlignment w:val="baseline"/>
        <w:rPr>
          <w:rFonts w:eastAsia="Times New Roman" w:cs="Arial"/>
          <w:lang w:val="es-ES" w:eastAsia="es-CO"/>
        </w:rPr>
      </w:pPr>
      <w:r w:rsidRPr="00975BA3">
        <w:rPr>
          <w:rFonts w:eastAsia="Times New Roman" w:cs="Arial"/>
          <w:lang w:eastAsia="es-CO"/>
        </w:rPr>
        <w:t>La formalización de la minería artesanal y de pequeña escala enfrenta retos por la alta vulnerabilidad de los territorios donde se desarrolla. Limitaciones en el acceso a internet y en el manejo de herramientas digitales dificultan los trámites, mientras que la presencia de actores armados restringe el acceso a las áreas mineras, afectando tanto a los mineros como a las autoridades y complicando la elaboración de estudios técnicos.</w:t>
      </w:r>
      <w:r w:rsidRPr="00975BA3" w:rsidR="002C71D6">
        <w:rPr>
          <w:rFonts w:eastAsia="Times New Roman" w:cs="Arial"/>
          <w:lang w:val="es-ES" w:eastAsia="es-CO"/>
        </w:rPr>
        <w:t xml:space="preserve"> </w:t>
      </w:r>
    </w:p>
    <w:p w:rsidR="00975BA3" w:rsidP="00975BA3" w:rsidRDefault="00975BA3" w14:paraId="3198A5AE" w14:textId="77777777">
      <w:pPr>
        <w:pStyle w:val="ListParagraph"/>
        <w:ind w:left="284"/>
        <w:jc w:val="both"/>
        <w:textAlignment w:val="baseline"/>
        <w:rPr>
          <w:rFonts w:eastAsia="Times New Roman" w:cs="Arial"/>
          <w:lang w:val="es-ES" w:eastAsia="es-CO"/>
        </w:rPr>
      </w:pPr>
    </w:p>
    <w:p w:rsidRPr="00975BA3" w:rsidR="00975BA3" w:rsidP="001C54B2" w:rsidRDefault="00E47A8E" w14:paraId="2409F036" w14:textId="77777777">
      <w:pPr>
        <w:pStyle w:val="ListParagraph"/>
        <w:numPr>
          <w:ilvl w:val="0"/>
          <w:numId w:val="16"/>
        </w:numPr>
        <w:ind w:left="284" w:hanging="284"/>
        <w:jc w:val="both"/>
        <w:textAlignment w:val="baseline"/>
        <w:rPr>
          <w:rFonts w:eastAsia="Times New Roman" w:cs="Arial"/>
          <w:lang w:val="es-ES" w:eastAsia="es-CO"/>
        </w:rPr>
      </w:pPr>
      <w:r w:rsidRPr="00975BA3">
        <w:rPr>
          <w:rFonts w:eastAsia="Times New Roman" w:cs="Arial"/>
          <w:lang w:eastAsia="es-CO"/>
        </w:rPr>
        <w:t>La mayoría de mineros y mineras artesanales y de pequeña escala no cuentan con mecanismos de financiamiento para cubrir los costos de estudios técnicos y documentación exigidos en los trámites de formalización, los cuales son elevados y deben ser asumidos directamente por ellos.</w:t>
      </w:r>
    </w:p>
    <w:p w:rsidRPr="00975BA3" w:rsidR="00975BA3" w:rsidP="00975BA3" w:rsidRDefault="00975BA3" w14:paraId="3D978D08" w14:textId="77777777">
      <w:pPr>
        <w:pStyle w:val="ListParagraph"/>
        <w:ind w:left="284"/>
        <w:jc w:val="both"/>
        <w:textAlignment w:val="baseline"/>
        <w:rPr>
          <w:rFonts w:eastAsia="Times New Roman" w:cs="Arial"/>
          <w:lang w:val="es-ES" w:eastAsia="es-CO"/>
        </w:rPr>
      </w:pPr>
    </w:p>
    <w:p w:rsidRPr="00975BA3" w:rsidR="00975BA3" w:rsidP="001C54B2" w:rsidRDefault="00975BA3" w14:paraId="5568FD73" w14:textId="77777777">
      <w:pPr>
        <w:pStyle w:val="ListParagraph"/>
        <w:numPr>
          <w:ilvl w:val="0"/>
          <w:numId w:val="16"/>
        </w:numPr>
        <w:ind w:left="284"/>
        <w:jc w:val="both"/>
        <w:textAlignment w:val="baseline"/>
        <w:rPr>
          <w:rFonts w:eastAsia="Times New Roman" w:cs="Arial"/>
          <w:b/>
          <w:bCs/>
          <w:lang w:val="es-ES" w:eastAsia="es-CO"/>
        </w:rPr>
      </w:pPr>
      <w:r w:rsidRPr="00975BA3">
        <w:rPr>
          <w:rFonts w:eastAsia="Times New Roman"/>
          <w:lang w:eastAsia="es-CO"/>
        </w:rPr>
        <w:t>persisten áreas de interés para la formalización de la pequeña minería que requieren definición ambiental, en cuanto a ecosistemas, delimitación, zonificación y compatibilidad con la actividad minera. También existen restricciones, como las áreas de reserva forestal de la Ley Segunda de 1959, que carecen de un procedimiento adecuado para solicitudes de formalización.</w:t>
      </w:r>
    </w:p>
    <w:p w:rsidRPr="00975BA3" w:rsidR="00975BA3" w:rsidP="00975BA3" w:rsidRDefault="00975BA3" w14:paraId="42E33400" w14:textId="77777777">
      <w:pPr>
        <w:pStyle w:val="ListParagraph"/>
        <w:ind w:left="284"/>
        <w:jc w:val="both"/>
        <w:textAlignment w:val="baseline"/>
        <w:rPr>
          <w:rFonts w:eastAsia="Times New Roman" w:cs="Arial"/>
          <w:b/>
          <w:bCs/>
          <w:lang w:val="es-ES" w:eastAsia="es-CO"/>
        </w:rPr>
      </w:pPr>
    </w:p>
    <w:p w:rsidRPr="00975BA3" w:rsidR="00975BA3" w:rsidP="001C54B2" w:rsidRDefault="00975BA3" w14:paraId="52F16FB5" w14:textId="77777777">
      <w:pPr>
        <w:pStyle w:val="ListParagraph"/>
        <w:numPr>
          <w:ilvl w:val="0"/>
          <w:numId w:val="16"/>
        </w:numPr>
        <w:ind w:left="284"/>
        <w:jc w:val="both"/>
        <w:textAlignment w:val="baseline"/>
        <w:rPr>
          <w:rFonts w:eastAsia="Times New Roman" w:cs="Arial"/>
          <w:b/>
          <w:bCs/>
          <w:lang w:val="es-ES" w:eastAsia="es-CO"/>
        </w:rPr>
      </w:pPr>
      <w:r w:rsidRPr="00975BA3">
        <w:rPr>
          <w:rFonts w:eastAsia="Times New Roman" w:cs="Arial"/>
          <w:lang w:eastAsia="es-CO"/>
        </w:rPr>
        <w:t>La población minera enfrenta dificultades para acceder a asesoría profesional adecuada y asequible que garantice la elaboración de estudios técnicos conforme a los Términos de Referencia. Esta brecha ha llevado al archivo de trámites o al rechazo de estudios deficientes, lo que frustra los procesos de formalización.</w:t>
      </w:r>
    </w:p>
    <w:p w:rsidRPr="00975BA3" w:rsidR="00975BA3" w:rsidP="00975BA3" w:rsidRDefault="00975BA3" w14:paraId="17D74CBF" w14:textId="77777777">
      <w:pPr>
        <w:pStyle w:val="ListParagraph"/>
        <w:ind w:left="284"/>
        <w:jc w:val="both"/>
        <w:textAlignment w:val="baseline"/>
        <w:rPr>
          <w:rFonts w:eastAsia="Times New Roman" w:cs="Arial"/>
          <w:b/>
          <w:bCs/>
          <w:lang w:val="es-ES" w:eastAsia="es-CO"/>
        </w:rPr>
      </w:pPr>
    </w:p>
    <w:p w:rsidRPr="00975BA3" w:rsidR="00975BA3" w:rsidP="001C54B2" w:rsidRDefault="00975BA3" w14:paraId="463B8F03" w14:textId="77777777">
      <w:pPr>
        <w:pStyle w:val="ListParagraph"/>
        <w:numPr>
          <w:ilvl w:val="0"/>
          <w:numId w:val="16"/>
        </w:numPr>
        <w:ind w:left="284"/>
        <w:jc w:val="both"/>
        <w:textAlignment w:val="baseline"/>
        <w:rPr>
          <w:rFonts w:eastAsia="Times New Roman" w:cs="Arial"/>
          <w:lang w:val="es-ES" w:eastAsia="es-CO"/>
        </w:rPr>
      </w:pPr>
      <w:r w:rsidRPr="00975BA3">
        <w:rPr>
          <w:rFonts w:eastAsia="Times New Roman" w:cs="Arial"/>
          <w:lang w:eastAsia="es-CO"/>
        </w:rPr>
        <w:t>La ausencia de una política de Estado que dé continuidad a las estrategias de formalización limita su sostenibilidad, dificultando mejorar de manera estable las condiciones de los mineros artesanales y de pequeña escala, especialmente los más vulnerables.</w:t>
      </w:r>
    </w:p>
    <w:p w:rsidRPr="00975BA3" w:rsidR="00975BA3" w:rsidP="00975BA3" w:rsidRDefault="00975BA3" w14:paraId="3544AEE9" w14:textId="77777777">
      <w:pPr>
        <w:pStyle w:val="ListParagraph"/>
        <w:ind w:left="284"/>
        <w:jc w:val="both"/>
        <w:textAlignment w:val="baseline"/>
        <w:rPr>
          <w:rFonts w:eastAsia="Times New Roman" w:cs="Arial"/>
          <w:lang w:val="es-ES" w:eastAsia="es-CO"/>
        </w:rPr>
      </w:pPr>
    </w:p>
    <w:p w:rsidRPr="00975BA3" w:rsidR="002C71D6" w:rsidP="001C54B2" w:rsidRDefault="459DEA6D" w14:paraId="7379594E" w14:textId="5CA522F9">
      <w:pPr>
        <w:pStyle w:val="ListParagraph"/>
        <w:numPr>
          <w:ilvl w:val="0"/>
          <w:numId w:val="16"/>
        </w:numPr>
        <w:ind w:left="284"/>
        <w:jc w:val="both"/>
        <w:textAlignment w:val="baseline"/>
        <w:rPr>
          <w:rFonts w:eastAsia="Times New Roman" w:cs="Arial"/>
          <w:lang w:val="es-ES" w:eastAsia="es-CO"/>
        </w:rPr>
      </w:pPr>
      <w:r w:rsidRPr="3845A57C">
        <w:rPr>
          <w:rFonts w:eastAsia="Times New Roman" w:cs="Arial"/>
          <w:lang w:eastAsia="es-CO"/>
        </w:rPr>
        <w:t>El bajo cumplimiento de obligaciones en la pequeña minería se explica, en parte, porque muchos titulares no conciben sus operaciones como una oportunidad de negocio y carecen de estructuras empresariales. A ello se suma la falta de una oferta clara de asistencia técnica, ambiental y jurídica por parte de la institucionalidad minera. También se evidencia la ausencia de mecanismos efectivos de seguimiento, monitoreo y control, deficiencias en la articulación con los actores involucrados y un limitado conocimiento de las políticas y programas disponibles para apoyar el desarrollo de la actividad.</w:t>
      </w:r>
    </w:p>
    <w:p w:rsidR="3845A57C" w:rsidP="3845A57C" w:rsidRDefault="3845A57C" w14:paraId="6CED3447" w14:textId="146BCFFC">
      <w:pPr>
        <w:pStyle w:val="ListParagraph"/>
        <w:ind w:left="284"/>
        <w:jc w:val="both"/>
        <w:rPr>
          <w:rFonts w:eastAsia="Times New Roman" w:cs="Arial"/>
          <w:lang w:val="es-ES" w:eastAsia="es-CO"/>
        </w:rPr>
      </w:pPr>
    </w:p>
    <w:p w:rsidRPr="002C71D6" w:rsidR="002C71D6" w:rsidP="001C54B2" w:rsidRDefault="002C71D6" w14:paraId="1163F25C" w14:textId="77777777">
      <w:pPr>
        <w:pStyle w:val="ListParagraph"/>
        <w:numPr>
          <w:ilvl w:val="0"/>
          <w:numId w:val="16"/>
        </w:numPr>
        <w:ind w:left="284"/>
        <w:jc w:val="both"/>
        <w:textAlignment w:val="baseline"/>
        <w:rPr>
          <w:rFonts w:eastAsia="Times New Roman" w:cs="Arial"/>
          <w:lang w:eastAsia="es-CO"/>
        </w:rPr>
      </w:pPr>
      <w:r w:rsidRPr="002C71D6">
        <w:rPr>
          <w:rFonts w:eastAsia="Times New Roman" w:cs="Arial"/>
          <w:lang w:val="es-ES" w:eastAsia="es-CO"/>
        </w:rPr>
        <w:t>Respecto a la implementación de estrategias para el fomento de buenas prácticas en el sector minero, es necesario</w:t>
      </w:r>
      <w:r w:rsidRPr="002C71D6">
        <w:rPr>
          <w:rFonts w:eastAsia="Times New Roman" w:cs="Arial"/>
          <w:lang w:eastAsia="es-CO"/>
        </w:rPr>
        <w:t xml:space="preserve"> fortalecer esfuerzos dirigidos a atender problemáticas como: </w:t>
      </w:r>
      <w:r w:rsidRPr="002C71D6">
        <w:rPr>
          <w:rFonts w:eastAsia="Times New Roman" w:cs="Arial"/>
          <w:lang w:val="es-ES" w:eastAsia="es-CO"/>
        </w:rPr>
        <w:t> </w:t>
      </w:r>
      <w:r w:rsidRPr="002C71D6">
        <w:rPr>
          <w:rFonts w:eastAsia="Times New Roman" w:cs="Arial"/>
          <w:color w:val="70AD47"/>
          <w:lang w:val="es-ES" w:eastAsia="es-CO"/>
        </w:rPr>
        <w:t> </w:t>
      </w:r>
    </w:p>
    <w:p w:rsidRPr="002C71D6" w:rsidR="002C71D6" w:rsidP="001C54B2" w:rsidRDefault="002C71D6" w14:paraId="425571FD"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Trabajo sin el amparo de un título o figura de formalización.</w:t>
      </w:r>
      <w:r w:rsidRPr="002C71D6">
        <w:rPr>
          <w:rFonts w:eastAsia="Times New Roman" w:cs="Arial"/>
          <w:lang w:val="es-ES" w:eastAsia="es-CO"/>
        </w:rPr>
        <w:t> </w:t>
      </w:r>
    </w:p>
    <w:p w:rsidRPr="002C71D6" w:rsidR="002C71D6" w:rsidP="001C54B2" w:rsidRDefault="002C71D6" w14:paraId="6302C416"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Bajos estándares técnicos, empresariales y ambientales.</w:t>
      </w:r>
      <w:r w:rsidRPr="002C71D6">
        <w:rPr>
          <w:rFonts w:eastAsia="Times New Roman" w:cs="Arial"/>
          <w:lang w:val="es-ES" w:eastAsia="es-CO"/>
        </w:rPr>
        <w:t> </w:t>
      </w:r>
    </w:p>
    <w:p w:rsidRPr="002C71D6" w:rsidR="002C71D6" w:rsidP="001C54B2" w:rsidRDefault="002C71D6" w14:paraId="7C295D46"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Altos niveles de accidentalidad y siniestralidad.</w:t>
      </w:r>
      <w:r w:rsidRPr="002C71D6">
        <w:rPr>
          <w:rFonts w:eastAsia="Times New Roman" w:cs="Arial"/>
          <w:lang w:val="es-ES" w:eastAsia="es-CO"/>
        </w:rPr>
        <w:t> </w:t>
      </w:r>
    </w:p>
    <w:p w:rsidRPr="002C71D6" w:rsidR="002C71D6" w:rsidP="001C54B2" w:rsidRDefault="002C71D6" w14:paraId="59EC4C1A"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Actividad asociada a economías criminales.</w:t>
      </w:r>
      <w:r w:rsidRPr="002C71D6">
        <w:rPr>
          <w:rFonts w:eastAsia="Times New Roman" w:cs="Arial"/>
          <w:lang w:val="es-ES" w:eastAsia="es-CO"/>
        </w:rPr>
        <w:t> </w:t>
      </w:r>
    </w:p>
    <w:p w:rsidRPr="002C71D6" w:rsidR="002C71D6" w:rsidP="001C54B2" w:rsidRDefault="002C71D6" w14:paraId="59305D15"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Manejo centralizado del sector minero generando desconexión con el territorio.</w:t>
      </w:r>
      <w:r w:rsidRPr="002C71D6">
        <w:rPr>
          <w:rFonts w:eastAsia="Times New Roman" w:cs="Arial"/>
          <w:lang w:val="es-ES" w:eastAsia="es-CO"/>
        </w:rPr>
        <w:t> </w:t>
      </w:r>
    </w:p>
    <w:p w:rsidRPr="002C71D6" w:rsidR="002C71D6" w:rsidP="001C54B2" w:rsidRDefault="002C71D6" w14:paraId="2F6FCE17"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Desarticulación institucional.</w:t>
      </w:r>
      <w:r w:rsidRPr="002C71D6">
        <w:rPr>
          <w:rFonts w:eastAsia="Times New Roman" w:cs="Arial"/>
          <w:lang w:val="es-ES" w:eastAsia="es-CO"/>
        </w:rPr>
        <w:t> </w:t>
      </w:r>
    </w:p>
    <w:p w:rsidRPr="002C71D6" w:rsidR="002C71D6" w:rsidP="001C54B2" w:rsidRDefault="002C71D6" w14:paraId="6F420B90"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Incumplimiento en el pago de regalías.</w:t>
      </w:r>
      <w:r w:rsidRPr="002C71D6">
        <w:rPr>
          <w:rFonts w:eastAsia="Times New Roman" w:cs="Arial"/>
          <w:lang w:val="es-ES" w:eastAsia="es-CO"/>
        </w:rPr>
        <w:t> </w:t>
      </w:r>
    </w:p>
    <w:p w:rsidRPr="002C71D6" w:rsidR="002C71D6" w:rsidP="001C54B2" w:rsidRDefault="002C71D6" w14:paraId="53C290E4"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Enfoque asistencial que no ha tenido solución de continuidad.</w:t>
      </w:r>
      <w:r w:rsidRPr="002C71D6">
        <w:rPr>
          <w:rFonts w:eastAsia="Times New Roman" w:cs="Arial"/>
          <w:lang w:val="es-ES" w:eastAsia="es-CO"/>
        </w:rPr>
        <w:t> </w:t>
      </w:r>
    </w:p>
    <w:p w:rsidRPr="002C71D6" w:rsidR="002C71D6" w:rsidP="001C54B2" w:rsidRDefault="002C71D6" w14:paraId="6A3D6526"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Niveles precarios, casi nulos, de bancarización, crédito y financiamiento.</w:t>
      </w:r>
      <w:r w:rsidRPr="002C71D6">
        <w:rPr>
          <w:rFonts w:eastAsia="Times New Roman" w:cs="Arial"/>
          <w:lang w:val="es-ES" w:eastAsia="es-CO"/>
        </w:rPr>
        <w:t> </w:t>
      </w:r>
    </w:p>
    <w:p w:rsidRPr="002C71D6" w:rsidR="002C71D6" w:rsidP="001C54B2" w:rsidRDefault="002C71D6" w14:paraId="4E964615"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Controles insuficientes en la comercialización.</w:t>
      </w:r>
      <w:r w:rsidRPr="002C71D6">
        <w:rPr>
          <w:rFonts w:eastAsia="Times New Roman" w:cs="Arial"/>
          <w:lang w:val="es-ES" w:eastAsia="es-CO"/>
        </w:rPr>
        <w:t> </w:t>
      </w:r>
    </w:p>
    <w:p w:rsidRPr="002C71D6" w:rsidR="002C71D6" w:rsidP="001C54B2" w:rsidRDefault="002C71D6" w14:paraId="760B678C"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Deficiencias en la Trazabilidad.</w:t>
      </w:r>
      <w:r w:rsidRPr="002C71D6">
        <w:rPr>
          <w:rFonts w:eastAsia="Times New Roman" w:cs="Arial"/>
          <w:lang w:val="es-ES" w:eastAsia="es-CO"/>
        </w:rPr>
        <w:t> </w:t>
      </w:r>
    </w:p>
    <w:p w:rsidRPr="002C71D6" w:rsidR="002C71D6" w:rsidP="001C54B2" w:rsidRDefault="002C71D6" w14:paraId="2E90507C"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No existe una cultura de buenas prácticas, entre ellas, la asociatividad.</w:t>
      </w:r>
      <w:r w:rsidRPr="002C71D6">
        <w:rPr>
          <w:rFonts w:eastAsia="Times New Roman" w:cs="Arial"/>
          <w:lang w:val="es-ES" w:eastAsia="es-CO"/>
        </w:rPr>
        <w:t> </w:t>
      </w:r>
    </w:p>
    <w:p w:rsidR="00026EF6" w:rsidP="001C54B2" w:rsidRDefault="002C71D6" w14:paraId="52FD2152" w14:textId="77777777">
      <w:pPr>
        <w:pStyle w:val="ListParagraph"/>
        <w:numPr>
          <w:ilvl w:val="0"/>
          <w:numId w:val="11"/>
        </w:numPr>
        <w:spacing w:after="0" w:line="240" w:lineRule="auto"/>
        <w:jc w:val="both"/>
        <w:textAlignment w:val="baseline"/>
        <w:rPr>
          <w:rFonts w:eastAsia="Times New Roman" w:cs="Arial"/>
          <w:lang w:val="es-ES" w:eastAsia="es-CO"/>
        </w:rPr>
      </w:pPr>
      <w:r w:rsidRPr="002C71D6">
        <w:rPr>
          <w:rFonts w:eastAsia="Times New Roman" w:cs="Arial"/>
          <w:lang w:eastAsia="es-CO"/>
        </w:rPr>
        <w:t>Desarrollos muy bajos de Ciencia, tecnología e innovación.</w:t>
      </w:r>
      <w:r w:rsidRPr="002C71D6">
        <w:rPr>
          <w:rFonts w:eastAsia="Times New Roman" w:cs="Arial"/>
          <w:lang w:val="es-ES" w:eastAsia="es-CO"/>
        </w:rPr>
        <w:t> </w:t>
      </w:r>
    </w:p>
    <w:p w:rsidR="00026EF6" w:rsidP="00026EF6" w:rsidRDefault="00026EF6" w14:paraId="5B7FC506" w14:textId="77777777">
      <w:pPr>
        <w:pStyle w:val="ListParagraph"/>
        <w:spacing w:after="0" w:line="240" w:lineRule="auto"/>
        <w:jc w:val="both"/>
        <w:textAlignment w:val="baseline"/>
        <w:rPr>
          <w:rFonts w:eastAsia="Times New Roman" w:cs="Arial"/>
          <w:lang w:val="es-ES" w:eastAsia="es-CO"/>
        </w:rPr>
      </w:pPr>
    </w:p>
    <w:p w:rsidRPr="00026EF6" w:rsidR="007D08D3" w:rsidP="001C54B2" w:rsidRDefault="00026EF6" w14:paraId="7E9FB782" w14:textId="54374867">
      <w:pPr>
        <w:pStyle w:val="ListParagraph"/>
        <w:numPr>
          <w:ilvl w:val="0"/>
          <w:numId w:val="16"/>
        </w:numPr>
        <w:spacing w:after="0" w:line="240" w:lineRule="auto"/>
        <w:ind w:left="284"/>
        <w:jc w:val="both"/>
        <w:textAlignment w:val="baseline"/>
        <w:rPr>
          <w:rFonts w:eastAsia="Times New Roman" w:cs="Arial"/>
          <w:lang w:val="es-ES" w:eastAsia="es-CO"/>
        </w:rPr>
      </w:pPr>
      <w:r w:rsidRPr="00026EF6">
        <w:rPr>
          <w:rFonts w:eastAsia="Times New Roman" w:cs="Arial"/>
          <w:lang w:eastAsia="es-CO"/>
        </w:rPr>
        <w:t>Es necesario fortalecer programas de reconversión productiva y diversificación económica en territorios mineros, especialmente donde la minería no es viable por condiciones ambientales, legales o sociales. La ausencia de alternativas genera alta vulnerabilidad, dependencia económica y presiones ambientales y sociales. Además, el país exporta sus principales minerales (carbón, oro y ferroníquel) sin valor agregado, por lo que se requiere impulsar capacidades de refinación, encadenamientos productivos y buenas prácticas que incluyan a la pequeña minería, así como a la minería tradicional y artesanal.</w:t>
      </w:r>
    </w:p>
    <w:p w:rsidR="00026EF6" w:rsidP="00026EF6" w:rsidRDefault="00026EF6" w14:paraId="7344A86E" w14:textId="77777777">
      <w:pPr>
        <w:pStyle w:val="ListParagraph"/>
        <w:spacing w:after="0" w:line="240" w:lineRule="auto"/>
        <w:ind w:left="284"/>
        <w:jc w:val="both"/>
        <w:textAlignment w:val="baseline"/>
        <w:rPr>
          <w:rFonts w:eastAsia="Times New Roman" w:cs="Arial"/>
          <w:lang w:eastAsia="es-CO"/>
        </w:rPr>
      </w:pPr>
    </w:p>
    <w:p w:rsidRPr="00026EF6" w:rsidR="00026EF6" w:rsidP="00026EF6" w:rsidRDefault="00026EF6" w14:paraId="272D2A7F" w14:textId="77777777">
      <w:pPr>
        <w:pStyle w:val="ListParagraph"/>
        <w:spacing w:after="0" w:line="240" w:lineRule="auto"/>
        <w:ind w:left="284"/>
        <w:jc w:val="both"/>
        <w:textAlignment w:val="baseline"/>
        <w:rPr>
          <w:rFonts w:eastAsia="Times New Roman" w:cs="Arial"/>
          <w:lang w:val="es-ES" w:eastAsia="es-CO"/>
        </w:rPr>
      </w:pPr>
    </w:p>
    <w:p w:rsidR="00C443D6" w:rsidRDefault="00281F64" w14:paraId="30BDA685" w14:textId="457F2C56">
      <w:pPr>
        <w:pStyle w:val="Heading2"/>
        <w:numPr>
          <w:ilvl w:val="0"/>
          <w:numId w:val="9"/>
        </w:numPr>
        <w:ind w:left="426"/>
      </w:pPr>
      <w:bookmarkStart w:name="_Toc135903126" w:id="651"/>
      <w:bookmarkStart w:name="_Toc199511973" w:id="652"/>
      <w:bookmarkStart w:name="_Toc1919334284" w:id="653"/>
      <w:bookmarkStart w:name="_Toc1929139825" w:id="654"/>
      <w:bookmarkStart w:name="_Toc99969806" w:id="655"/>
      <w:bookmarkStart w:name="_Toc548976623" w:id="656"/>
      <w:bookmarkStart w:name="_Toc1732275427" w:id="657"/>
      <w:bookmarkStart w:name="_Toc722677023" w:id="658"/>
      <w:bookmarkStart w:name="_Toc641116919" w:id="659"/>
      <w:bookmarkStart w:name="_Toc16256856" w:id="660"/>
      <w:bookmarkStart w:name="_Toc1688562229" w:id="661"/>
      <w:bookmarkStart w:name="_Toc33950104" w:id="662"/>
      <w:bookmarkStart w:name="_Toc227086077" w:id="663"/>
      <w:bookmarkStart w:name="_Toc1247194189" w:id="664"/>
      <w:bookmarkStart w:name="_Toc1184554470" w:id="665"/>
      <w:bookmarkStart w:name="_Toc918252802" w:id="666"/>
      <w:bookmarkStart w:name="_Toc486497729" w:id="667"/>
      <w:bookmarkStart w:name="_Toc1927451905" w:id="668"/>
      <w:bookmarkStart w:name="_Toc1750083616" w:id="669"/>
      <w:bookmarkStart w:name="_Toc1170795014" w:id="670"/>
      <w:bookmarkStart w:name="_Toc1676086246" w:id="671"/>
      <w:bookmarkStart w:name="_Toc315411159" w:id="672"/>
      <w:bookmarkStart w:name="_Toc585279382" w:id="673"/>
      <w:bookmarkStart w:name="_Toc1294044645" w:id="674"/>
      <w:bookmarkStart w:name="_Toc580167780" w:id="675"/>
      <w:bookmarkStart w:name="_Toc1440251711" w:id="676"/>
      <w:bookmarkStart w:name="_Toc813606587" w:id="677"/>
      <w:bookmarkStart w:name="_Toc1483620406" w:id="678"/>
      <w:bookmarkStart w:name="_Toc210292981" w:id="679"/>
      <w:bookmarkEnd w:id="647"/>
      <w:r>
        <w:t>Insuficiente c</w:t>
      </w:r>
      <w:r w:rsidR="5EFA0007">
        <w:t xml:space="preserve">onocimiento </w:t>
      </w:r>
      <w:proofErr w:type="spellStart"/>
      <w:r w:rsidR="5EFA0007">
        <w:t>geocientífico</w:t>
      </w:r>
      <w:proofErr w:type="spellEnd"/>
      <w:r w:rsidR="5EFA0007">
        <w:t xml:space="preserve"> nacional de los recursos del subsuelo.</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rsidR="00C443D6" w:rsidP="00C443D6" w:rsidRDefault="00C443D6" w14:paraId="76AA1A93" w14:textId="77777777"/>
    <w:p w:rsidRPr="009F6F48" w:rsidR="009F6F48" w:rsidP="009F6F48" w:rsidRDefault="469BEC27" w14:paraId="4037E7C2" w14:textId="3D1222DF">
      <w:pPr>
        <w:jc w:val="both"/>
        <w:rPr>
          <w:noProof/>
          <w:lang w:val="es-ES"/>
        </w:rPr>
      </w:pPr>
      <w:r w:rsidRPr="0082195C" w:rsidR="469BEC27">
        <w:rPr/>
        <w:t xml:space="preserve">En cuanto al conocimiento del potencial mineral del país, desde el año 2012 el </w:t>
      </w:r>
      <w:r w:rsidR="3D61E509">
        <w:rPr/>
        <w:t>SGC</w:t>
      </w:r>
      <w:r w:rsidR="469BEC27">
        <w:rPr/>
        <w:t xml:space="preserve"> emprendió </w:t>
      </w:r>
      <w:r w:rsidRPr="0082195C" w:rsidR="469BEC27">
        <w:rPr/>
        <w:t>programas de adquisición, procesamiento, análisis e interpretación de información geológica, geofísica y geoquímica obteniendo avances significativos en el conocimiento geológico del país</w:t>
      </w:r>
      <w:r w:rsidRPr="00A2613A" w:rsidR="469BEC27">
        <w:rPr/>
        <w:t>. La cartografía geológica a escala 1:100</w:t>
      </w:r>
      <w:r w:rsidR="469BEC27">
        <w:rPr/>
        <w:t>.</w:t>
      </w:r>
      <w:r w:rsidRPr="00A2613A" w:rsidR="469BEC27">
        <w:rPr/>
        <w:t>000 alcanzó el 71.6% de cubrimiento del territorio colombiano</w:t>
      </w:r>
      <w:r w:rsidRPr="00866F1B" w:rsidR="2EF98A46">
        <w:rPr/>
        <w:t xml:space="preserve"> </w:t>
      </w:r>
      <w:r w:rsidR="2EF98A46">
        <w:rPr/>
        <w:t>en e</w:t>
      </w:r>
      <w:r w:rsidRPr="00A2613A" w:rsidR="2EF98A46">
        <w:rPr/>
        <w:t>l año 2022</w:t>
      </w:r>
      <w:r w:rsidRPr="00A2613A" w:rsidR="469BEC27">
        <w:rPr/>
        <w:t xml:space="preserve">; </w:t>
      </w:r>
      <w:r w:rsidR="469BEC27">
        <w:rPr/>
        <w:t xml:space="preserve">en cuanto a anomalías geofísicas, el país cuenta con un cubrimiento de 623.000 </w:t>
      </w:r>
      <w:r w:rsidRPr="00C441A9" w:rsidR="469BEC27">
        <w:rPr/>
        <w:t>km2</w:t>
      </w:r>
      <w:r w:rsidR="00C443D6">
        <w:rPr>
          <w:rStyle w:val="FootnoteReference"/>
        </w:rPr>
        <w:footnoteReference w:id="59"/>
      </w:r>
      <w:r w:rsidR="469BEC27">
        <w:rPr/>
        <w:t>, con mapa de anomalías geofísicas versión 202</w:t>
      </w:r>
      <w:r w:rsidRPr="00CD4523" w:rsidR="469BEC27">
        <w:rPr/>
        <w:t>2</w:t>
      </w:r>
      <w:sdt>
        <w:sdtPr>
          <w:rPr>
            <w:color w:val="000000" w:themeColor="text1"/>
            <w:shd w:val="clear" w:color="auto" w:fill="E6E6E6"/>
          </w:rPr>
          <w:id w:val="-938131687"/>
          <w:citation/>
          <w:placeholder>
            <w:docPart w:val="DefaultPlaceholder_1081868574"/>
          </w:placeholder>
        </w:sdtPr>
        <w:sdtEndPr>
          <w:rPr>
            <w:color w:val="auto"/>
            <w:shd w:val="clear" w:color="auto" w:fill="auto"/>
          </w:rPr>
        </w:sdtEndPr>
        <w:sdtContent>
          <w:r w:rsidRPr="769A4CE5" w:rsidR="00C443D6">
            <w:rPr>
              <w:color w:val="000000" w:themeColor="text1"/>
              <w:shd w:val="clear" w:color="auto" w:fill="E6E6E6"/>
            </w:rPr>
            <w:fldChar w:fldCharType="begin"/>
          </w:r>
          <w:r w:rsidR="00D43D13">
            <w:rPr>
              <w:lang w:val="es-ES"/>
            </w:rPr>
            <w:instrText xml:space="preserve">CITATION Ser22 \l 3082 </w:instrText>
          </w:r>
          <w:r w:rsidRPr="769A4CE5" w:rsidR="00C443D6">
            <w:rPr>
              <w:color w:val="000000" w:themeColor="text1"/>
              <w:shd w:val="clear" w:color="auto" w:fill="E6E6E6"/>
            </w:rPr>
            <w:fldChar w:fldCharType="separate"/>
          </w:r>
          <w:r w:rsidR="00104221">
            <w:rPr>
              <w:noProof/>
              <w:lang w:val="es-ES"/>
            </w:rPr>
            <w:t xml:space="preserve"> (SGC, 2022)</w:t>
          </w:r>
          <w:r w:rsidRPr="769A4CE5" w:rsidR="00C443D6">
            <w:rPr>
              <w:color w:val="000000" w:themeColor="text1"/>
              <w:shd w:val="clear" w:color="auto" w:fill="E6E6E6"/>
            </w:rPr>
            <w:fldChar w:fldCharType="end"/>
          </w:r>
        </w:sdtContent>
      </w:sdt>
      <w:r w:rsidRPr="00CD4523" w:rsidR="469BEC27">
        <w:rPr/>
        <w:t>.</w:t>
      </w:r>
      <w:r w:rsidRPr="5734DBB2" w:rsidR="5ADBAF0D">
        <w:rPr>
          <w:vertAlign w:val="superscript"/>
        </w:rPr>
        <w:footnoteReference w:id="60"/>
      </w:r>
      <w:r w:rsidRPr="00CD4523" w:rsidR="469BEC27">
        <w:rPr/>
        <w:t xml:space="preserve"> </w:t>
      </w:r>
    </w:p>
    <w:p w:rsidR="00C443D6" w:rsidP="532F18D5" w:rsidRDefault="2F1B0D58" w14:paraId="6E60464A" w14:textId="64F27F1F">
      <w:pPr>
        <w:jc w:val="both"/>
      </w:pPr>
      <w:r w:rsidRPr="5734DBB2" w:rsidR="2F1B0D58">
        <w:rPr>
          <w:noProof/>
          <w:lang w:val="es-ES"/>
        </w:rPr>
        <w:t>Adicionalmente, el SGC ha venido actualizando de manera bienal el Atlas Geoquímico de Colombia (AGC)</w:t>
      </w:r>
      <w:r w:rsidRPr="5734DBB2" w:rsidR="716D0EC3">
        <w:rPr>
          <w:noProof/>
          <w:vertAlign w:val="superscript"/>
          <w:lang w:val="es-ES"/>
        </w:rPr>
        <w:footnoteReference w:id="61"/>
      </w:r>
      <w:r w:rsidRPr="5734DBB2" w:rsidR="2F1B0D58">
        <w:rPr>
          <w:noProof/>
          <w:lang w:val="es-ES"/>
        </w:rPr>
        <w:t>, que consiste en una colección de mapas temáticos que representa la distribución espacial de la concentración de 57 elementos</w:t>
      </w:r>
      <w:r w:rsidR="2F1B0D58">
        <w:rPr/>
        <w:t xml:space="preserve"> químicos. Esta colección de mapas es el proyecto más representativo en términos de objetivos y cubrimiento del territori</w:t>
      </w:r>
      <w:r w:rsidR="3814ED9C">
        <w:rPr/>
        <w:t>o</w:t>
      </w:r>
      <w:r w:rsidR="2F1B0D58">
        <w:rPr/>
        <w:t xml:space="preserve">.  </w:t>
      </w:r>
      <w:r w:rsidR="3814ED9C">
        <w:rPr/>
        <w:t>E</w:t>
      </w:r>
      <w:r w:rsidR="2F1B0D58">
        <w:rPr/>
        <w:t xml:space="preserve">n la versión 2020 se incluye un documento interpretativo que integra información geológica, geoquímica, geofísica, geomorfológica, tectónica, metalogénica y de depósitos minerales. Por su parte, la versión 2022 incluye nuevos datos analíticos obtenidos de zonas del centro y el oriente del país. De esta forma, el </w:t>
      </w:r>
      <w:r w:rsidR="59E73812">
        <w:rPr/>
        <w:t>AGC</w:t>
      </w:r>
      <w:r w:rsidR="2F1B0D58">
        <w:rPr/>
        <w:t xml:space="preserve"> sintetiza la adquisición de datos de más de 100 años de exploración geoquímica multipropósito en el país a cargo del actual SGC.</w:t>
      </w:r>
    </w:p>
    <w:p w:rsidRPr="00A74A1A" w:rsidR="00C443D6" w:rsidP="4AE330D9" w:rsidRDefault="00027711" w14:paraId="796BFD9B" w14:textId="745C9F7A">
      <w:pPr>
        <w:shd w:val="clear" w:color="auto" w:fill="FFFFFF" w:themeFill="background1"/>
        <w:jc w:val="both"/>
      </w:pPr>
      <w:r>
        <w:t>Este Atlas</w:t>
      </w:r>
      <w:r w:rsidR="00C443D6">
        <w:t xml:space="preserve"> es aplicable como insumo para múltiples propósitos enriqueciendo el conocimiento </w:t>
      </w:r>
      <w:proofErr w:type="spellStart"/>
      <w:r w:rsidR="00C443D6">
        <w:t>geocientífico</w:t>
      </w:r>
      <w:proofErr w:type="spellEnd"/>
      <w:r w:rsidR="00C443D6">
        <w:t xml:space="preserve"> al servicio de la sociedad. </w:t>
      </w:r>
      <w:r w:rsidR="72B6C1A3">
        <w:t>E</w:t>
      </w:r>
      <w:r>
        <w:t>s</w:t>
      </w:r>
      <w:r w:rsidR="00C443D6">
        <w:t xml:space="preserve"> empleado para definir las líneas base geoquímicas nacionales, las cuales permiten, entre otras aplicaciones, establecer límites para los elementos que pueden causar contaminación ambiental; identificar las concentraciones de elementos de importancia en estudios de productividad agrícola; gestión de manejo de calidad del agua en las regiones; determinar niveles potencialmente peligrosos de ciertos elementos cuya fuente puede ser natural o antropogénica</w:t>
      </w:r>
      <w:r w:rsidR="001A4BEC">
        <w:t>,</w:t>
      </w:r>
      <w:r w:rsidR="00C443D6">
        <w:t xml:space="preserve"> y contribuir a la planificación territorial que favorezca el equilibrio ambiental, social y económico. La colección de mapas del </w:t>
      </w:r>
      <w:r w:rsidR="007069E6">
        <w:t xml:space="preserve">atlas </w:t>
      </w:r>
      <w:r w:rsidR="00C443D6">
        <w:t>dispone al público información geoquímica histórica y reciente de alta calidad, tratada estadísticamente, que permite desarrollar investigaciones a lo largo del territorio nacional.</w:t>
      </w:r>
    </w:p>
    <w:p w:rsidR="080CBCDB" w:rsidP="44AF0C59" w:rsidRDefault="3D9CE1C2" w14:paraId="4116BA31" w14:textId="53059CFA">
      <w:pPr>
        <w:jc w:val="both"/>
        <w:rPr>
          <w:rStyle w:val="normaltextrun"/>
          <w:rFonts w:cs="Arial"/>
          <w:strike/>
          <w:lang w:val="es-ES"/>
        </w:rPr>
      </w:pPr>
      <w:r w:rsidRPr="10A5A027">
        <w:rPr>
          <w:rStyle w:val="normaltextrun"/>
          <w:rFonts w:cs="Arial"/>
          <w:lang w:val="es-ES"/>
        </w:rPr>
        <w:t>En la última década el S</w:t>
      </w:r>
      <w:r w:rsidRPr="10A5A027" w:rsidR="0DC3E0C3">
        <w:rPr>
          <w:rStyle w:val="normaltextrun"/>
          <w:rFonts w:cs="Arial"/>
          <w:lang w:val="es-ES"/>
        </w:rPr>
        <w:t>GC</w:t>
      </w:r>
      <w:r w:rsidRPr="10A5A027">
        <w:rPr>
          <w:rStyle w:val="normaltextrun"/>
          <w:rFonts w:cs="Arial"/>
          <w:lang w:val="es-ES"/>
        </w:rPr>
        <w:t xml:space="preserve"> ha incrementado </w:t>
      </w:r>
      <w:r w:rsidRPr="10A5A027" w:rsidR="4F1C094A">
        <w:rPr>
          <w:rStyle w:val="normaltextrun"/>
          <w:rFonts w:cs="Arial"/>
          <w:lang w:val="es-ES"/>
        </w:rPr>
        <w:t>los proyectos</w:t>
      </w:r>
      <w:r w:rsidRPr="10A5A027">
        <w:rPr>
          <w:rStyle w:val="normaltextrun"/>
          <w:rFonts w:cs="Arial"/>
          <w:lang w:val="es-ES"/>
        </w:rPr>
        <w:t xml:space="preserve"> de reconocimiento geológico, geoquímico, geofísico, metalogénico y caracterizaciones de potencial mineral en diferentes zonas del país, </w:t>
      </w:r>
      <w:r w:rsidRPr="10A5A027" w:rsidR="661B4F50">
        <w:rPr>
          <w:rStyle w:val="normaltextrun"/>
          <w:rFonts w:cs="Arial"/>
          <w:lang w:val="es-ES"/>
        </w:rPr>
        <w:t>con enfoque a la identificación de áreas promisorias de minerales estratégicos</w:t>
      </w:r>
      <w:r w:rsidR="00614811">
        <w:rPr>
          <w:rStyle w:val="normaltextrun"/>
          <w:rFonts w:cs="Arial"/>
          <w:lang w:val="es-ES"/>
        </w:rPr>
        <w:t>. Esta información</w:t>
      </w:r>
      <w:r w:rsidRPr="10A5A027" w:rsidR="661B4F50">
        <w:rPr>
          <w:rStyle w:val="normaltextrun"/>
          <w:rFonts w:cs="Arial"/>
          <w:lang w:val="es-ES"/>
        </w:rPr>
        <w:t xml:space="preserve"> ha servido a la ANM </w:t>
      </w:r>
      <w:r w:rsidRPr="10A5A027" w:rsidR="5BC4FD6A">
        <w:rPr>
          <w:rStyle w:val="normaltextrun"/>
          <w:rFonts w:cs="Arial"/>
          <w:lang w:val="es-ES"/>
        </w:rPr>
        <w:t xml:space="preserve">para la delimitación, declaración y oferta de áreas de reserva estratégicas mineras. </w:t>
      </w:r>
    </w:p>
    <w:p w:rsidR="00C443D6" w:rsidP="080CBCDB" w:rsidRDefault="69CF6877" w14:paraId="2A612B5F" w14:textId="13EA0DF7">
      <w:pPr>
        <w:jc w:val="both"/>
      </w:pPr>
      <w:r w:rsidR="69CF6877">
        <w:rPr/>
        <w:t>Concordante</w:t>
      </w:r>
      <w:r w:rsidR="5926AF34">
        <w:rPr/>
        <w:t xml:space="preserve"> con lo anterior, </w:t>
      </w:r>
      <w:r w:rsidR="729483B5">
        <w:rPr/>
        <w:t xml:space="preserve">la Ilustración </w:t>
      </w:r>
      <w:r w:rsidR="7D95CF69">
        <w:rPr/>
        <w:t>8</w:t>
      </w:r>
      <w:r w:rsidR="3FDDB8A8">
        <w:rPr/>
        <w:t xml:space="preserve"> permite </w:t>
      </w:r>
      <w:r w:rsidR="7FC3B739">
        <w:rPr/>
        <w:t>mostrar</w:t>
      </w:r>
      <w:r w:rsidR="4D09070A">
        <w:rPr/>
        <w:t xml:space="preserve"> </w:t>
      </w:r>
      <w:r w:rsidR="729483B5">
        <w:rPr/>
        <w:t>el potencial mineral</w:t>
      </w:r>
      <w:r w:rsidR="00C443D6">
        <w:rPr>
          <w:rStyle w:val="FootnoteReference"/>
        </w:rPr>
        <w:footnoteReference w:id="62"/>
      </w:r>
      <w:r w:rsidR="729483B5">
        <w:rPr/>
        <w:t xml:space="preserve"> de Colombia</w:t>
      </w:r>
      <w:r w:rsidR="7CD250B3">
        <w:rPr/>
        <w:t>, el cual</w:t>
      </w:r>
      <w:r w:rsidR="729483B5">
        <w:rPr/>
        <w:t xml:space="preserve"> se concentra principalmente en el macizo colombiano y zonas de la región de la Orinoquía y Amazonía (dominio metalogénico cratón amazónico</w:t>
      </w:r>
      <w:r w:rsidR="00C443D6">
        <w:rPr>
          <w:rStyle w:val="FootnoteReference"/>
        </w:rPr>
        <w:footnoteReference w:id="63"/>
      </w:r>
      <w:r w:rsidR="729483B5">
        <w:rPr/>
        <w:t>). Adicionalmente están los depósitos de carbón ubicados principalmente en los departamentos de Guajira, Cesar, Cundinamarca, Boyacá, Antioquia, Norte de Santander y Santander.</w:t>
      </w:r>
    </w:p>
    <w:p w:rsidR="008D5C04" w:rsidP="00C443D6" w:rsidRDefault="008D5C04" w14:paraId="0FA67DB6" w14:textId="77777777">
      <w:pPr>
        <w:pStyle w:val="Caption"/>
      </w:pPr>
      <w:bookmarkStart w:name="_Toc136366259" w:id="680"/>
    </w:p>
    <w:p w:rsidR="31226965" w:rsidP="769A4CE5" w:rsidRDefault="31226965" w14:paraId="1DB1CE53" w14:textId="3AAB8372">
      <w:r>
        <w:br w:type="page"/>
      </w:r>
    </w:p>
    <w:p w:rsidR="00B869A2" w:rsidP="00C443D6" w:rsidRDefault="562FD3B7" w14:paraId="5969642F" w14:textId="2FA88AAC">
      <w:pPr>
        <w:pStyle w:val="Caption"/>
        <w:rPr>
          <w:noProof/>
          <w:lang w:eastAsia="es-CO"/>
        </w:rPr>
      </w:pPr>
      <w:bookmarkStart w:name="_Toc210292708" w:id="681"/>
      <w:r w:rsidR="562FD3B7">
        <w:rPr/>
        <w:t xml:space="preserve">Ilustración </w:t>
      </w:r>
      <w:r w:rsidR="3419D2CC">
        <w:fldChar w:fldCharType="begin"/>
      </w:r>
      <w:r w:rsidR="3419D2CC">
        <w:instrText>SEQ Ilustración \* ARABIC</w:instrText>
      </w:r>
      <w:r w:rsidR="3419D2CC">
        <w:fldChar w:fldCharType="separate"/>
      </w:r>
      <w:r w:rsidR="5F1858F2">
        <w:rPr>
          <w:noProof/>
        </w:rPr>
        <w:t>8</w:t>
      </w:r>
      <w:r w:rsidR="3419D2CC">
        <w:fldChar w:fldCharType="end"/>
      </w:r>
      <w:r w:rsidR="562FD3B7">
        <w:rPr/>
        <w:t>. Mapa metalogénico de Colombia - versión año 2020</w:t>
      </w:r>
      <w:bookmarkEnd w:id="680"/>
      <w:r w:rsidRPr="287A971D" w:rsidR="00012130">
        <w:rPr>
          <w:rStyle w:val="FootnoteReference"/>
          <w:b w:val="0"/>
          <w:bCs w:val="0"/>
          <w:sz w:val="22"/>
          <w:szCs w:val="22"/>
        </w:rPr>
        <w:footnoteReference w:id="64"/>
      </w:r>
      <w:bookmarkEnd w:id="681"/>
    </w:p>
    <w:p w:rsidR="00B869A2" w:rsidP="00C443D6" w:rsidRDefault="00C443D6" w14:paraId="07533277" w14:textId="77777777">
      <w:pPr>
        <w:pStyle w:val="Caption"/>
        <w:rPr>
          <w:b w:val="0"/>
        </w:rPr>
      </w:pPr>
      <w:r>
        <w:rPr>
          <w:noProof/>
        </w:rPr>
        <w:drawing>
          <wp:inline distT="0" distB="0" distL="0" distR="0" wp14:anchorId="347C51BD" wp14:editId="1BB9AFF4">
            <wp:extent cx="4356728" cy="5073650"/>
            <wp:effectExtent l="0" t="0" r="6350" b="0"/>
            <wp:docPr id="713353203" name="Imagen 713353203"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353203" name="Imagen 713353203" descr="Mapa&#10;&#10;Descripción generada automáticamente"/>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371973" cy="5091404"/>
                    </a:xfrm>
                    <a:prstGeom prst="rect">
                      <a:avLst/>
                    </a:prstGeom>
                  </pic:spPr>
                </pic:pic>
              </a:graphicData>
            </a:graphic>
          </wp:inline>
        </w:drawing>
      </w:r>
    </w:p>
    <w:p w:rsidRPr="007E043A" w:rsidR="00C443D6" w:rsidP="532F18D5" w:rsidRDefault="716D0EC3" w14:paraId="116A2D6E" w14:textId="09BBFD7A">
      <w:pPr>
        <w:pStyle w:val="Caption"/>
        <w:rPr>
          <w:rStyle w:val="FootnoteReference"/>
          <w:b w:val="0"/>
        </w:rPr>
      </w:pPr>
      <w:r>
        <w:rPr>
          <w:b w:val="0"/>
          <w:bCs w:val="0"/>
        </w:rPr>
        <w:t>Fuente: página web del S</w:t>
      </w:r>
      <w:r w:rsidR="0F5E6595">
        <w:rPr>
          <w:b w:val="0"/>
          <w:bCs w:val="0"/>
        </w:rPr>
        <w:t>GC</w:t>
      </w:r>
      <w:r w:rsidR="007E043A">
        <w:rPr>
          <w:b w:val="0"/>
          <w:bCs w:val="0"/>
        </w:rPr>
        <w:t>, 2020</w:t>
      </w:r>
      <w:r w:rsidR="006F53BA">
        <w:rPr>
          <w:b w:val="0"/>
          <w:bCs w:val="0"/>
        </w:rPr>
        <w:t>.</w:t>
      </w:r>
    </w:p>
    <w:p w:rsidR="00C443D6" w:rsidP="00094531" w:rsidRDefault="4A4BE01A" w14:paraId="13BD2D34" w14:textId="4CFE71F6">
      <w:pPr>
        <w:jc w:val="both"/>
      </w:pPr>
      <w:r>
        <w:t xml:space="preserve">En la Ilustración </w:t>
      </w:r>
      <w:r w:rsidR="00DD6760">
        <w:t>9</w:t>
      </w:r>
      <w:r>
        <w:t xml:space="preserve"> se observa la distribución de la titularidad minera en el país; si se compara con la Ilustración </w:t>
      </w:r>
      <w:r w:rsidR="00DD6760">
        <w:t>8</w:t>
      </w:r>
      <w:r>
        <w:t>, se puede apreciar que su ubicación coincide con la localización del potencial mineral del país representado en el mapa metalogénico de Colombia</w:t>
      </w:r>
      <w:r w:rsidR="00EC2EBA">
        <w:t>.</w:t>
      </w:r>
    </w:p>
    <w:p w:rsidR="007D08B8" w:rsidP="007D08B8" w:rsidRDefault="007D08B8" w14:paraId="1940E256" w14:textId="7CEFA332">
      <w:pPr>
        <w:pStyle w:val="Caption"/>
        <w:keepNext/>
      </w:pPr>
      <w:bookmarkStart w:name="_Toc210292709" w:id="682"/>
      <w:r>
        <w:t xml:space="preserve">Ilustración </w:t>
      </w:r>
      <w:r>
        <w:fldChar w:fldCharType="begin"/>
      </w:r>
      <w:r>
        <w:instrText>SEQ Ilustración \* ARABIC</w:instrText>
      </w:r>
      <w:r>
        <w:fldChar w:fldCharType="separate"/>
      </w:r>
      <w:r w:rsidR="00DD6760">
        <w:rPr>
          <w:noProof/>
        </w:rPr>
        <w:t>9</w:t>
      </w:r>
      <w:r>
        <w:fldChar w:fldCharType="end"/>
      </w:r>
      <w:r>
        <w:t>. Ubicación de títulos mineros en el país.</w:t>
      </w:r>
      <w:bookmarkEnd w:id="682"/>
    </w:p>
    <w:p w:rsidR="00C443D6" w:rsidP="00094531" w:rsidRDefault="00C443D6" w14:paraId="390AA26F" w14:textId="2059919D">
      <w:pPr>
        <w:jc w:val="center"/>
      </w:pPr>
      <w:r w:rsidRPr="00A01A6D">
        <w:rPr>
          <w:noProof/>
          <w:color w:val="2B579A"/>
          <w:shd w:val="clear" w:color="auto" w:fill="E6E6E6"/>
          <w:lang w:eastAsia="es-CO"/>
        </w:rPr>
        <w:drawing>
          <wp:inline distT="0" distB="0" distL="0" distR="0" wp14:anchorId="7E1D422C" wp14:editId="5201F4F2">
            <wp:extent cx="4978113" cy="606731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86923" cy="6078051"/>
                    </a:xfrm>
                    <a:prstGeom prst="rect">
                      <a:avLst/>
                    </a:prstGeom>
                    <a:noFill/>
                    <a:ln>
                      <a:noFill/>
                    </a:ln>
                  </pic:spPr>
                </pic:pic>
              </a:graphicData>
            </a:graphic>
          </wp:inline>
        </w:drawing>
      </w:r>
    </w:p>
    <w:p w:rsidRPr="006F53BA" w:rsidR="00C443D6" w:rsidP="00C443D6" w:rsidRDefault="5EFA0007" w14:paraId="68064959" w14:textId="4797C544">
      <w:pPr>
        <w:pStyle w:val="Caption"/>
        <w:rPr>
          <w:b w:val="0"/>
        </w:rPr>
      </w:pPr>
      <w:r>
        <w:rPr>
          <w:b w:val="0"/>
          <w:bCs w:val="0"/>
        </w:rPr>
        <w:t>Fuente: ANM</w:t>
      </w:r>
      <w:r w:rsidR="22B1B77D">
        <w:rPr>
          <w:b w:val="0"/>
          <w:bCs w:val="0"/>
        </w:rPr>
        <w:t>, 2020.</w:t>
      </w:r>
    </w:p>
    <w:p w:rsidR="005B0F98" w:rsidP="31226965" w:rsidRDefault="0B81F032" w14:paraId="6D5477A1" w14:textId="57D626BD">
      <w:pPr>
        <w:pStyle w:val="paragraph"/>
        <w:spacing w:after="160" w:afterAutospacing="0"/>
        <w:rPr>
          <w:rFonts w:asciiTheme="minorHAnsi" w:hAnsiTheme="minorHAnsi" w:eastAsiaTheme="minorEastAsia" w:cstheme="minorBidi"/>
          <w:kern w:val="2"/>
          <w:sz w:val="22"/>
          <w:szCs w:val="22"/>
          <w:lang w:eastAsia="en-US"/>
          <w14:ligatures w14:val="standardContextual"/>
        </w:rPr>
      </w:pPr>
      <w:r w:rsidRPr="31226965">
        <w:rPr>
          <w:rFonts w:asciiTheme="minorHAnsi" w:hAnsiTheme="minorHAnsi" w:eastAsiaTheme="minorEastAsia" w:cstheme="minorBidi"/>
          <w:sz w:val="22"/>
          <w:szCs w:val="22"/>
          <w:lang w:eastAsia="en-US"/>
        </w:rPr>
        <w:t xml:space="preserve">Las metas de desarrollo </w:t>
      </w:r>
      <w:r w:rsidRPr="31226965" w:rsidR="00B42405">
        <w:rPr>
          <w:rFonts w:asciiTheme="minorHAnsi" w:hAnsiTheme="minorHAnsi" w:eastAsiaTheme="minorEastAsia" w:cstheme="minorBidi"/>
          <w:sz w:val="22"/>
          <w:szCs w:val="22"/>
          <w:lang w:eastAsia="en-US"/>
        </w:rPr>
        <w:t xml:space="preserve">sostenible </w:t>
      </w:r>
      <w:r w:rsidRPr="31226965">
        <w:rPr>
          <w:rFonts w:asciiTheme="minorHAnsi" w:hAnsiTheme="minorHAnsi" w:eastAsiaTheme="minorEastAsia" w:cstheme="minorBidi"/>
          <w:sz w:val="22"/>
          <w:szCs w:val="22"/>
          <w:lang w:eastAsia="en-US"/>
        </w:rPr>
        <w:t xml:space="preserve">exigen, en términos globales, un consumo eficiente y responsable de recursos naturales, reduciendo impactos negativos que deterioran el ambiente como bien común de la humanidad </w:t>
      </w:r>
      <w:r w:rsidRPr="31226965" w:rsidR="00854605">
        <w:rPr>
          <w:rFonts w:asciiTheme="minorHAnsi" w:hAnsiTheme="minorHAnsi" w:eastAsiaTheme="minorEastAsia" w:cstheme="minorBidi"/>
          <w:sz w:val="22"/>
          <w:szCs w:val="22"/>
          <w:lang w:eastAsia="en-US"/>
        </w:rPr>
        <w:t>para</w:t>
      </w:r>
      <w:r w:rsidRPr="31226965">
        <w:rPr>
          <w:rFonts w:asciiTheme="minorHAnsi" w:hAnsiTheme="minorHAnsi" w:eastAsiaTheme="minorEastAsia" w:cstheme="minorBidi"/>
          <w:sz w:val="22"/>
          <w:szCs w:val="22"/>
          <w:lang w:eastAsia="en-US"/>
        </w:rPr>
        <w:t xml:space="preserve"> </w:t>
      </w:r>
      <w:r w:rsidRPr="31226965" w:rsidR="00153EE2">
        <w:rPr>
          <w:rFonts w:asciiTheme="minorHAnsi" w:hAnsiTheme="minorHAnsi" w:eastAsiaTheme="minorEastAsia" w:cstheme="minorBidi"/>
          <w:sz w:val="22"/>
          <w:szCs w:val="22"/>
          <w:lang w:eastAsia="en-US"/>
        </w:rPr>
        <w:t>garanti</w:t>
      </w:r>
      <w:r w:rsidRPr="31226965" w:rsidR="00854605">
        <w:rPr>
          <w:rFonts w:asciiTheme="minorHAnsi" w:hAnsiTheme="minorHAnsi" w:eastAsiaTheme="minorEastAsia" w:cstheme="minorBidi"/>
          <w:sz w:val="22"/>
          <w:szCs w:val="22"/>
          <w:lang w:eastAsia="en-US"/>
        </w:rPr>
        <w:t>zar</w:t>
      </w:r>
      <w:r w:rsidRPr="31226965" w:rsidR="00153EE2">
        <w:rPr>
          <w:rFonts w:asciiTheme="minorHAnsi" w:hAnsiTheme="minorHAnsi" w:eastAsiaTheme="minorEastAsia" w:cstheme="minorBidi"/>
          <w:sz w:val="22"/>
          <w:szCs w:val="22"/>
          <w:lang w:eastAsia="en-US"/>
        </w:rPr>
        <w:t xml:space="preserve"> </w:t>
      </w:r>
      <w:r w:rsidRPr="31226965">
        <w:rPr>
          <w:rFonts w:asciiTheme="minorHAnsi" w:hAnsiTheme="minorHAnsi" w:eastAsiaTheme="minorEastAsia" w:cstheme="minorBidi"/>
          <w:sz w:val="22"/>
          <w:szCs w:val="22"/>
          <w:lang w:eastAsia="en-US"/>
        </w:rPr>
        <w:t>el bienestar</w:t>
      </w:r>
      <w:r w:rsidRPr="31226965" w:rsidR="00153EE2">
        <w:rPr>
          <w:rFonts w:asciiTheme="minorHAnsi" w:hAnsiTheme="minorHAnsi" w:eastAsiaTheme="minorEastAsia" w:cstheme="minorBidi"/>
          <w:sz w:val="22"/>
          <w:szCs w:val="22"/>
          <w:lang w:eastAsia="en-US"/>
        </w:rPr>
        <w:t xml:space="preserve"> de la población actual y las generaciones venideras</w:t>
      </w:r>
      <w:r w:rsidRPr="31226965">
        <w:rPr>
          <w:rFonts w:asciiTheme="minorHAnsi" w:hAnsiTheme="minorHAnsi" w:eastAsiaTheme="minorEastAsia" w:cstheme="minorBidi"/>
          <w:sz w:val="22"/>
          <w:szCs w:val="22"/>
          <w:lang w:eastAsia="en-US"/>
        </w:rPr>
        <w:t>.  </w:t>
      </w:r>
      <w:r w:rsidRPr="31226965" w:rsidR="3BD38600">
        <w:rPr>
          <w:rFonts w:asciiTheme="minorHAnsi" w:hAnsiTheme="minorHAnsi" w:eastAsiaTheme="minorEastAsia" w:cstheme="minorBidi"/>
          <w:kern w:val="2"/>
          <w:sz w:val="22"/>
          <w:szCs w:val="22"/>
          <w:lang w:eastAsia="en-US"/>
          <w14:ligatures w14:val="standardContextual"/>
        </w:rPr>
        <w:t xml:space="preserve">Por consiguiente, </w:t>
      </w:r>
      <w:r w:rsidRPr="31226965" w:rsidR="19E6E321">
        <w:rPr>
          <w:rFonts w:asciiTheme="minorHAnsi" w:hAnsiTheme="minorHAnsi" w:eastAsiaTheme="minorEastAsia" w:cstheme="minorBidi"/>
          <w:kern w:val="2"/>
          <w:sz w:val="22"/>
          <w:szCs w:val="22"/>
          <w:lang w:eastAsia="en-US"/>
          <w14:ligatures w14:val="standardContextual"/>
        </w:rPr>
        <w:t>e</w:t>
      </w:r>
      <w:r w:rsidRPr="31226965" w:rsidR="1A596784">
        <w:rPr>
          <w:rFonts w:asciiTheme="minorHAnsi" w:hAnsiTheme="minorHAnsi" w:eastAsiaTheme="minorEastAsia" w:cstheme="minorBidi"/>
          <w:kern w:val="2"/>
          <w:sz w:val="22"/>
          <w:szCs w:val="22"/>
          <w:lang w:eastAsia="en-US"/>
          <w14:ligatures w14:val="standardContextual"/>
        </w:rPr>
        <w:t>l conocimiento geológico es la base para toma de decisiones en materia de política, planificación, ordenamiento del territorio, gestión del agua</w:t>
      </w:r>
      <w:r w:rsidRPr="31226965" w:rsidR="6B42FBE6">
        <w:rPr>
          <w:rFonts w:asciiTheme="minorHAnsi" w:hAnsiTheme="minorHAnsi" w:eastAsiaTheme="minorEastAsia" w:cstheme="minorBidi"/>
          <w:kern w:val="2"/>
          <w:sz w:val="22"/>
          <w:szCs w:val="22"/>
          <w:lang w:eastAsia="en-US"/>
          <w14:ligatures w14:val="standardContextual"/>
        </w:rPr>
        <w:t xml:space="preserve"> y</w:t>
      </w:r>
      <w:r w:rsidRPr="31226965" w:rsidR="1A596784">
        <w:rPr>
          <w:rFonts w:asciiTheme="minorHAnsi" w:hAnsiTheme="minorHAnsi" w:eastAsiaTheme="minorEastAsia" w:cstheme="minorBidi"/>
          <w:kern w:val="2"/>
          <w:sz w:val="22"/>
          <w:szCs w:val="22"/>
          <w:lang w:eastAsia="en-US"/>
          <w14:ligatures w14:val="standardContextual"/>
        </w:rPr>
        <w:t xml:space="preserve"> del riesgo, uso y aprovechamiento de los recursos del subsuelo, desarrollo de proyectos de infraestructura, entre otros. </w:t>
      </w:r>
      <w:r w:rsidRPr="31226965" w:rsidR="005B0F98">
        <w:rPr>
          <w:rFonts w:asciiTheme="minorHAnsi" w:hAnsiTheme="minorHAnsi" w:eastAsiaTheme="minorEastAsia" w:cstheme="minorBidi"/>
          <w:kern w:val="2"/>
          <w:sz w:val="22"/>
          <w:szCs w:val="22"/>
          <w:lang w:eastAsia="en-US"/>
          <w14:ligatures w14:val="standardContextual"/>
        </w:rPr>
        <w:t>Sin embargo, se presentan unas debilidades que deben ser fortalecidas a través de esta política:</w:t>
      </w:r>
    </w:p>
    <w:p w:rsidRPr="005B0F98" w:rsidR="00C443D6" w:rsidP="001C54B2" w:rsidRDefault="1A596784" w14:paraId="1A4227C0" w14:textId="2C48090F">
      <w:pPr>
        <w:pStyle w:val="paragraph"/>
        <w:numPr>
          <w:ilvl w:val="0"/>
          <w:numId w:val="17"/>
        </w:numPr>
        <w:spacing w:after="160" w:afterAutospacing="0"/>
        <w:rPr>
          <w:rFonts w:asciiTheme="minorHAnsi" w:hAnsiTheme="minorHAnsi" w:eastAsiaTheme="minorEastAsia" w:cstheme="minorBidi"/>
          <w:sz w:val="22"/>
          <w:szCs w:val="22"/>
          <w:lang w:eastAsia="en-US"/>
        </w:rPr>
      </w:pPr>
      <w:r w:rsidRPr="10A5A027">
        <w:rPr>
          <w:rFonts w:asciiTheme="minorHAnsi" w:hAnsiTheme="minorHAnsi" w:eastAsiaTheme="minorEastAsia" w:cstheme="minorBidi"/>
          <w:kern w:val="2"/>
          <w:sz w:val="22"/>
          <w:szCs w:val="22"/>
          <w:lang w:eastAsia="en-US"/>
          <w14:ligatures w14:val="standardContextual"/>
        </w:rPr>
        <w:t>La disponibilidad de este conocimiento sigue siendo insuficiente para atender las necesidades a los diferentes grupos de interés como instituciones, organizaciones no gubernamentales, comunidades, gremios, academia, entre otros, que usan esta información como base para sus estudios, proyectos, planificación y desarrollos.</w:t>
      </w:r>
    </w:p>
    <w:p w:rsidRPr="005B0F98" w:rsidR="00C443D6" w:rsidP="001C54B2" w:rsidRDefault="469BEC27" w14:paraId="30BDE0E3" w14:textId="70C4BCFF">
      <w:pPr>
        <w:pStyle w:val="ListParagraph"/>
        <w:numPr>
          <w:ilvl w:val="0"/>
          <w:numId w:val="17"/>
        </w:numPr>
        <w:jc w:val="both"/>
        <w:rPr>
          <w:rStyle w:val="eop"/>
          <w:rFonts w:cs="Arial"/>
          <w:b/>
          <w:bCs/>
        </w:rPr>
      </w:pPr>
      <w:r w:rsidRPr="005B0F98" w:rsidR="469BEC27">
        <w:rPr>
          <w:rStyle w:val="normaltextrun"/>
          <w:rFonts w:cs="Arial"/>
          <w:lang w:val="es-ES"/>
        </w:rPr>
        <w:t>Actualmente</w:t>
      </w:r>
      <w:r w:rsidRPr="005B0F98" w:rsidR="404EFB01">
        <w:rPr>
          <w:rStyle w:val="normaltextrun"/>
          <w:rFonts w:cs="Arial"/>
          <w:lang w:val="es-ES"/>
        </w:rPr>
        <w:t>,</w:t>
      </w:r>
      <w:r w:rsidRPr="005B0F98" w:rsidR="469BEC27">
        <w:rPr>
          <w:rStyle w:val="normaltextrun"/>
          <w:rFonts w:cs="Arial"/>
          <w:lang w:val="es-ES"/>
        </w:rPr>
        <w:t xml:space="preserve"> el conocimiento </w:t>
      </w:r>
      <w:proofErr w:type="spellStart"/>
      <w:r w:rsidRPr="005B0F98" w:rsidR="469BEC27">
        <w:rPr>
          <w:rStyle w:val="normaltextrun"/>
          <w:rFonts w:cs="Arial"/>
          <w:lang w:val="es-ES"/>
        </w:rPr>
        <w:t>geocientífico</w:t>
      </w:r>
      <w:proofErr w:type="spellEnd"/>
      <w:r w:rsidRPr="005B0F98" w:rsidR="469BEC27">
        <w:rPr>
          <w:rStyle w:val="normaltextrun"/>
          <w:rFonts w:cs="Arial"/>
          <w:lang w:val="es-ES"/>
        </w:rPr>
        <w:t xml:space="preserve"> e hidrogeológico se limita a zonas regionales</w:t>
      </w:r>
      <w:r w:rsidRPr="005B0F98" w:rsidR="50F9E712">
        <w:rPr>
          <w:rStyle w:val="normaltextrun"/>
          <w:rFonts w:cs="Arial"/>
          <w:lang w:val="es-ES"/>
        </w:rPr>
        <w:t>.</w:t>
      </w:r>
      <w:r w:rsidRPr="005B0F98" w:rsidR="469BEC27">
        <w:rPr>
          <w:rStyle w:val="normaltextrun"/>
          <w:rFonts w:cs="Arial"/>
          <w:lang w:val="es-ES"/>
        </w:rPr>
        <w:t xml:space="preserve"> </w:t>
      </w:r>
      <w:r w:rsidRPr="005B0F98" w:rsidR="50F9E712">
        <w:rPr>
          <w:rStyle w:val="normaltextrun"/>
          <w:rFonts w:cs="Arial"/>
          <w:lang w:val="es-ES"/>
        </w:rPr>
        <w:t>No hay</w:t>
      </w:r>
      <w:r w:rsidRPr="005B0F98" w:rsidR="469BEC27">
        <w:rPr>
          <w:rStyle w:val="normaltextrun"/>
          <w:rFonts w:cs="Arial"/>
          <w:lang w:val="es-ES"/>
        </w:rPr>
        <w:t xml:space="preserve"> un espectro de información a niveles municipales y departamentales que permitan mejorar los planes de ordenamiento territorial en cuanto al aprovechamiento de los recursos del subsuelo y el ordenamiento alrededor del agua, especialmente en la identificación de acuíferos y sus modelos de protección</w:t>
      </w:r>
      <w:r w:rsidRPr="005B0F98" w:rsidR="783B8773">
        <w:rPr>
          <w:rStyle w:val="normaltextrun"/>
          <w:rFonts w:cs="Arial"/>
          <w:lang w:val="es-ES"/>
        </w:rPr>
        <w:t>.</w:t>
      </w:r>
      <w:r w:rsidRPr="005B0F98" w:rsidR="165C4198">
        <w:rPr>
          <w:rStyle w:val="normaltextrun"/>
          <w:rFonts w:cs="Arial"/>
          <w:lang w:val="es-ES"/>
        </w:rPr>
        <w:t xml:space="preserve"> </w:t>
      </w:r>
      <w:r w:rsidRPr="005B0F98" w:rsidR="783B8773">
        <w:rPr>
          <w:rStyle w:val="normaltextrun"/>
          <w:rFonts w:cs="Arial"/>
          <w:lang w:val="es-ES"/>
        </w:rPr>
        <w:t>E</w:t>
      </w:r>
      <w:r w:rsidRPr="005B0F98" w:rsidR="469BEC27">
        <w:rPr>
          <w:rStyle w:val="normaltextrun"/>
          <w:rFonts w:cs="Arial"/>
          <w:lang w:val="es-ES"/>
        </w:rPr>
        <w:t>sto se debe</w:t>
      </w:r>
      <w:r w:rsidRPr="005B0F98" w:rsidR="783B8773">
        <w:rPr>
          <w:rStyle w:val="normaltextrun"/>
          <w:rFonts w:cs="Arial"/>
          <w:lang w:val="es-ES"/>
        </w:rPr>
        <w:t>,</w:t>
      </w:r>
      <w:r w:rsidRPr="005B0F98" w:rsidR="469BEC27">
        <w:rPr>
          <w:rStyle w:val="normaltextrun"/>
          <w:rFonts w:cs="Arial"/>
          <w:lang w:val="es-ES"/>
        </w:rPr>
        <w:t xml:space="preserve"> en gran parte</w:t>
      </w:r>
      <w:r w:rsidRPr="005B0F98" w:rsidR="783B8773">
        <w:rPr>
          <w:rStyle w:val="normaltextrun"/>
          <w:rFonts w:cs="Arial"/>
          <w:lang w:val="es-ES"/>
        </w:rPr>
        <w:t>,</w:t>
      </w:r>
      <w:r w:rsidRPr="005B0F98" w:rsidR="469BEC27">
        <w:rPr>
          <w:rStyle w:val="normaltextrun"/>
          <w:rFonts w:cs="Arial"/>
          <w:lang w:val="es-ES"/>
        </w:rPr>
        <w:t xml:space="preserve"> a la falta de metodologías de trabajo específicas para medios fracturados</w:t>
      </w:r>
      <w:r w:rsidRPr="4AE330D9" w:rsidR="00C443D6">
        <w:rPr>
          <w:rStyle w:val="FootnoteReference"/>
          <w:rFonts w:cs="Arial"/>
          <w:b w:val="1"/>
          <w:bCs w:val="1"/>
          <w:lang w:val="es-ES"/>
        </w:rPr>
        <w:footnoteReference w:id="65"/>
      </w:r>
      <w:r w:rsidRPr="005B0F98" w:rsidR="469BEC27">
        <w:rPr>
          <w:rStyle w:val="normaltextrun"/>
          <w:rFonts w:cs="Arial"/>
          <w:lang w:val="es-ES"/>
        </w:rPr>
        <w:t xml:space="preserve"> por donde se desplaza el agua y la evaluación del potencial de aguas subterráneas y su calidad.</w:t>
      </w:r>
      <w:r w:rsidRPr="005B0F98" w:rsidR="469BEC27">
        <w:rPr>
          <w:rStyle w:val="eop"/>
          <w:rFonts w:cs="Arial"/>
          <w:b w:val="1"/>
          <w:bCs w:val="1"/>
        </w:rPr>
        <w:t> </w:t>
      </w:r>
    </w:p>
    <w:p w:rsidR="00C443D6" w:rsidP="001C54B2" w:rsidRDefault="1A596784" w14:paraId="792DD1D5" w14:textId="518E9917">
      <w:pPr>
        <w:pStyle w:val="paragraph"/>
        <w:numPr>
          <w:ilvl w:val="0"/>
          <w:numId w:val="17"/>
        </w:numPr>
        <w:spacing w:after="160" w:afterAutospacing="0"/>
        <w:rPr>
          <w:rStyle w:val="normaltextrun"/>
          <w:rFonts w:cs="Arial" w:asciiTheme="minorHAnsi" w:hAnsiTheme="minorHAnsi" w:eastAsiaTheme="minorEastAsia"/>
          <w:kern w:val="2"/>
          <w:sz w:val="22"/>
          <w:szCs w:val="22"/>
          <w:lang w:val="es-ES" w:eastAsia="en-US"/>
          <w14:ligatures w14:val="standardContextual"/>
        </w:rPr>
      </w:pPr>
      <w:r w:rsidRPr="10A5A027">
        <w:rPr>
          <w:rFonts w:asciiTheme="minorHAnsi" w:hAnsiTheme="minorHAnsi" w:eastAsiaTheme="minorEastAsia" w:cstheme="minorBidi"/>
          <w:kern w:val="2"/>
          <w:sz w:val="22"/>
          <w:szCs w:val="22"/>
          <w:lang w:eastAsia="en-US"/>
          <w14:ligatures w14:val="standardContextual"/>
        </w:rPr>
        <w:t>Colombia requiere avanzar en el conocimiento de los recursos minerales del subsuelo, de tal modo que se identifiquen áreas en donde hay mayor potencial de recursos minerales</w:t>
      </w:r>
      <w:r w:rsidRPr="10A5A027" w:rsidR="31D20A08">
        <w:rPr>
          <w:rFonts w:asciiTheme="minorHAnsi" w:hAnsiTheme="minorHAnsi" w:eastAsiaTheme="minorEastAsia" w:cstheme="minorBidi"/>
          <w:kern w:val="2"/>
          <w:sz w:val="22"/>
          <w:szCs w:val="22"/>
          <w:lang w:eastAsia="en-US"/>
          <w14:ligatures w14:val="standardContextual"/>
        </w:rPr>
        <w:t xml:space="preserve">, así </w:t>
      </w:r>
      <w:r w:rsidRPr="10A5A027" w:rsidR="1C9B88DB">
        <w:rPr>
          <w:rFonts w:asciiTheme="minorHAnsi" w:hAnsiTheme="minorHAnsi" w:eastAsiaTheme="minorEastAsia" w:cstheme="minorBidi"/>
          <w:kern w:val="2"/>
          <w:sz w:val="22"/>
          <w:szCs w:val="22"/>
          <w:lang w:eastAsia="en-US"/>
          <w14:ligatures w14:val="standardContextual"/>
        </w:rPr>
        <w:t>como conocer</w:t>
      </w:r>
      <w:r w:rsidRPr="10A5A027">
        <w:rPr>
          <w:rFonts w:asciiTheme="minorHAnsi" w:hAnsiTheme="minorHAnsi" w:eastAsiaTheme="minorEastAsia" w:cstheme="minorBidi"/>
          <w:kern w:val="2"/>
          <w:sz w:val="22"/>
          <w:szCs w:val="22"/>
          <w:lang w:eastAsia="en-US"/>
          <w14:ligatures w14:val="standardContextual"/>
        </w:rPr>
        <w:t xml:space="preserve"> </w:t>
      </w:r>
      <w:r w:rsidRPr="10A5A027" w:rsidR="31D20A08">
        <w:rPr>
          <w:rFonts w:asciiTheme="minorHAnsi" w:hAnsiTheme="minorHAnsi" w:eastAsiaTheme="minorEastAsia" w:cstheme="minorBidi"/>
          <w:kern w:val="2"/>
          <w:sz w:val="22"/>
          <w:szCs w:val="22"/>
          <w:lang w:eastAsia="en-US"/>
          <w14:ligatures w14:val="standardContextual"/>
        </w:rPr>
        <w:t>el</w:t>
      </w:r>
      <w:r w:rsidRPr="10A5A027" w:rsidR="613C4BF0">
        <w:rPr>
          <w:rFonts w:asciiTheme="minorHAnsi" w:hAnsiTheme="minorHAnsi" w:eastAsiaTheme="minorEastAsia" w:cstheme="minorBidi"/>
          <w:kern w:val="2"/>
          <w:sz w:val="22"/>
          <w:szCs w:val="22"/>
          <w:lang w:eastAsia="en-US"/>
          <w14:ligatures w14:val="standardContextual"/>
        </w:rPr>
        <w:t xml:space="preserve"> </w:t>
      </w:r>
      <w:r w:rsidRPr="10A5A027">
        <w:rPr>
          <w:rFonts w:asciiTheme="minorHAnsi" w:hAnsiTheme="minorHAnsi" w:eastAsiaTheme="minorEastAsia" w:cstheme="minorBidi"/>
          <w:kern w:val="2"/>
          <w:sz w:val="22"/>
          <w:szCs w:val="22"/>
          <w:lang w:eastAsia="en-US"/>
          <w14:ligatures w14:val="standardContextual"/>
        </w:rPr>
        <w:t>origen, distribución e influencia de los recursos naturales no renovables del territorio colombiano. </w:t>
      </w:r>
      <w:r w:rsidRPr="10A5A027">
        <w:rPr>
          <w:rStyle w:val="normaltextrun"/>
          <w:rFonts w:cs="Arial" w:asciiTheme="minorHAnsi" w:hAnsiTheme="minorHAnsi" w:eastAsiaTheme="minorEastAsia"/>
          <w:kern w:val="2"/>
          <w:sz w:val="22"/>
          <w:szCs w:val="22"/>
          <w:lang w:val="es-ES" w:eastAsia="en-US"/>
          <w14:ligatures w14:val="standardContextual"/>
        </w:rPr>
        <w:t xml:space="preserve"> </w:t>
      </w:r>
    </w:p>
    <w:p w:rsidR="00CF797F" w:rsidP="001C54B2" w:rsidRDefault="2B809397" w14:paraId="0746E3C1" w14:textId="11BA2699">
      <w:pPr>
        <w:pStyle w:val="ListParagraph"/>
        <w:numPr>
          <w:ilvl w:val="0"/>
          <w:numId w:val="17"/>
        </w:numPr>
        <w:jc w:val="both"/>
        <w:rPr>
          <w:noProof/>
          <w:lang w:val="es-ES"/>
        </w:rPr>
      </w:pPr>
      <w:r w:rsidRPr="005B0F98">
        <w:rPr>
          <w:noProof/>
          <w:lang w:val="es-ES"/>
        </w:rPr>
        <w:t xml:space="preserve">El </w:t>
      </w:r>
      <w:r w:rsidRPr="005B0F98" w:rsidR="6B824138">
        <w:rPr>
          <w:noProof/>
          <w:lang w:val="es-ES"/>
        </w:rPr>
        <w:t>SGC</w:t>
      </w:r>
      <w:r w:rsidRPr="005B0F98" w:rsidR="009A5337">
        <w:rPr>
          <w:noProof/>
          <w:lang w:val="es-ES"/>
        </w:rPr>
        <w:t xml:space="preserve"> </w:t>
      </w:r>
      <w:r w:rsidRPr="005B0F98">
        <w:rPr>
          <w:noProof/>
          <w:lang w:val="es-ES"/>
        </w:rPr>
        <w:t xml:space="preserve">debe aportar </w:t>
      </w:r>
      <w:r w:rsidRPr="005B0F98" w:rsidR="009A5337">
        <w:rPr>
          <w:noProof/>
          <w:lang w:val="es-ES"/>
        </w:rPr>
        <w:t xml:space="preserve">al país </w:t>
      </w:r>
      <w:r w:rsidRPr="005B0F98">
        <w:rPr>
          <w:noProof/>
          <w:lang w:val="es-ES"/>
        </w:rPr>
        <w:t>información sobre la existencia de RNNR</w:t>
      </w:r>
      <w:r w:rsidRPr="005B0F98" w:rsidR="009A5337">
        <w:rPr>
          <w:noProof/>
          <w:lang w:val="es-ES"/>
        </w:rPr>
        <w:t xml:space="preserve"> a través de la prospección geológica</w:t>
      </w:r>
      <w:r w:rsidRPr="005B0F98">
        <w:rPr>
          <w:noProof/>
          <w:lang w:val="es-ES"/>
        </w:rPr>
        <w:t xml:space="preserve">, entre ellos, los minerales estratégicos que </w:t>
      </w:r>
      <w:r w:rsidRPr="005B0F98" w:rsidR="009A5337">
        <w:rPr>
          <w:noProof/>
          <w:lang w:val="es-ES"/>
        </w:rPr>
        <w:t xml:space="preserve">han sido </w:t>
      </w:r>
      <w:r w:rsidRPr="005B0F98">
        <w:rPr>
          <w:noProof/>
          <w:lang w:val="es-ES"/>
        </w:rPr>
        <w:t>definidos por la ANM</w:t>
      </w:r>
      <w:r w:rsidRPr="005B0F98">
        <w:rPr>
          <w:b/>
          <w:bCs/>
          <w:noProof/>
          <w:lang w:val="es-ES"/>
        </w:rPr>
        <w:t>.</w:t>
      </w:r>
      <w:r w:rsidRPr="005B0F98">
        <w:rPr>
          <w:noProof/>
          <w:lang w:val="es-ES"/>
        </w:rPr>
        <w:t xml:space="preserve"> El Mapa Metal</w:t>
      </w:r>
      <w:r w:rsidRPr="005B0F98" w:rsidR="156DB601">
        <w:rPr>
          <w:noProof/>
          <w:lang w:val="es-ES"/>
        </w:rPr>
        <w:t>o</w:t>
      </w:r>
      <w:r w:rsidRPr="005B0F98">
        <w:rPr>
          <w:noProof/>
          <w:lang w:val="es-ES"/>
        </w:rPr>
        <w:t>génico de Colombia tendrá un carácter reservado mientras la autoridad minera avanza con exploración básica para determinar el potencial y los recursos estratégicos</w:t>
      </w:r>
      <w:r w:rsidRPr="005B0F98" w:rsidR="006C6E3D">
        <w:rPr>
          <w:noProof/>
          <w:lang w:val="es-ES"/>
        </w:rPr>
        <w:t xml:space="preserve">. </w:t>
      </w:r>
    </w:p>
    <w:p w:rsidRPr="005B0F98" w:rsidR="00320271" w:rsidP="00320271" w:rsidRDefault="00320271" w14:paraId="348B8FD7" w14:textId="77777777">
      <w:pPr>
        <w:pStyle w:val="ListParagraph"/>
        <w:jc w:val="both"/>
        <w:rPr>
          <w:noProof/>
          <w:lang w:val="es-ES"/>
        </w:rPr>
      </w:pPr>
    </w:p>
    <w:p w:rsidRPr="004921BF" w:rsidR="00C443D6" w:rsidRDefault="5EFA0007" w14:paraId="0B0D0FC8" w14:textId="2B5548DA">
      <w:pPr>
        <w:pStyle w:val="Heading2"/>
        <w:numPr>
          <w:ilvl w:val="0"/>
          <w:numId w:val="9"/>
        </w:numPr>
        <w:ind w:left="426"/>
      </w:pPr>
      <w:bookmarkStart w:name="_Hlk209104318" w:id="683"/>
      <w:r>
        <w:t xml:space="preserve"> </w:t>
      </w:r>
      <w:bookmarkStart w:name="_Toc135903127" w:id="684"/>
      <w:bookmarkStart w:name="_Toc199511974" w:id="685"/>
      <w:bookmarkStart w:name="_Toc1245715478" w:id="686"/>
      <w:bookmarkStart w:name="_Toc2136059660" w:id="687"/>
      <w:bookmarkStart w:name="_Toc95537572" w:id="688"/>
      <w:bookmarkStart w:name="_Toc180168504" w:id="689"/>
      <w:bookmarkStart w:name="_Toc817719578" w:id="690"/>
      <w:bookmarkStart w:name="_Toc2115942889" w:id="691"/>
      <w:bookmarkStart w:name="_Toc1719627745" w:id="692"/>
      <w:bookmarkStart w:name="_Toc85968867" w:id="693"/>
      <w:bookmarkStart w:name="_Toc842281754" w:id="694"/>
      <w:bookmarkStart w:name="_Toc826705750" w:id="695"/>
      <w:bookmarkStart w:name="_Toc1292689903" w:id="696"/>
      <w:bookmarkStart w:name="_Toc1040440262" w:id="697"/>
      <w:bookmarkStart w:name="_Toc2089126387" w:id="698"/>
      <w:bookmarkStart w:name="_Toc723135656" w:id="699"/>
      <w:bookmarkStart w:name="_Toc1690877493" w:id="700"/>
      <w:bookmarkStart w:name="_Toc1248711893" w:id="701"/>
      <w:bookmarkStart w:name="_Toc2043723897" w:id="702"/>
      <w:bookmarkStart w:name="_Toc1757022131" w:id="703"/>
      <w:bookmarkStart w:name="_Toc168508302" w:id="704"/>
      <w:bookmarkStart w:name="_Toc1760867959" w:id="705"/>
      <w:bookmarkStart w:name="_Toc1773643476" w:id="706"/>
      <w:bookmarkStart w:name="_Toc440246242" w:id="707"/>
      <w:bookmarkStart w:name="_Toc620881643" w:id="708"/>
      <w:bookmarkStart w:name="_Toc1290798348" w:id="709"/>
      <w:bookmarkStart w:name="_Toc2094918322" w:id="710"/>
      <w:bookmarkStart w:name="_Toc1571050990" w:id="711"/>
      <w:bookmarkStart w:name="_Toc210292982" w:id="712"/>
      <w:r w:rsidRPr="00281F64" w:rsidR="00281F64">
        <w:t xml:space="preserve">Bajo nivel de desarrollo empresarial </w:t>
      </w:r>
      <w:r w:rsidR="00281F64">
        <w:t xml:space="preserve">y de </w:t>
      </w:r>
      <w:r>
        <w:t>cadenas de valor en la industria minera</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r w:rsidR="00281F64">
        <w:t>.</w:t>
      </w:r>
      <w:bookmarkEnd w:id="712"/>
    </w:p>
    <w:p w:rsidRPr="001E3E7E" w:rsidR="00C443D6" w:rsidP="00C443D6" w:rsidRDefault="00C443D6" w14:paraId="0F231C23" w14:textId="77777777">
      <w:pPr>
        <w:rPr>
          <w:lang w:val="es-ES"/>
        </w:rPr>
      </w:pPr>
    </w:p>
    <w:p w:rsidR="006B5D50" w:rsidP="006B5D50" w:rsidRDefault="006B5D50" w14:paraId="6E802C84" w14:textId="77777777">
      <w:pPr>
        <w:jc w:val="both"/>
        <w:rPr>
          <w:lang w:val="es-ES"/>
        </w:rPr>
      </w:pPr>
      <w:r w:rsidRPr="00E62058">
        <w:rPr>
          <w:lang w:val="es-ES"/>
        </w:rPr>
        <w:t>El sector minero-energético constituye un pilar fundamental para la economía colombiana, siendo una fuente significativa de empleo regional y de ingresos fiscales que sustentan el crecimiento nacional. No obstante, este sector enfrenta desafíos complejos que limitan su potencial de desarrollo sostenible y su contribución a una economía más diversificada e industrializada.</w:t>
      </w:r>
    </w:p>
    <w:p w:rsidR="006B5D50" w:rsidP="006B5D50" w:rsidRDefault="006B5D50" w14:paraId="7B0667C0" w14:textId="67EF301A">
      <w:pPr>
        <w:jc w:val="both"/>
        <w:rPr>
          <w:lang w:val="es-ES"/>
        </w:rPr>
      </w:pPr>
      <w:r w:rsidRPr="00E62058">
        <w:rPr>
          <w:lang w:val="es-ES"/>
        </w:rPr>
        <w:t xml:space="preserve">Colombia presenta un patrón económico de enclave, basado en la exportación de </w:t>
      </w:r>
      <w:proofErr w:type="spellStart"/>
      <w:r w:rsidRPr="00E62058">
        <w:rPr>
          <w:lang w:val="es-ES"/>
        </w:rPr>
        <w:t>commodities</w:t>
      </w:r>
      <w:proofErr w:type="spellEnd"/>
      <w:r w:rsidRPr="00E62058">
        <w:rPr>
          <w:lang w:val="es-ES"/>
        </w:rPr>
        <w:t xml:space="preserve"> (carbón térmico, petróleo, níquel, oro, etc.) con un perfil metabólico minero-energético fósil. Este modelo extractivista y rentista ha generado impactos socioambientales adversos, ha concentrado los derechos sobre los recursos naturales y no ha logrado impulsar la industrialización con cadenas de valor agregado, comprometiendo la seguridad energética y el potencial de biodiversidad del país.</w:t>
      </w:r>
    </w:p>
    <w:p w:rsidR="006B5D50" w:rsidP="006B5D50" w:rsidRDefault="006B5D50" w14:paraId="1D416766" w14:textId="77777777">
      <w:pPr>
        <w:jc w:val="both"/>
        <w:rPr>
          <w:rFonts w:ascii="Calibri" w:hAnsi="Calibri" w:eastAsia="Calibri" w:cs="Calibri"/>
        </w:rPr>
      </w:pPr>
      <w:r w:rsidRPr="005308F1">
        <w:rPr>
          <w:rFonts w:ascii="Calibri" w:hAnsi="Calibri" w:eastAsia="Calibri" w:cs="Calibri"/>
        </w:rPr>
        <w:t>La extracción de minerales en el país se ha concentrado principalmente en la explotación de oro, carbón, níquel, materiales de construcción y esmeraldas. Sin embargo, gran parte de esta producción se destina a la exportación en forma de materia prima, lo que limita la generación de valor agregado dentro del territorio nacional y reduce las oportunidades de desarrollo de cadenas productivas, industriales y tecnológicas asociadas a estos recursos.</w:t>
      </w:r>
    </w:p>
    <w:p w:rsidRPr="00EC723A" w:rsidR="00A31A1A" w:rsidP="00A31A1A" w:rsidRDefault="00A31A1A" w14:paraId="5AF7E9BC" w14:textId="7BB27DB4">
      <w:pPr>
        <w:spacing w:line="257" w:lineRule="auto"/>
        <w:jc w:val="both"/>
        <w:rPr>
          <w:rFonts w:ascii="Calibri" w:hAnsi="Calibri" w:eastAsia="Calibri" w:cs="Calibri"/>
        </w:rPr>
      </w:pPr>
      <w:r w:rsidRPr="005308F1">
        <w:rPr>
          <w:rFonts w:ascii="Calibri" w:hAnsi="Calibri" w:eastAsia="Calibri" w:cs="Calibri"/>
        </w:rPr>
        <w:t>En la Ilustración 1</w:t>
      </w:r>
      <w:r w:rsidR="00DD6760">
        <w:rPr>
          <w:rFonts w:ascii="Calibri" w:hAnsi="Calibri" w:eastAsia="Calibri" w:cs="Calibri"/>
        </w:rPr>
        <w:t>0</w:t>
      </w:r>
      <w:r w:rsidRPr="005308F1">
        <w:rPr>
          <w:rFonts w:ascii="Calibri" w:hAnsi="Calibri" w:eastAsia="Calibri" w:cs="Calibri"/>
        </w:rPr>
        <w:t xml:space="preserve"> se presenta la evolución de la producción de carbón, níquel, oro y esmeraldas en el país entre 2014 y 2024. Los resultados reflejan dinámicas contrastantes entre estos minerales. En el caso del carbón, se observa una disminución sostenida a partir de 2019, asociada tanto al avance de las políticas globales de transición energética como al impacto de la pandemia de COVID-19 en 2020, que redujo la demanda y limitó las operaciones mineras.</w:t>
      </w:r>
    </w:p>
    <w:p w:rsidR="00377042" w:rsidP="00377042" w:rsidRDefault="12BCD711" w14:paraId="48871C9E" w14:textId="6F974A54">
      <w:pPr>
        <w:pStyle w:val="Caption"/>
        <w:keepNext/>
      </w:pPr>
      <w:bookmarkStart w:name="_Toc210292710" w:id="713"/>
      <w:r>
        <w:t xml:space="preserve">Ilustración </w:t>
      </w:r>
      <w:r w:rsidR="00377042">
        <w:fldChar w:fldCharType="begin"/>
      </w:r>
      <w:r w:rsidR="00377042">
        <w:instrText>SEQ Ilustración \* ARABIC</w:instrText>
      </w:r>
      <w:r w:rsidR="00377042">
        <w:fldChar w:fldCharType="separate"/>
      </w:r>
      <w:r w:rsidRPr="02062875" w:rsidR="2E0FC2D2">
        <w:rPr>
          <w:noProof/>
        </w:rPr>
        <w:t>10</w:t>
      </w:r>
      <w:r w:rsidR="00377042">
        <w:fldChar w:fldCharType="end"/>
      </w:r>
      <w:r>
        <w:t>. Minerales más representativos por volúmenes de producción.</w:t>
      </w:r>
      <w:bookmarkEnd w:id="713"/>
    </w:p>
    <w:p w:rsidR="00C443D6" w:rsidP="02062875" w:rsidRDefault="37D00BB0" w14:paraId="03F59023" w14:textId="7006224F">
      <w:r>
        <w:rPr>
          <w:noProof/>
        </w:rPr>
        <w:drawing>
          <wp:inline distT="0" distB="0" distL="0" distR="0" wp14:anchorId="4D5793C7" wp14:editId="3A404512">
            <wp:extent cx="5523455" cy="4761389"/>
            <wp:effectExtent l="0" t="0" r="0" b="0"/>
            <wp:docPr id="7508075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807555" name=""/>
                    <pic:cNvPicPr/>
                  </pic:nvPicPr>
                  <pic:blipFill>
                    <a:blip r:embed="rId28">
                      <a:extLst>
                        <a:ext uri="{28A0092B-C50C-407E-A947-70E740481C1C}">
                          <a14:useLocalDpi xmlns:a14="http://schemas.microsoft.com/office/drawing/2010/main" val="0"/>
                        </a:ext>
                      </a:extLst>
                    </a:blip>
                    <a:stretch>
                      <a:fillRect/>
                    </a:stretch>
                  </pic:blipFill>
                  <pic:spPr>
                    <a:xfrm>
                      <a:off x="0" y="0"/>
                      <a:ext cx="5523455" cy="4761389"/>
                    </a:xfrm>
                    <a:prstGeom prst="rect">
                      <a:avLst/>
                    </a:prstGeom>
                  </pic:spPr>
                </pic:pic>
              </a:graphicData>
            </a:graphic>
          </wp:inline>
        </w:drawing>
      </w:r>
    </w:p>
    <w:p w:rsidRPr="00192D6C" w:rsidR="00D515FF" w:rsidP="00305777" w:rsidRDefault="00D515FF" w14:paraId="4E8FC237" w14:textId="157D597A">
      <w:pPr>
        <w:jc w:val="center"/>
        <w:rPr>
          <w:rFonts w:eastAsia="Calibri" w:cs="Times New Roman"/>
          <w:iCs/>
          <w:sz w:val="18"/>
          <w:szCs w:val="18"/>
        </w:rPr>
      </w:pPr>
      <w:r>
        <w:rPr>
          <w:rFonts w:eastAsia="Calibri" w:cs="Times New Roman"/>
          <w:iCs/>
          <w:sz w:val="18"/>
          <w:szCs w:val="18"/>
        </w:rPr>
        <w:t xml:space="preserve">Fuente: Elaboración propia, con base en </w:t>
      </w:r>
      <w:r w:rsidR="00305777">
        <w:rPr>
          <w:rFonts w:eastAsia="Calibri" w:cs="Times New Roman"/>
          <w:iCs/>
          <w:sz w:val="18"/>
          <w:szCs w:val="18"/>
        </w:rPr>
        <w:t>SIMCO (</w:t>
      </w:r>
      <w:r w:rsidRPr="00305777" w:rsidR="00305777">
        <w:rPr>
          <w:rFonts w:eastAsia="Calibri" w:cs="Times New Roman"/>
          <w:iCs/>
          <w:sz w:val="18"/>
          <w:szCs w:val="18"/>
        </w:rPr>
        <w:t>Producción, regalías y comercio exterior</w:t>
      </w:r>
      <w:r w:rsidR="00305777">
        <w:rPr>
          <w:rFonts w:eastAsia="Calibri" w:cs="Times New Roman"/>
          <w:iCs/>
          <w:sz w:val="18"/>
          <w:szCs w:val="18"/>
        </w:rPr>
        <w:t>), 2024.</w:t>
      </w:r>
    </w:p>
    <w:p w:rsidR="00A31A1A" w:rsidP="00A31A1A" w:rsidRDefault="00A31A1A" w14:paraId="0B509D65" w14:textId="77777777">
      <w:pPr>
        <w:spacing w:line="257" w:lineRule="auto"/>
        <w:jc w:val="both"/>
        <w:rPr>
          <w:rFonts w:ascii="Calibri" w:hAnsi="Calibri" w:eastAsia="Calibri" w:cs="Calibri"/>
        </w:rPr>
      </w:pPr>
      <w:r w:rsidRPr="005308F1">
        <w:rPr>
          <w:rFonts w:ascii="Calibri" w:hAnsi="Calibri" w:eastAsia="Calibri" w:cs="Calibri"/>
        </w:rPr>
        <w:t>El níquel muestra un comportamiento más estable, con niveles de producción que han oscilado entre 80 y 95 millones de toneladas anuales. Esta regularidad evidencia la continuidad operativa en el departamento de Córdoba y la importancia estratégica del ferroníquel en los mercados internacionales. En contraste, el oro presenta una evolución más volátil: tras la fuerte caída registrada en 2017 (43,1 millones de gramos), se dio una recuperación progresiva que alcanzó picos en 2021 y 2023, superando los 60 millones de gramos impulsada por el alza de los precios internacionales.</w:t>
      </w:r>
    </w:p>
    <w:p w:rsidRPr="00EC723A" w:rsidR="00A31A1A" w:rsidP="00A31A1A" w:rsidRDefault="00A31A1A" w14:paraId="12A7CC8D" w14:textId="77777777">
      <w:pPr>
        <w:spacing w:line="257" w:lineRule="auto"/>
        <w:jc w:val="both"/>
        <w:rPr>
          <w:rFonts w:ascii="Calibri" w:hAnsi="Calibri" w:eastAsia="Calibri" w:cs="Calibri"/>
        </w:rPr>
      </w:pPr>
      <w:r w:rsidRPr="005308F1">
        <w:rPr>
          <w:rFonts w:ascii="Calibri" w:hAnsi="Calibri" w:eastAsia="Calibri" w:cs="Calibri"/>
        </w:rPr>
        <w:t>El escenario más crítico corresponde a las esmeraldas, cuya producción descendió de más de 23 millones de quilates en 2017 a 1.3 millones en 2024. En conjunto, estas tendencias evidencian la urgencia de diversificar y sofisticar las cadenas de valor minero-energéticas del país, potenciando los sectores con mayor estabilidad, como el níquel y el oro, y replanteando estrategias para reducir la vulnerabilidad del carbón y las esmeraldas frente a los cambios estructurales del mercado.</w:t>
      </w:r>
    </w:p>
    <w:p w:rsidR="00A31A1A" w:rsidP="00A31A1A" w:rsidRDefault="00A31A1A" w14:paraId="6E5DDF56" w14:textId="1048902E">
      <w:pPr>
        <w:spacing w:line="257" w:lineRule="auto"/>
        <w:jc w:val="both"/>
        <w:rPr>
          <w:rFonts w:eastAsiaTheme="minorEastAsia"/>
        </w:rPr>
      </w:pPr>
      <w:r w:rsidRPr="005308F1">
        <w:rPr>
          <w:rFonts w:ascii="Calibri" w:hAnsi="Calibri" w:eastAsia="Calibri" w:cs="Calibri"/>
        </w:rPr>
        <w:t xml:space="preserve">La tendencia más reciente muestra una reducción progresiva en el peso del sector dentro de la economía nacional. Según las proyecciones de 2024, el PIB minero alcanzaría $11,02 billones, equivalente al 1,11 % del PIB total, con una distribución interna de 52,6 % para la extracción de carbón, 30,9 % para los minerales metalíferos, 15,1 % para otros minerales y 1,4 % en actividades de apoyo. Estas cifras reflejan una pérdida relativa de participación del carbón respecto al promedio histórico, compensada por un ligero aumento en la participación de los minerales metalíferos y no metálicos, lo que sugiere un proceso de diversificación dentro del sector </w:t>
      </w:r>
      <w:r w:rsidRPr="005308F1">
        <w:rPr>
          <w:rFonts w:eastAsiaTheme="minorEastAsia"/>
        </w:rPr>
        <w:t>(Ver Ilustración 1</w:t>
      </w:r>
      <w:r w:rsidR="00DD6760">
        <w:rPr>
          <w:rFonts w:eastAsiaTheme="minorEastAsia"/>
        </w:rPr>
        <w:t>1</w:t>
      </w:r>
      <w:r w:rsidRPr="005308F1">
        <w:rPr>
          <w:rFonts w:eastAsiaTheme="minorEastAsia"/>
        </w:rPr>
        <w:t>).</w:t>
      </w:r>
    </w:p>
    <w:p w:rsidR="00CB5A7E" w:rsidP="00CB5A7E" w:rsidRDefault="6EA23B0F" w14:paraId="144C73BC" w14:textId="4A16E4F7">
      <w:pPr>
        <w:pStyle w:val="Caption"/>
      </w:pPr>
      <w:bookmarkStart w:name="_Toc210292711" w:id="714"/>
      <w:r>
        <w:t xml:space="preserve">Ilustración </w:t>
      </w:r>
      <w:r w:rsidR="00CB5A7E">
        <w:fldChar w:fldCharType="begin"/>
      </w:r>
      <w:r w:rsidR="00CB5A7E">
        <w:instrText>SEQ Ilustración \* ARABIC</w:instrText>
      </w:r>
      <w:r w:rsidR="00CB5A7E">
        <w:fldChar w:fldCharType="separate"/>
      </w:r>
      <w:r w:rsidRPr="02062875" w:rsidR="2E0FC2D2">
        <w:rPr>
          <w:noProof/>
        </w:rPr>
        <w:t>11</w:t>
      </w:r>
      <w:r w:rsidR="00CB5A7E">
        <w:fldChar w:fldCharType="end"/>
      </w:r>
      <w:r>
        <w:t>. Producto Interno Bruto (PIB) – Sector Minero</w:t>
      </w:r>
      <w:r w:rsidR="5968BA71">
        <w:t>.</w:t>
      </w:r>
      <w:bookmarkEnd w:id="714"/>
    </w:p>
    <w:p w:rsidRPr="006F53BA" w:rsidR="00CB5A7E" w:rsidP="02062875" w:rsidRDefault="7F7262D1" w14:paraId="38050BDC" w14:textId="7D882E6F">
      <w:pPr>
        <w:jc w:val="center"/>
        <w:rPr>
          <w:w w:val="85"/>
          <w:sz w:val="18"/>
          <w:szCs w:val="18"/>
        </w:rPr>
      </w:pPr>
      <w:r>
        <w:rPr>
          <w:noProof/>
        </w:rPr>
        <w:drawing>
          <wp:inline distT="0" distB="0" distL="0" distR="0" wp14:anchorId="03D7384F" wp14:editId="67E3C104">
            <wp:extent cx="5523455" cy="2621507"/>
            <wp:effectExtent l="0" t="0" r="0" b="0"/>
            <wp:docPr id="147850105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501051" name=""/>
                    <pic:cNvPicPr/>
                  </pic:nvPicPr>
                  <pic:blipFill>
                    <a:blip r:embed="rId29">
                      <a:extLst>
                        <a:ext uri="{28A0092B-C50C-407E-A947-70E740481C1C}">
                          <a14:useLocalDpi xmlns:a14="http://schemas.microsoft.com/office/drawing/2010/main" val="0"/>
                        </a:ext>
                      </a:extLst>
                    </a:blip>
                    <a:stretch>
                      <a:fillRect/>
                    </a:stretch>
                  </pic:blipFill>
                  <pic:spPr>
                    <a:xfrm>
                      <a:off x="0" y="0"/>
                      <a:ext cx="5523455" cy="2621507"/>
                    </a:xfrm>
                    <a:prstGeom prst="rect">
                      <a:avLst/>
                    </a:prstGeom>
                  </pic:spPr>
                </pic:pic>
              </a:graphicData>
            </a:graphic>
          </wp:inline>
        </w:drawing>
      </w:r>
      <w:r w:rsidRPr="02062875" w:rsidR="6EA23B0F">
        <w:rPr>
          <w:rFonts w:cstheme="minorBidi"/>
          <w:w w:val="85"/>
          <w:sz w:val="18"/>
          <w:szCs w:val="18"/>
        </w:rPr>
        <w:t xml:space="preserve">Fuente: </w:t>
      </w:r>
      <w:r w:rsidRPr="02062875" w:rsidR="5760106F">
        <w:rPr>
          <w:rFonts w:cstheme="minorBidi"/>
          <w:w w:val="85"/>
          <w:sz w:val="18"/>
          <w:szCs w:val="18"/>
        </w:rPr>
        <w:t>Boletín estadístico informativo. Minería en cifras. UPME - ANM, 2024.</w:t>
      </w:r>
    </w:p>
    <w:p w:rsidR="00AE38DB" w:rsidP="00AE38DB" w:rsidRDefault="00AE38DB" w14:paraId="3FF01787" w14:textId="77777777">
      <w:pPr>
        <w:spacing w:line="257" w:lineRule="auto"/>
        <w:jc w:val="both"/>
        <w:rPr>
          <w:rFonts w:eastAsiaTheme="minorEastAsia"/>
        </w:rPr>
      </w:pPr>
      <w:bookmarkStart w:name="_Toc135905577" w:id="715"/>
      <w:bookmarkStart w:name="_Toc136366263" w:id="716"/>
      <w:r w:rsidRPr="005308F1">
        <w:rPr>
          <w:rFonts w:eastAsiaTheme="minorEastAsia"/>
        </w:rPr>
        <w:t>En los últimos años, las exportaciones del sector minero colombiano han mostrado un comportamiento marcado por la recuperación y la volatilidad, influenciadas por factores de orden geopolítico y macroeconómico. Entre estos destacan la escasez de energéticos como el carbón, la incertidumbre derivada de conflictos internacionales, la crisis energética global, la variación del dólar frente a otras monedas, las expectativas inflacionarias, el temor a la recesión, el comportamiento de los mercados financieros, así como los rezagos de la pandemia de COVID-19 y las políticas monetarias de los principales bancos centrales.</w:t>
      </w:r>
    </w:p>
    <w:p w:rsidR="00305777" w:rsidP="00305777" w:rsidRDefault="00305777" w14:paraId="02AEAF84" w14:textId="23817CD4">
      <w:pPr>
        <w:jc w:val="both"/>
      </w:pPr>
      <w:r>
        <w:t xml:space="preserve">Asimismo, las exportaciones mineras para el año 2022, alcanzaron un valor de USD$16.574 millones FOB (Free </w:t>
      </w:r>
      <w:proofErr w:type="spellStart"/>
      <w:r>
        <w:t>On</w:t>
      </w:r>
      <w:proofErr w:type="spellEnd"/>
      <w:r>
        <w:t xml:space="preserve"> </w:t>
      </w:r>
      <w:proofErr w:type="spellStart"/>
      <w:r>
        <w:t>Board</w:t>
      </w:r>
      <w:proofErr w:type="spellEnd"/>
      <w:r>
        <w:t>), lo que representó un aporte del 29.0% a las exportaciones del país. En las exportaciones se resalta la del sector carbón, pues incluye el coque como producto que está alcanzando un lugar destacado en el sector, no solo por ser un valor agregado a la cadena del carbón, sino por la generación de empleo y su creciente valor en el mercado. Las exportaciones de carbón para el año 2022 representaron US$12.289 millones de dólares FOB, de los cuales el 14.5% los aportó el coque (US$1.784 millones de dólares FOB), el 81.8% del carbón térmico (US$10.050 millones de dólares FOB), 3.6% de carbón tipo metalúrgico (US$440 millones de dólares FOB) y el 0.1% por otros carbones (US$15 millones de dólares FOB) (Ver Ilustración 1</w:t>
      </w:r>
      <w:r w:rsidR="00DD6760">
        <w:t>2</w:t>
      </w:r>
      <w:r>
        <w:t>).</w:t>
      </w:r>
    </w:p>
    <w:p w:rsidRPr="00305777" w:rsidR="00305777" w:rsidP="00305777" w:rsidRDefault="00305777" w14:paraId="2EF54438" w14:textId="77777777"/>
    <w:p w:rsidRPr="004A44FA" w:rsidR="00C443D6" w:rsidP="002B6295" w:rsidRDefault="3691DB0B" w14:paraId="260EBBE0" w14:textId="21784E38">
      <w:pPr>
        <w:pStyle w:val="Caption"/>
      </w:pPr>
      <w:bookmarkStart w:name="_Toc210292712" w:id="717"/>
      <w:r>
        <w:t xml:space="preserve">Ilustración </w:t>
      </w:r>
      <w:r w:rsidR="00C443D6">
        <w:fldChar w:fldCharType="begin"/>
      </w:r>
      <w:r w:rsidR="00C443D6">
        <w:instrText>SEQ Ilustración \* ARABIC</w:instrText>
      </w:r>
      <w:r w:rsidR="00C443D6">
        <w:fldChar w:fldCharType="separate"/>
      </w:r>
      <w:r w:rsidRPr="02062875" w:rsidR="2E0FC2D2">
        <w:rPr>
          <w:noProof/>
        </w:rPr>
        <w:t>12</w:t>
      </w:r>
      <w:r w:rsidR="00C443D6">
        <w:fldChar w:fldCharType="end"/>
      </w:r>
      <w:r>
        <w:t>. Exportaciones minerales</w:t>
      </w:r>
      <w:bookmarkEnd w:id="715"/>
      <w:bookmarkEnd w:id="716"/>
      <w:r w:rsidR="0108FC4B">
        <w:t xml:space="preserve"> 2010-2022</w:t>
      </w:r>
      <w:r w:rsidR="49FBB3E8">
        <w:t xml:space="preserve"> y enero-octubre 2023 Vs 2024</w:t>
      </w:r>
      <w:r w:rsidR="0108FC4B">
        <w:t>.</w:t>
      </w:r>
      <w:bookmarkEnd w:id="717"/>
    </w:p>
    <w:p w:rsidR="00C443D6" w:rsidP="02062875" w:rsidRDefault="42E33FD0" w14:paraId="1E4A3E58" w14:textId="4230AEA8">
      <w:pPr>
        <w:jc w:val="center"/>
      </w:pPr>
      <w:r>
        <w:rPr>
          <w:noProof/>
        </w:rPr>
        <w:drawing>
          <wp:inline distT="0" distB="0" distL="0" distR="0" wp14:anchorId="6B6E6A36" wp14:editId="4006FA50">
            <wp:extent cx="5523455" cy="2743438"/>
            <wp:effectExtent l="0" t="0" r="0" b="0"/>
            <wp:docPr id="202255597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555976" name=""/>
                    <pic:cNvPicPr/>
                  </pic:nvPicPr>
                  <pic:blipFill>
                    <a:blip r:embed="rId30">
                      <a:extLst>
                        <a:ext uri="{28A0092B-C50C-407E-A947-70E740481C1C}">
                          <a14:useLocalDpi xmlns:a14="http://schemas.microsoft.com/office/drawing/2010/main" val="0"/>
                        </a:ext>
                      </a:extLst>
                    </a:blip>
                    <a:stretch>
                      <a:fillRect/>
                    </a:stretch>
                  </pic:blipFill>
                  <pic:spPr>
                    <a:xfrm>
                      <a:off x="0" y="0"/>
                      <a:ext cx="5523455" cy="2743438"/>
                    </a:xfrm>
                    <a:prstGeom prst="rect">
                      <a:avLst/>
                    </a:prstGeom>
                  </pic:spPr>
                </pic:pic>
              </a:graphicData>
            </a:graphic>
          </wp:inline>
        </w:drawing>
      </w:r>
    </w:p>
    <w:p w:rsidR="42E33FD0" w:rsidP="02062875" w:rsidRDefault="42E33FD0" w14:paraId="5710973C" w14:textId="027A551D">
      <w:pPr>
        <w:jc w:val="center"/>
      </w:pPr>
      <w:r>
        <w:rPr>
          <w:noProof/>
        </w:rPr>
        <w:drawing>
          <wp:inline distT="0" distB="0" distL="0" distR="0" wp14:anchorId="08C71AEE" wp14:editId="0D26D72E">
            <wp:extent cx="5523455" cy="3243353"/>
            <wp:effectExtent l="0" t="0" r="0" b="0"/>
            <wp:docPr id="11862088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208826" name=""/>
                    <pic:cNvPicPr/>
                  </pic:nvPicPr>
                  <pic:blipFill>
                    <a:blip r:embed="rId31">
                      <a:extLst>
                        <a:ext uri="{28A0092B-C50C-407E-A947-70E740481C1C}">
                          <a14:useLocalDpi xmlns:a14="http://schemas.microsoft.com/office/drawing/2010/main" val="0"/>
                        </a:ext>
                      </a:extLst>
                    </a:blip>
                    <a:stretch>
                      <a:fillRect/>
                    </a:stretch>
                  </pic:blipFill>
                  <pic:spPr>
                    <a:xfrm>
                      <a:off x="0" y="0"/>
                      <a:ext cx="5523455" cy="3243353"/>
                    </a:xfrm>
                    <a:prstGeom prst="rect">
                      <a:avLst/>
                    </a:prstGeom>
                  </pic:spPr>
                </pic:pic>
              </a:graphicData>
            </a:graphic>
          </wp:inline>
        </w:drawing>
      </w:r>
    </w:p>
    <w:p w:rsidRPr="00AE38DB" w:rsidR="00AE38DB" w:rsidP="00AE38DB" w:rsidRDefault="00AE38DB" w14:paraId="1D899CE6" w14:textId="77777777">
      <w:pPr>
        <w:jc w:val="center"/>
        <w:rPr>
          <w:w w:val="85"/>
          <w:sz w:val="18"/>
          <w:szCs w:val="18"/>
        </w:rPr>
      </w:pPr>
      <w:bookmarkStart w:name="_Toc135905578" w:id="718"/>
      <w:bookmarkStart w:name="_Toc136366264" w:id="719"/>
      <w:r w:rsidRPr="00AE38DB">
        <w:rPr>
          <w:w w:val="85"/>
          <w:sz w:val="18"/>
          <w:szCs w:val="18"/>
        </w:rPr>
        <w:t xml:space="preserve">Fuente: DANE- Exportaciones Comercio Internacional Cálculos: MINENERGÍA (arriba) </w:t>
      </w:r>
      <w:r w:rsidRPr="00AE38DB">
        <w:rPr>
          <w:sz w:val="18"/>
          <w:szCs w:val="18"/>
        </w:rPr>
        <w:t>Boletín estadístico informativo. Minería en cifras. UPME - ANM, 2025 (abajo)</w:t>
      </w:r>
    </w:p>
    <w:p w:rsidR="00AE38DB" w:rsidP="00AE38DB" w:rsidRDefault="00AE38DB" w14:paraId="7FE5C712" w14:textId="77777777">
      <w:pPr>
        <w:jc w:val="both"/>
        <w:rPr>
          <w:rFonts w:eastAsiaTheme="minorEastAsia"/>
        </w:rPr>
      </w:pPr>
      <w:r w:rsidRPr="005308F1">
        <w:rPr>
          <w:rFonts w:eastAsiaTheme="minorEastAsia"/>
        </w:rPr>
        <w:t>Para 2023, el valor de las exportaciones mineras preliminares se redujo a USD 14.068 millones FOB, aportando el 28,4 % de las exportaciones nacionales, lo que significó una caída cercana al 15 % frente al año anterior. Este descenso estuvo explicado principalmente por la reducción en los precios internacionales del carbón y del ferroníquel, pese a la resiliencia del oro, que mantuvo una participación significativa en el total minero.</w:t>
      </w:r>
    </w:p>
    <w:p w:rsidRPr="005308F1" w:rsidR="00AE38DB" w:rsidP="00AE38DB" w:rsidRDefault="00AE38DB" w14:paraId="41512FE4" w14:textId="59044E7F">
      <w:pPr>
        <w:jc w:val="both"/>
      </w:pPr>
      <w:r w:rsidRPr="005308F1">
        <w:rPr>
          <w:rFonts w:eastAsiaTheme="minorEastAsia"/>
        </w:rPr>
        <w:t>En 2024, entre enero y noviembre, las exportaciones mineras totalizaron USD 11.459 millones FOB, equivalentes al 25,4 % de las exportaciones del país. La estructura por producto estuvo liderada</w:t>
      </w:r>
      <w:r w:rsidRPr="00EC723A">
        <w:rPr>
          <w:rFonts w:eastAsiaTheme="minorEastAsia"/>
        </w:rPr>
        <w:t xml:space="preserve"> </w:t>
      </w:r>
      <w:r w:rsidRPr="005308F1">
        <w:rPr>
          <w:rFonts w:eastAsiaTheme="minorEastAsia"/>
        </w:rPr>
        <w:t>nuevamente por el carbón, que representó el 57,0 % (USD 6.528,8 millones), seguido por el oro con el 32,5 % (USD 3.725,8 millones), otros minerales —incluido el platino— con el 5,2 % (USD 594,0 millones), ferroníquel con el 4,2 % (USD 486,1 millones) y esmeraldas con el 1,1 % (USD 124,4 millones). Al comparar con el mismo periodo de 2023, se evidencian caídas en el carbón (-21,8 %), el ferroníquel (-19,5 %), las esmeraldas (-10,3 %) y otros minerales (-5,7 %), mientras que el oro fue el único con crecimiento positivo (+20,5 %), consolidándose como un producto estratégico para la diversificación y la estabilidad de la balanza minera.</w:t>
      </w:r>
    </w:p>
    <w:p w:rsidR="00AE38DB" w:rsidP="00AE38DB" w:rsidRDefault="00AE38DB" w14:paraId="4E1AC4DD" w14:textId="35DADD66">
      <w:pPr>
        <w:jc w:val="both"/>
      </w:pPr>
      <w:r w:rsidRPr="005308F1">
        <w:t>De acuerdo con la información de exportaciones procesada por el DANE y la DIAN, en junio de 2025 las ventas externas del país fueron US$3.959,1 millones FOB y presentaron un crecimiento de 2.6% en relación con junio de 2024, este resultado se debió principalmente al aumento de 35,6% en las ventas externas del grupo de Agropecuarios, alimentos y bebidas</w:t>
      </w:r>
      <w:r>
        <w:t>.</w:t>
      </w:r>
    </w:p>
    <w:p w:rsidRPr="00EC723A" w:rsidR="00320271" w:rsidP="00DD6760" w:rsidRDefault="2E0FC2D2" w14:paraId="5BA4EC13" w14:textId="705E725C">
      <w:pPr>
        <w:pStyle w:val="Caption"/>
      </w:pPr>
      <w:bookmarkStart w:name="_Toc210292713" w:id="720"/>
      <w:r>
        <w:t xml:space="preserve">Ilustración </w:t>
      </w:r>
      <w:r w:rsidR="00DD6760">
        <w:fldChar w:fldCharType="begin"/>
      </w:r>
      <w:r w:rsidR="00DD6760">
        <w:instrText>SEQ Ilustración \* ARABIC</w:instrText>
      </w:r>
      <w:r w:rsidR="00DD6760">
        <w:fldChar w:fldCharType="separate"/>
      </w:r>
      <w:r w:rsidRPr="02062875">
        <w:rPr>
          <w:noProof/>
        </w:rPr>
        <w:t>13</w:t>
      </w:r>
      <w:r w:rsidR="00DD6760">
        <w:fldChar w:fldCharType="end"/>
      </w:r>
      <w:r>
        <w:t>. Valor FOB de exportaciones.</w:t>
      </w:r>
      <w:bookmarkEnd w:id="720"/>
    </w:p>
    <w:p w:rsidRPr="00EC723A" w:rsidR="00AE38DB" w:rsidP="02062875" w:rsidRDefault="4F3F5C68" w14:paraId="6226655A" w14:textId="16457EE3">
      <w:pPr>
        <w:jc w:val="both"/>
      </w:pPr>
      <w:r>
        <w:rPr>
          <w:noProof/>
        </w:rPr>
        <w:drawing>
          <wp:inline distT="0" distB="0" distL="0" distR="0" wp14:anchorId="11EA27F2" wp14:editId="23C5978F">
            <wp:extent cx="5523455" cy="2743438"/>
            <wp:effectExtent l="0" t="0" r="0" b="0"/>
            <wp:docPr id="79448468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484689" name=""/>
                    <pic:cNvPicPr/>
                  </pic:nvPicPr>
                  <pic:blipFill>
                    <a:blip r:embed="rId32">
                      <a:extLst>
                        <a:ext uri="{28A0092B-C50C-407E-A947-70E740481C1C}">
                          <a14:useLocalDpi xmlns:a14="http://schemas.microsoft.com/office/drawing/2010/main" val="0"/>
                        </a:ext>
                      </a:extLst>
                    </a:blip>
                    <a:stretch>
                      <a:fillRect/>
                    </a:stretch>
                  </pic:blipFill>
                  <pic:spPr>
                    <a:xfrm>
                      <a:off x="0" y="0"/>
                      <a:ext cx="5523455" cy="2743438"/>
                    </a:xfrm>
                    <a:prstGeom prst="rect">
                      <a:avLst/>
                    </a:prstGeom>
                  </pic:spPr>
                </pic:pic>
              </a:graphicData>
            </a:graphic>
          </wp:inline>
        </w:drawing>
      </w:r>
    </w:p>
    <w:p w:rsidR="4F3F5C68" w:rsidP="00EE7E6D" w:rsidRDefault="4F3F5C68" w14:paraId="74831FBE" w14:textId="41D2B2D2">
      <w:pPr>
        <w:jc w:val="center"/>
      </w:pPr>
      <w:r>
        <w:t xml:space="preserve">Fuente: </w:t>
      </w:r>
      <w:proofErr w:type="spellStart"/>
      <w:r>
        <w:t>Dane</w:t>
      </w:r>
      <w:proofErr w:type="spellEnd"/>
    </w:p>
    <w:p w:rsidRPr="005308F1" w:rsidR="00AE38DB" w:rsidP="00AE38DB" w:rsidRDefault="00AE38DB" w14:paraId="0DAC4774" w14:textId="77777777">
      <w:pPr>
        <w:jc w:val="both"/>
      </w:pPr>
      <w:r w:rsidRPr="005308F1">
        <w:t>En el mes de referencia, las exportaciones de Combustibles y productos de industrias extractivas participaron con 39,0% del valor FOB total de las exportaciones; así mismo, Agropecuarios, alimentos y bebidas con 31,0%, Manufacturas con 22,4%, y Otros sectores con 7,6%.</w:t>
      </w:r>
    </w:p>
    <w:p w:rsidRPr="00EC723A" w:rsidR="00AE38DB" w:rsidP="00AE38DB" w:rsidRDefault="00AE38DB" w14:paraId="253DE7BD" w14:textId="77777777">
      <w:pPr>
        <w:jc w:val="both"/>
      </w:pPr>
      <w:r w:rsidRPr="005308F1">
        <w:t>En junio de 2025 las exportaciones de Combustibles y productos de las industrias extractivas fueron de US$1.542,5 millones FOB y presentaron una caída de 16,9% frente a junio de 2024, este comportamiento se explicó principalmente por la disminución de las ventas de Petróleo, productos derivados del petróleo y productos conexos (-17,9%) y Hulla, coque y briquetas (-15,2%) que contribuyeron en conjunto con 16,5 puntos porcentuales negativos a la variación del grupo.</w:t>
      </w:r>
    </w:p>
    <w:p w:rsidRPr="005308F1" w:rsidR="00AE38DB" w:rsidP="00AE38DB" w:rsidRDefault="00AE38DB" w14:paraId="52EFF2C9" w14:textId="77777777">
      <w:pPr>
        <w:jc w:val="both"/>
      </w:pPr>
      <w:r w:rsidRPr="005308F1">
        <w:t>El sector minero tiene una baja productividad y crecimiento económico durante el II trimestre de 2025, viendo un considerable decrecimiento en el valor agregado de los minerales; esto debido a :</w:t>
      </w:r>
    </w:p>
    <w:p w:rsidRPr="005308F1" w:rsidR="00AE38DB" w:rsidP="001C54B2" w:rsidRDefault="00AE38DB" w14:paraId="5A41DA8A" w14:textId="77777777">
      <w:pPr>
        <w:pStyle w:val="ListParagraph"/>
        <w:numPr>
          <w:ilvl w:val="0"/>
          <w:numId w:val="45"/>
        </w:numPr>
      </w:pPr>
      <w:r w:rsidRPr="005308F1">
        <w:t>Extracción de carbón de piedra y lignito decrece 14,6%.</w:t>
      </w:r>
    </w:p>
    <w:p w:rsidRPr="005308F1" w:rsidR="00AE38DB" w:rsidP="001C54B2" w:rsidRDefault="00AE38DB" w14:paraId="2B69D1F3" w14:textId="77777777">
      <w:pPr>
        <w:pStyle w:val="ListParagraph"/>
        <w:numPr>
          <w:ilvl w:val="0"/>
          <w:numId w:val="45"/>
        </w:numPr>
      </w:pPr>
      <w:r w:rsidRPr="005308F1">
        <w:t xml:space="preserve">Extracción de petróleo crudo y gas natural y actividades de apoyo para la extracción de petróleo y de gas natural decrece 6,9%. </w:t>
      </w:r>
    </w:p>
    <w:p w:rsidRPr="005308F1" w:rsidR="00AE38DB" w:rsidP="001C54B2" w:rsidRDefault="00AE38DB" w14:paraId="15A82DBF" w14:textId="77777777">
      <w:pPr>
        <w:pStyle w:val="ListParagraph"/>
        <w:numPr>
          <w:ilvl w:val="0"/>
          <w:numId w:val="45"/>
        </w:numPr>
      </w:pPr>
      <w:r w:rsidRPr="005308F1">
        <w:t>Extracción de minerales metalíferos decrece 20,0%.</w:t>
      </w:r>
    </w:p>
    <w:p w:rsidR="00AE38DB" w:rsidP="001C54B2" w:rsidRDefault="00AE38DB" w14:paraId="0D24667E" w14:textId="77777777">
      <w:pPr>
        <w:pStyle w:val="ListParagraph"/>
        <w:numPr>
          <w:ilvl w:val="0"/>
          <w:numId w:val="45"/>
        </w:numPr>
      </w:pPr>
      <w:r w:rsidRPr="005308F1">
        <w:t>Extracción de otras minas y canteras decrece 1,0%.</w:t>
      </w:r>
    </w:p>
    <w:p w:rsidRPr="005308F1" w:rsidR="00AE38DB" w:rsidP="001C54B2" w:rsidRDefault="00AE38DB" w14:paraId="487CB6E1" w14:textId="77777777">
      <w:pPr>
        <w:pStyle w:val="ListParagraph"/>
        <w:numPr>
          <w:ilvl w:val="0"/>
          <w:numId w:val="45"/>
        </w:numPr>
      </w:pPr>
      <w:r w:rsidRPr="005308F1">
        <w:t xml:space="preserve">Actividades de apoyo para otras actividades de explotación de minas y canteras decrece 8,6%. </w:t>
      </w:r>
    </w:p>
    <w:p w:rsidRPr="005308F1" w:rsidR="00AE38DB" w:rsidP="00AE38DB" w:rsidRDefault="00AE38DB" w14:paraId="7380BE09" w14:textId="77777777">
      <w:r w:rsidRPr="005308F1">
        <w:t xml:space="preserve">Respecto al trimestre inmediatamente anterior en su serie ajustada por efecto estacional   calendario, el valor agregado de explotación de minas y canteras decrece en 5,1%, cuando se observa el comportamiento de las actividades económicas relacionadas: </w:t>
      </w:r>
    </w:p>
    <w:p w:rsidRPr="005308F1" w:rsidR="00AE38DB" w:rsidP="001C54B2" w:rsidRDefault="00AE38DB" w14:paraId="2D07597B" w14:textId="77777777">
      <w:pPr>
        <w:pStyle w:val="ListParagraph"/>
        <w:numPr>
          <w:ilvl w:val="0"/>
          <w:numId w:val="45"/>
        </w:numPr>
      </w:pPr>
      <w:r w:rsidRPr="005308F1">
        <w:t xml:space="preserve"> Extracción de carbón de piedra y lignito decrece 10,7%. </w:t>
      </w:r>
    </w:p>
    <w:p w:rsidRPr="005308F1" w:rsidR="00AE38DB" w:rsidP="001C54B2" w:rsidRDefault="00AE38DB" w14:paraId="0E00810E" w14:textId="77777777">
      <w:pPr>
        <w:pStyle w:val="ListParagraph"/>
        <w:numPr>
          <w:ilvl w:val="0"/>
          <w:numId w:val="45"/>
        </w:numPr>
      </w:pPr>
      <w:r w:rsidRPr="005308F1">
        <w:t xml:space="preserve"> Extracción de petróleo crudo y gas natural y actividades de apoyo para la extracción de petróleo y de gas natural decrece 3,4%. </w:t>
      </w:r>
    </w:p>
    <w:p w:rsidRPr="005308F1" w:rsidR="00AE38DB" w:rsidP="001C54B2" w:rsidRDefault="00AE38DB" w14:paraId="4463A07F" w14:textId="77777777">
      <w:pPr>
        <w:pStyle w:val="ListParagraph"/>
        <w:numPr>
          <w:ilvl w:val="0"/>
          <w:numId w:val="45"/>
        </w:numPr>
      </w:pPr>
      <w:r w:rsidRPr="005308F1">
        <w:t xml:space="preserve">Extracción de minerales metalíferos decrece 10,2%. </w:t>
      </w:r>
    </w:p>
    <w:p w:rsidRPr="005308F1" w:rsidR="00AE38DB" w:rsidP="001C54B2" w:rsidRDefault="00AE38DB" w14:paraId="3D10FAA2" w14:textId="77777777">
      <w:pPr>
        <w:pStyle w:val="ListParagraph"/>
        <w:numPr>
          <w:ilvl w:val="0"/>
          <w:numId w:val="45"/>
        </w:numPr>
      </w:pPr>
      <w:r w:rsidRPr="005308F1">
        <w:t xml:space="preserve">Extracción de otras minas y canteras crece 2,2%. </w:t>
      </w:r>
    </w:p>
    <w:p w:rsidRPr="005308F1" w:rsidR="00AE38DB" w:rsidP="001C54B2" w:rsidRDefault="00AE38DB" w14:paraId="4F6BF22A" w14:textId="77777777">
      <w:pPr>
        <w:pStyle w:val="ListParagraph"/>
        <w:numPr>
          <w:ilvl w:val="0"/>
          <w:numId w:val="45"/>
        </w:numPr>
      </w:pPr>
      <w:r w:rsidRPr="005308F1">
        <w:t xml:space="preserve"> Actividades de apoyo para otras actividades de explotación de minas y canteras decrece 4,3%.</w:t>
      </w:r>
    </w:p>
    <w:p w:rsidR="00AE38DB" w:rsidP="00AE38DB" w:rsidRDefault="6E1F68E6" w14:paraId="7D473CB2" w14:textId="53E495CA">
      <w:pPr>
        <w:jc w:val="both"/>
        <w:rPr>
          <w:lang w:eastAsia="es-CO"/>
        </w:rPr>
      </w:pPr>
      <w:r w:rsidRPr="005308F1" w:rsidR="6E1F68E6">
        <w:rPr>
          <w:lang w:eastAsia="es-CO"/>
        </w:rPr>
        <w:t>Así mismo, existe una brecha de la minería en comparación con la industria en volúmenes y cantidades de producción. Según el Índice de Producción Industrial (IPI)</w:t>
      </w:r>
      <w:r w:rsidRPr="005308F1" w:rsidR="00AE38DB">
        <w:rPr>
          <w:rStyle w:val="FootnoteReference"/>
          <w:rFonts w:cs="Arial"/>
          <w:lang w:eastAsia="es-CO"/>
        </w:rPr>
        <w:footnoteReference w:id="66"/>
      </w:r>
      <w:r w:rsidRPr="005308F1" w:rsidR="6E1F68E6">
        <w:rPr>
          <w:lang w:eastAsia="es-CO"/>
        </w:rPr>
        <w:t>, para el periodo 2025 la minería presentó en una variación de -7,5 tal como se aprecia en la ilustración</w:t>
      </w:r>
      <w:r w:rsidR="5F1858F2">
        <w:rPr>
          <w:lang w:eastAsia="es-CO"/>
        </w:rPr>
        <w:t xml:space="preserve"> 14</w:t>
      </w:r>
      <w:r w:rsidRPr="005308F1" w:rsidR="6E1F68E6">
        <w:rPr>
          <w:lang w:eastAsia="es-CO"/>
        </w:rPr>
        <w:t>.</w:t>
      </w:r>
    </w:p>
    <w:p w:rsidRPr="00EC723A" w:rsidR="00AE38DB" w:rsidP="00DD6760" w:rsidRDefault="00DD6760" w14:paraId="24A270B3" w14:textId="6D8A091B">
      <w:pPr>
        <w:pStyle w:val="Caption"/>
      </w:pPr>
      <w:bookmarkStart w:name="_Toc210292714" w:id="721"/>
      <w:r>
        <w:t xml:space="preserve">Ilustración </w:t>
      </w:r>
      <w:r>
        <w:fldChar w:fldCharType="begin"/>
      </w:r>
      <w:r>
        <w:instrText>SEQ Ilustración \* ARABIC</w:instrText>
      </w:r>
      <w:r>
        <w:fldChar w:fldCharType="separate"/>
      </w:r>
      <w:r>
        <w:rPr>
          <w:noProof/>
        </w:rPr>
        <w:t>14</w:t>
      </w:r>
      <w:r>
        <w:fldChar w:fldCharType="end"/>
      </w:r>
      <w:r>
        <w:t xml:space="preserve">. </w:t>
      </w:r>
      <w:r w:rsidRPr="00767063">
        <w:t>Índice de Producción industrial (% variación respecto al año anterior)</w:t>
      </w:r>
      <w:bookmarkEnd w:id="721"/>
    </w:p>
    <w:p w:rsidRPr="005308F1" w:rsidR="00AE38DB" w:rsidP="02062875" w:rsidRDefault="49FBB3E8" w14:paraId="6FEFC363" w14:textId="1C5F0A33">
      <w:r>
        <w:t xml:space="preserve"> </w:t>
      </w:r>
      <w:r w:rsidR="5ACE1846">
        <w:rPr>
          <w:noProof/>
        </w:rPr>
        <w:drawing>
          <wp:inline distT="0" distB="0" distL="0" distR="0" wp14:anchorId="3F5AAB43" wp14:editId="4ECDD9A1">
            <wp:extent cx="5523455" cy="3103133"/>
            <wp:effectExtent l="0" t="0" r="0" b="0"/>
            <wp:docPr id="148754088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40881" name=""/>
                    <pic:cNvPicPr/>
                  </pic:nvPicPr>
                  <pic:blipFill>
                    <a:blip r:embed="rId33">
                      <a:extLst>
                        <a:ext uri="{28A0092B-C50C-407E-A947-70E740481C1C}">
                          <a14:useLocalDpi xmlns:a14="http://schemas.microsoft.com/office/drawing/2010/main" val="0"/>
                        </a:ext>
                      </a:extLst>
                    </a:blip>
                    <a:stretch>
                      <a:fillRect/>
                    </a:stretch>
                  </pic:blipFill>
                  <pic:spPr>
                    <a:xfrm>
                      <a:off x="0" y="0"/>
                      <a:ext cx="5523455" cy="3103133"/>
                    </a:xfrm>
                    <a:prstGeom prst="rect">
                      <a:avLst/>
                    </a:prstGeom>
                  </pic:spPr>
                </pic:pic>
              </a:graphicData>
            </a:graphic>
          </wp:inline>
        </w:drawing>
      </w:r>
    </w:p>
    <w:p w:rsidRPr="00EC723A" w:rsidR="00AE38DB" w:rsidP="00AE38DB" w:rsidRDefault="00AE38DB" w14:paraId="3BC3526E" w14:textId="77777777">
      <w:pPr>
        <w:pStyle w:val="Caption"/>
        <w:rPr>
          <w:b w:val="0"/>
          <w:bCs w:val="0"/>
          <w:lang w:eastAsia="es-CO"/>
        </w:rPr>
      </w:pPr>
      <w:r w:rsidRPr="00EC723A">
        <w:rPr>
          <w:b w:val="0"/>
          <w:bCs w:val="0"/>
          <w:lang w:eastAsia="es-CO"/>
        </w:rPr>
        <w:t>Fuente: DANE, cuentas nacionales</w:t>
      </w:r>
    </w:p>
    <w:p w:rsidRPr="005308F1" w:rsidR="00AE38DB" w:rsidP="00AE38DB" w:rsidRDefault="00AE38DB" w14:paraId="6C70E013" w14:textId="77777777">
      <w:pPr>
        <w:jc w:val="both"/>
      </w:pPr>
    </w:p>
    <w:p w:rsidRPr="00C137E4" w:rsidR="00C137E4" w:rsidP="00C137E4" w:rsidRDefault="00C137E4" w14:paraId="3D89F045" w14:textId="77777777">
      <w:pPr>
        <w:suppressAutoHyphens/>
        <w:autoSpaceDN w:val="0"/>
        <w:spacing w:line="256" w:lineRule="auto"/>
        <w:jc w:val="both"/>
        <w:textAlignment w:val="baseline"/>
        <w:rPr>
          <w:lang w:val="es-ES"/>
        </w:rPr>
      </w:pPr>
      <w:r w:rsidRPr="00C137E4">
        <w:t>Las principales problemáticas del modelo de explotación de minerales en Colombia pueden observarse en algunos aspectos de la Ley 685 de 2001, la cual establece un marco normativo que, en la práctica, ha dado lugar a los siguientes efectos:</w:t>
      </w:r>
    </w:p>
    <w:p w:rsidR="008C5848" w:rsidP="001C54B2" w:rsidRDefault="008C5848" w14:paraId="2E9DE8EE" w14:textId="4B3B5072">
      <w:pPr>
        <w:pStyle w:val="ListParagraph"/>
        <w:numPr>
          <w:ilvl w:val="0"/>
          <w:numId w:val="24"/>
        </w:numPr>
        <w:suppressAutoHyphens/>
        <w:autoSpaceDN w:val="0"/>
        <w:spacing w:line="256" w:lineRule="auto"/>
        <w:contextualSpacing w:val="0"/>
        <w:jc w:val="both"/>
        <w:textAlignment w:val="baseline"/>
        <w:rPr>
          <w:lang w:val="es-ES"/>
        </w:rPr>
      </w:pPr>
      <w:r>
        <w:rPr>
          <w:lang w:val="es-ES"/>
        </w:rPr>
        <w:t xml:space="preserve">Un sector minero que incentiva el liderazgo del mercado por terceros enfocado principalmente en la exportación de materia prima y limitando el desarrollo industrial local. </w:t>
      </w:r>
    </w:p>
    <w:p w:rsidR="008C5848" w:rsidP="001C54B2" w:rsidRDefault="008C5848" w14:paraId="7AFDB4D8" w14:textId="6B790326">
      <w:pPr>
        <w:pStyle w:val="ListParagraph"/>
        <w:numPr>
          <w:ilvl w:val="0"/>
          <w:numId w:val="24"/>
        </w:numPr>
        <w:suppressAutoHyphens/>
        <w:autoSpaceDN w:val="0"/>
        <w:spacing w:line="256" w:lineRule="auto"/>
        <w:contextualSpacing w:val="0"/>
        <w:jc w:val="both"/>
        <w:textAlignment w:val="baseline"/>
      </w:pPr>
      <w:r>
        <w:rPr>
          <w:lang w:val="es-ES"/>
        </w:rPr>
        <w:t xml:space="preserve">Un modelo que profundiza una economía dependiente a las exportaciones y con impactos negativos en el desarrollo de la industria a nivel nacional </w:t>
      </w:r>
      <w:sdt>
        <w:sdtPr>
          <w:rPr>
            <w:lang w:val="es-ES"/>
          </w:rPr>
          <w:id w:val="-148597156"/>
          <w:citation/>
        </w:sdtPr>
        <w:sdtEndPr/>
        <w:sdtContent>
          <w:r w:rsidR="00F1294E">
            <w:rPr>
              <w:lang w:val="es-ES"/>
            </w:rPr>
            <w:fldChar w:fldCharType="begin"/>
          </w:r>
          <w:r w:rsidR="00F1294E">
            <w:instrText xml:space="preserve"> CITATION Bon11 \l 9226 </w:instrText>
          </w:r>
          <w:r w:rsidR="00F1294E">
            <w:rPr>
              <w:lang w:val="es-ES"/>
            </w:rPr>
            <w:fldChar w:fldCharType="separate"/>
          </w:r>
          <w:r w:rsidR="00104221">
            <w:rPr>
              <w:noProof/>
            </w:rPr>
            <w:t>(Bonilla, 2011)</w:t>
          </w:r>
          <w:r w:rsidR="00F1294E">
            <w:rPr>
              <w:lang w:val="es-ES"/>
            </w:rPr>
            <w:fldChar w:fldCharType="end"/>
          </w:r>
        </w:sdtContent>
      </w:sdt>
      <w:r>
        <w:rPr>
          <w:lang w:val="es-ES"/>
        </w:rPr>
        <w:t xml:space="preserve">. </w:t>
      </w:r>
    </w:p>
    <w:p w:rsidR="008C5848" w:rsidP="001C54B2" w:rsidRDefault="008C5848" w14:paraId="720FC01F" w14:textId="7650B6B7">
      <w:pPr>
        <w:pStyle w:val="ListParagraph"/>
        <w:numPr>
          <w:ilvl w:val="0"/>
          <w:numId w:val="24"/>
        </w:numPr>
        <w:suppressAutoHyphens/>
        <w:autoSpaceDN w:val="0"/>
        <w:spacing w:line="256" w:lineRule="auto"/>
        <w:jc w:val="both"/>
        <w:textAlignment w:val="baseline"/>
      </w:pPr>
      <w:r w:rsidRPr="31226965">
        <w:rPr>
          <w:lang w:val="es-ES"/>
        </w:rPr>
        <w:t xml:space="preserve">Una generación de flujos significativos de capital asociados a la inversión extranjera para la extracción de recursos primarios, así como los ingresos de su exportación, afectando la competitividad de otros sectores económicos a nivel </w:t>
      </w:r>
      <w:sdt>
        <w:sdtPr>
          <w:rPr>
            <w:lang w:val="es-ES"/>
          </w:rPr>
          <w:id w:val="-357422240"/>
          <w:citation/>
        </w:sdtPr>
        <w:sdtEndPr/>
        <w:sdtContent>
          <w:r w:rsidR="005863EA">
            <w:rPr>
              <w:lang w:val="es-ES"/>
            </w:rPr>
            <w:fldChar w:fldCharType="begin"/>
          </w:r>
          <w:r w:rsidR="005863EA">
            <w:instrText xml:space="preserve"> CITATION God15 \l 9226 </w:instrText>
          </w:r>
          <w:r w:rsidR="005863EA">
            <w:rPr>
              <w:lang w:val="es-ES"/>
            </w:rPr>
            <w:fldChar w:fldCharType="separate"/>
          </w:r>
          <w:r w:rsidR="00104221">
            <w:rPr>
              <w:noProof/>
            </w:rPr>
            <w:t>(Goda &amp; Torres García, 2015)</w:t>
          </w:r>
          <w:r w:rsidR="005863EA">
            <w:rPr>
              <w:lang w:val="es-ES"/>
            </w:rPr>
            <w:fldChar w:fldCharType="end"/>
          </w:r>
        </w:sdtContent>
      </w:sdt>
      <w:r w:rsidRPr="31226965">
        <w:rPr>
          <w:lang w:val="es-ES"/>
        </w:rPr>
        <w:t xml:space="preserve">. Como </w:t>
      </w:r>
      <w:r w:rsidRPr="31226965" w:rsidR="000142CA">
        <w:rPr>
          <w:lang w:val="es-ES"/>
        </w:rPr>
        <w:t>efecto, ha</w:t>
      </w:r>
      <w:r w:rsidRPr="31226965">
        <w:rPr>
          <w:lang w:val="es-ES"/>
        </w:rPr>
        <w:t xml:space="preserve"> generado una subespecialización económica que hace vulnerable la </w:t>
      </w:r>
      <w:r w:rsidRPr="31226965" w:rsidR="000142CA">
        <w:rPr>
          <w:lang w:val="es-ES"/>
        </w:rPr>
        <w:t xml:space="preserve">economía </w:t>
      </w:r>
      <w:r w:rsidRPr="31226965">
        <w:rPr>
          <w:lang w:val="es-ES"/>
        </w:rPr>
        <w:t>del país.</w:t>
      </w:r>
    </w:p>
    <w:p w:rsidR="008C5848" w:rsidP="001C54B2" w:rsidRDefault="008C5848" w14:paraId="614A56A0" w14:textId="7E3E6790">
      <w:pPr>
        <w:pStyle w:val="ListParagraph"/>
        <w:numPr>
          <w:ilvl w:val="0"/>
          <w:numId w:val="24"/>
        </w:numPr>
        <w:suppressAutoHyphens/>
        <w:autoSpaceDN w:val="0"/>
        <w:spacing w:line="256" w:lineRule="auto"/>
        <w:jc w:val="both"/>
        <w:textAlignment w:val="baseline"/>
        <w:rPr>
          <w:lang w:val="es-ES"/>
        </w:rPr>
      </w:pPr>
      <w:r w:rsidRPr="31226965">
        <w:rPr>
          <w:lang w:val="es-ES"/>
        </w:rPr>
        <w:t>En gran parte de la actividad minera no se ha promovido la generación de encadenamientos productivos que permitan la transformación de estos bienes primarios a productos semifinales y/o finales, limitando el crecimiento industrial del país, el desarrollo de ciencia y tecnología, la infraestructura estratégica y la soberanía alimentaria.</w:t>
      </w:r>
    </w:p>
    <w:p w:rsidR="008C5848" w:rsidP="001C54B2" w:rsidRDefault="008C5848" w14:paraId="7BEA3195" w14:textId="5B398280">
      <w:pPr>
        <w:pStyle w:val="ListParagraph"/>
        <w:numPr>
          <w:ilvl w:val="0"/>
          <w:numId w:val="24"/>
        </w:numPr>
        <w:suppressAutoHyphens/>
        <w:autoSpaceDN w:val="0"/>
        <w:spacing w:line="256" w:lineRule="auto"/>
        <w:contextualSpacing w:val="0"/>
        <w:jc w:val="both"/>
        <w:textAlignment w:val="baseline"/>
        <w:rPr>
          <w:lang w:val="es-ES"/>
        </w:rPr>
      </w:pPr>
      <w:r>
        <w:rPr>
          <w:lang w:val="es-ES"/>
        </w:rPr>
        <w:t>La falta de impulso al fortalecimiento de una economía diversificada, productiva y sustentable</w:t>
      </w:r>
      <w:r w:rsidR="00C137E4">
        <w:rPr>
          <w:lang w:val="es-ES"/>
        </w:rPr>
        <w:t>.</w:t>
      </w:r>
    </w:p>
    <w:p w:rsidRPr="00C137E4" w:rsidR="008C5848" w:rsidP="001C54B2" w:rsidRDefault="00C137E4" w14:paraId="7229C2FD" w14:textId="2D6B8B65">
      <w:pPr>
        <w:pStyle w:val="ListParagraph"/>
        <w:numPr>
          <w:ilvl w:val="0"/>
          <w:numId w:val="24"/>
        </w:numPr>
        <w:suppressAutoHyphens/>
        <w:autoSpaceDN w:val="0"/>
        <w:spacing w:line="256" w:lineRule="auto"/>
        <w:contextualSpacing w:val="0"/>
        <w:jc w:val="both"/>
        <w:textAlignment w:val="baseline"/>
      </w:pPr>
      <w:r>
        <w:rPr>
          <w:lang w:val="es-ES"/>
        </w:rPr>
        <w:t>La</w:t>
      </w:r>
      <w:r w:rsidR="008C5848">
        <w:rPr>
          <w:lang w:val="es-ES"/>
        </w:rPr>
        <w:t xml:space="preserve"> reducida capacidad industrial </w:t>
      </w:r>
      <w:r w:rsidR="008C5848">
        <w:rPr>
          <w:lang w:eastAsia="es-MX"/>
        </w:rPr>
        <w:t>asociada al valor agregado de minerales con alto potencial geológico en el territorio nacional</w:t>
      </w:r>
      <w:r w:rsidR="008C5848">
        <w:rPr>
          <w:lang w:val="es-ES"/>
        </w:rPr>
        <w:t xml:space="preserve">. Ejemplo de ello es la precaria industria de talla y embellecimiento de gemas como la esmeralda y las debilidades en la gobernanza para promover la producción de coque metalúrgico. </w:t>
      </w:r>
      <w:r w:rsidRPr="00C137E4" w:rsidR="008C5848">
        <w:rPr>
          <w:lang w:val="es-ES"/>
        </w:rPr>
        <w:t xml:space="preserve"> </w:t>
      </w:r>
    </w:p>
    <w:p w:rsidR="008C5848" w:rsidP="001C54B2" w:rsidRDefault="413D82CB" w14:paraId="472A6037" w14:textId="77777777">
      <w:pPr>
        <w:pStyle w:val="ListParagraph"/>
        <w:numPr>
          <w:ilvl w:val="0"/>
          <w:numId w:val="24"/>
        </w:numPr>
        <w:suppressAutoHyphens/>
        <w:autoSpaceDN w:val="0"/>
        <w:spacing w:line="256" w:lineRule="auto"/>
        <w:jc w:val="both"/>
        <w:textAlignment w:val="baseline"/>
      </w:pPr>
      <w:r w:rsidRPr="5734DBB2">
        <w:rPr>
          <w:lang w:val="es-ES"/>
        </w:rPr>
        <w:t xml:space="preserve">El sector minero tiene un bajo crecimiento en cuanto al valor agregado, además de ser un sector con baja productividad laboral. </w:t>
      </w:r>
      <w:r>
        <w:t xml:space="preserve">En el año 2021, se presentó el nivel más bajo de crecimiento (valor agregado) en relación con los otros sectores de la economía nacional. </w:t>
      </w:r>
    </w:p>
    <w:p w:rsidR="002936C1" w:rsidP="002936C1" w:rsidRDefault="002936C1" w14:paraId="71530C31" w14:textId="77777777">
      <w:pPr>
        <w:pStyle w:val="ListParagraph"/>
        <w:suppressAutoHyphens/>
        <w:autoSpaceDN w:val="0"/>
        <w:spacing w:line="256" w:lineRule="auto"/>
        <w:jc w:val="both"/>
        <w:textAlignment w:val="baseline"/>
      </w:pPr>
    </w:p>
    <w:p w:rsidR="34A1DCC1" w:rsidP="001C54B2" w:rsidRDefault="34A1DCC1" w14:paraId="66D42A16" w14:textId="2AB20C6A">
      <w:pPr>
        <w:pStyle w:val="ListParagraph"/>
        <w:numPr>
          <w:ilvl w:val="0"/>
          <w:numId w:val="24"/>
        </w:numPr>
        <w:spacing w:line="256" w:lineRule="auto"/>
        <w:jc w:val="both"/>
      </w:pPr>
      <w:r>
        <w:t>Deficiente articulación con la academia para desarrollar e implementar procesos de aprovechamiento tecnológico de las materias primas.</w:t>
      </w:r>
    </w:p>
    <w:p w:rsidR="008C5848" w:rsidP="008C5848" w:rsidRDefault="008C5848" w14:paraId="3FBA0502" w14:textId="1B6BF500">
      <w:pPr>
        <w:jc w:val="both"/>
        <w:rPr>
          <w:lang w:val="es-ES"/>
        </w:rPr>
      </w:pPr>
      <w:r w:rsidRPr="31226965">
        <w:rPr>
          <w:lang w:val="es-ES"/>
        </w:rPr>
        <w:t xml:space="preserve">El desarrollo empresarial y la cadena de valor en el país podría impulsarse con minerales o derivados como el coque. Este </w:t>
      </w:r>
      <w:r w:rsidRPr="31226965" w:rsidR="003B72E5">
        <w:rPr>
          <w:lang w:val="es-ES"/>
        </w:rPr>
        <w:t xml:space="preserve">último </w:t>
      </w:r>
      <w:r w:rsidRPr="31226965">
        <w:rPr>
          <w:lang w:val="es-ES"/>
        </w:rPr>
        <w:t xml:space="preserve">es el principal insumo para la producción de aceros y ferroaleaciones necesarios, entre otros usos, </w:t>
      </w:r>
      <w:r w:rsidRPr="31226965" w:rsidR="003B72E5">
        <w:rPr>
          <w:lang w:val="es-ES"/>
        </w:rPr>
        <w:t xml:space="preserve">y </w:t>
      </w:r>
      <w:r w:rsidRPr="31226965">
        <w:rPr>
          <w:lang w:val="es-ES"/>
        </w:rPr>
        <w:t xml:space="preserve">en el sector de energías renovables, específicamente </w:t>
      </w:r>
      <w:r w:rsidRPr="31226965" w:rsidR="003B72E5">
        <w:rPr>
          <w:lang w:val="es-ES"/>
        </w:rPr>
        <w:t xml:space="preserve">se usa </w:t>
      </w:r>
      <w:r w:rsidRPr="31226965">
        <w:rPr>
          <w:lang w:val="es-ES"/>
        </w:rPr>
        <w:t xml:space="preserve">para la construcción como turbinas eólicas y celdas fotovoltaicas. Por ello, </w:t>
      </w:r>
      <w:r w:rsidRPr="31226965" w:rsidR="00957D8E">
        <w:rPr>
          <w:lang w:val="es-ES"/>
        </w:rPr>
        <w:t xml:space="preserve">se identifica la oportunidad </w:t>
      </w:r>
      <w:r w:rsidRPr="31226965">
        <w:rPr>
          <w:lang w:val="es-ES"/>
        </w:rPr>
        <w:t>para la transformación y aprovechamiento de los recursos del país</w:t>
      </w:r>
      <w:r w:rsidRPr="31226965" w:rsidR="00957D8E">
        <w:rPr>
          <w:lang w:val="es-ES"/>
        </w:rPr>
        <w:t xml:space="preserve">, </w:t>
      </w:r>
      <w:r w:rsidRPr="31226965">
        <w:rPr>
          <w:lang w:val="es-ES"/>
        </w:rPr>
        <w:t>necesaria la reindustrialización del sector, con transformaciones que generen valor agregado, con mejores condiciones laborales, con esquemas que busquen garantizar el acceso y participación de las mujeres y otras poblaciones</w:t>
      </w:r>
      <w:r w:rsidRPr="31226965" w:rsidR="00444CF5">
        <w:rPr>
          <w:lang w:val="es-ES"/>
        </w:rPr>
        <w:t>,</w:t>
      </w:r>
      <w:r w:rsidRPr="31226965">
        <w:rPr>
          <w:lang w:val="es-ES"/>
        </w:rPr>
        <w:t xml:space="preserve"> y con sustentabilidad ambiental. </w:t>
      </w:r>
    </w:p>
    <w:p w:rsidR="008C5848" w:rsidP="008C5848" w:rsidRDefault="008C5848" w14:paraId="5E5EEE33" w14:textId="0997EF30">
      <w:pPr>
        <w:jc w:val="both"/>
      </w:pPr>
      <w:r w:rsidRPr="31226965">
        <w:rPr>
          <w:lang w:eastAsia="es-MX"/>
        </w:rPr>
        <w:t>De acuerdo con cifras del SIMCO, en el año 2021 se exportaron 332 mil quilates de esmeralda, de los cuales menos del 10% se exportó en forma tallada.</w:t>
      </w:r>
      <w:r w:rsidRPr="31226965">
        <w:rPr>
          <w:color w:val="FF0000"/>
          <w:lang w:eastAsia="es-MX"/>
        </w:rPr>
        <w:t xml:space="preserve"> </w:t>
      </w:r>
      <w:r w:rsidRPr="31226965">
        <w:rPr>
          <w:lang w:eastAsia="es-MX"/>
        </w:rPr>
        <w:t xml:space="preserve">El sector </w:t>
      </w:r>
      <w:r w:rsidRPr="31226965" w:rsidR="00DA328A">
        <w:rPr>
          <w:lang w:eastAsia="es-MX"/>
        </w:rPr>
        <w:t>esmeraldero</w:t>
      </w:r>
      <w:r w:rsidRPr="31226965">
        <w:rPr>
          <w:lang w:eastAsia="es-MX"/>
        </w:rPr>
        <w:t xml:space="preserve"> cuenta con dos zonas de yacimientos en Boyacá y Cundinamarca,</w:t>
      </w:r>
      <w:r w:rsidRPr="31226965">
        <w:rPr>
          <w:color w:val="FF0000"/>
          <w:lang w:eastAsia="es-MX"/>
        </w:rPr>
        <w:t xml:space="preserve"> </w:t>
      </w:r>
      <w:r w:rsidRPr="31226965">
        <w:rPr>
          <w:lang w:eastAsia="es-MX"/>
        </w:rPr>
        <w:t>los cuales en su totalidad se explotan con operaciones subterráneas. Adicionalmente, de acuerdo con el análisis del Centro de Desarrollo Tecnológico de la Esmeralda Colombiana- CDTEC, se tiene registro de 300 talladores en el país en cinco centros para este fin. Lo anterior, podría indicar que el porcentaje de talla sobre la exportación del producto en bruto es realmente bajo.</w:t>
      </w:r>
    </w:p>
    <w:p w:rsidR="008C5848" w:rsidP="008C5848" w:rsidRDefault="008C5848" w14:paraId="7AE4F783" w14:textId="62E1DD85">
      <w:pPr>
        <w:jc w:val="both"/>
      </w:pPr>
      <w:r>
        <w:rPr>
          <w:lang w:eastAsia="es-MX"/>
        </w:rPr>
        <w:t xml:space="preserve">Las cifras que sustentan los anteriores datos se ven reflejadas en los balances de productos manufacturados, donde Colombia presentó una balanza comercial ampliamente negativa de -$3.557 millones de dólares (CIF), calculada a diciembre de 2022. Para el mismo periodo, el país importó $4.418 millones de dólares (CIF) en artículos manufacturados diversos, maquinaria, equipo de transporte y productos químicos y conexos </w:t>
      </w:r>
      <w:sdt>
        <w:sdtPr>
          <w:rPr>
            <w:lang w:eastAsia="es-MX"/>
          </w:rPr>
          <w:id w:val="-1504812463"/>
          <w:citation/>
        </w:sdtPr>
        <w:sdtEndPr/>
        <w:sdtContent>
          <w:r w:rsidR="00EE7E6D">
            <w:rPr>
              <w:lang w:eastAsia="es-MX"/>
            </w:rPr>
            <w:fldChar w:fldCharType="begin"/>
          </w:r>
          <w:r w:rsidR="00EE7E6D">
            <w:rPr>
              <w:lang w:eastAsia="es-MX"/>
            </w:rPr>
            <w:instrText xml:space="preserve">CITATION Dep232 \l 9226 </w:instrText>
          </w:r>
          <w:r w:rsidR="00EE7E6D">
            <w:rPr>
              <w:lang w:eastAsia="es-MX"/>
            </w:rPr>
            <w:fldChar w:fldCharType="separate"/>
          </w:r>
          <w:r w:rsidR="00104221">
            <w:rPr>
              <w:noProof/>
              <w:lang w:eastAsia="es-MX"/>
            </w:rPr>
            <w:t>(DANE, 2023b)</w:t>
          </w:r>
          <w:r w:rsidR="00EE7E6D">
            <w:rPr>
              <w:lang w:eastAsia="es-MX"/>
            </w:rPr>
            <w:fldChar w:fldCharType="end"/>
          </w:r>
        </w:sdtContent>
      </w:sdt>
      <w:r>
        <w:rPr>
          <w:lang w:eastAsia="es-MX"/>
        </w:rPr>
        <w:t xml:space="preserve">. </w:t>
      </w:r>
    </w:p>
    <w:p w:rsidR="008C5848" w:rsidP="008C5848" w:rsidRDefault="008C5848" w14:paraId="3CF84664" w14:textId="38FB69A1">
      <w:pPr>
        <w:jc w:val="both"/>
      </w:pPr>
      <w:r>
        <w:rPr>
          <w:lang w:eastAsia="es-MX"/>
        </w:rPr>
        <w:t xml:space="preserve">Por otro lado, la balanza comercial del país presentó un comportamiento positivo de 1.084 millones de dólares (FOB) en productos de la industria extractiva, calculada a noviembre de 2022. Sin embargo, en las exportaciones del país se aprecia una reducida gama de minerales, asociados principalmente a hulla, coque y briquetas </w:t>
      </w:r>
      <w:sdt>
        <w:sdtPr>
          <w:rPr>
            <w:lang w:eastAsia="es-MX"/>
          </w:rPr>
          <w:id w:val="430237122"/>
          <w:citation/>
        </w:sdtPr>
        <w:sdtEndPr/>
        <w:sdtContent>
          <w:r w:rsidR="00EE7E6D">
            <w:rPr>
              <w:lang w:eastAsia="es-MX"/>
            </w:rPr>
            <w:fldChar w:fldCharType="begin"/>
          </w:r>
          <w:r w:rsidR="00EE7E6D">
            <w:rPr>
              <w:color w:val="000000"/>
              <w:lang w:eastAsia="es-MX"/>
            </w:rPr>
            <w:instrText xml:space="preserve">CITATION Dep23 \l 9226 </w:instrText>
          </w:r>
          <w:r w:rsidR="00EE7E6D">
            <w:rPr>
              <w:lang w:eastAsia="es-MX"/>
            </w:rPr>
            <w:fldChar w:fldCharType="separate"/>
          </w:r>
          <w:r w:rsidRPr="00104221" w:rsidR="00104221">
            <w:rPr>
              <w:noProof/>
              <w:color w:val="000000"/>
              <w:lang w:eastAsia="es-MX"/>
            </w:rPr>
            <w:t>(DANE, 2023a)</w:t>
          </w:r>
          <w:r w:rsidR="00EE7E6D">
            <w:rPr>
              <w:lang w:eastAsia="es-MX"/>
            </w:rPr>
            <w:fldChar w:fldCharType="end"/>
          </w:r>
        </w:sdtContent>
      </w:sdt>
      <w:r>
        <w:rPr>
          <w:color w:val="000000"/>
          <w:lang w:eastAsia="es-MX"/>
        </w:rPr>
        <w:t xml:space="preserve">, </w:t>
      </w:r>
      <w:r>
        <w:rPr>
          <w:lang w:eastAsia="es-MX"/>
        </w:rPr>
        <w:t>las cuales no poseen un alto nivel de transformación y agregación de valor, lo que dificulta vincularse a cadenas globales de valor más sofisticadas.</w:t>
      </w:r>
    </w:p>
    <w:p w:rsidR="008C5848" w:rsidP="008C5848" w:rsidRDefault="008C5848" w14:paraId="1BB13017" w14:textId="3B7292BE">
      <w:pPr>
        <w:jc w:val="both"/>
      </w:pPr>
      <w:r>
        <w:t>Además, el sector de la minería ha tenido una baja productividad y crecimiento económico durante los últimos años. En el año 2021, se presentó el nivel más bajo de crecimiento (valor agregado) en relación con los otros sectores. De igual manera, para ese mismo periodo la productividad laboral fue la más baja en comparación con las demás actividades económicas, y fue uno de los cuatro sectores que presentaron una productividad total de los factores negativa, tal como se aprecia en l</w:t>
      </w:r>
      <w:r w:rsidR="00DD6760">
        <w:t>a siguiente tabla</w:t>
      </w:r>
      <w:r>
        <w:t>.</w:t>
      </w:r>
    </w:p>
    <w:p w:rsidR="00C443D6" w:rsidP="00DD6760" w:rsidRDefault="00DD6760" w14:paraId="027EC313" w14:textId="3122D3BD">
      <w:pPr>
        <w:pStyle w:val="Caption"/>
      </w:pPr>
      <w:bookmarkStart w:name="_Toc209191833" w:id="722"/>
      <w:bookmarkEnd w:id="718"/>
      <w:bookmarkEnd w:id="719"/>
      <w:r>
        <w:t xml:space="preserve">Tabla </w:t>
      </w:r>
      <w:r>
        <w:fldChar w:fldCharType="begin"/>
      </w:r>
      <w:r>
        <w:instrText>SEQ Tabla \* ARABIC</w:instrText>
      </w:r>
      <w:r>
        <w:fldChar w:fldCharType="separate"/>
      </w:r>
      <w:r>
        <w:rPr>
          <w:noProof/>
        </w:rPr>
        <w:t>4</w:t>
      </w:r>
      <w:r>
        <w:fldChar w:fldCharType="end"/>
      </w:r>
      <w:r>
        <w:t xml:space="preserve">. </w:t>
      </w:r>
      <w:r w:rsidRPr="00896629">
        <w:t>Valor agregado por actividad económica</w:t>
      </w:r>
      <w:r>
        <w:t>.</w:t>
      </w:r>
      <w:bookmarkEnd w:id="722"/>
    </w:p>
    <w:p w:rsidR="00320271" w:rsidP="00320271" w:rsidRDefault="00320271" w14:paraId="18A0A0DC" w14:textId="6547C540">
      <w:r w:rsidRPr="00EC723A">
        <w:rPr>
          <w:noProof/>
          <w:lang w:val="es-ES" w:eastAsia="es-ES"/>
        </w:rPr>
        <w:drawing>
          <wp:inline distT="0" distB="0" distL="0" distR="0" wp14:anchorId="0D672456" wp14:editId="48E9A2ED">
            <wp:extent cx="5227775" cy="3990975"/>
            <wp:effectExtent l="0" t="0" r="0" b="0"/>
            <wp:docPr id="1410458900" name="drawing"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458900" name="drawing" descr="Tabla&#10;&#10;El contenido generado por IA puede ser incorrecto."/>
                    <pic:cNvPicPr/>
                  </pic:nvPicPr>
                  <pic:blipFill rotWithShape="1">
                    <a:blip r:embed="rId34">
                      <a:extLst>
                        <a:ext uri="{28A0092B-C50C-407E-A947-70E740481C1C}">
                          <a14:useLocalDpi xmlns:a14="http://schemas.microsoft.com/office/drawing/2010/main" val="0"/>
                        </a:ext>
                      </a:extLst>
                    </a:blip>
                    <a:srcRect t="11468"/>
                    <a:stretch/>
                  </pic:blipFill>
                  <pic:spPr bwMode="auto">
                    <a:xfrm>
                      <a:off x="0" y="0"/>
                      <a:ext cx="5271354" cy="4024244"/>
                    </a:xfrm>
                    <a:prstGeom prst="rect">
                      <a:avLst/>
                    </a:prstGeom>
                    <a:ln>
                      <a:noFill/>
                    </a:ln>
                    <a:extLst>
                      <a:ext uri="{53640926-AAD7-44D8-BBD7-CCE9431645EC}">
                        <a14:shadowObscured xmlns:a14="http://schemas.microsoft.com/office/drawing/2010/main"/>
                      </a:ext>
                    </a:extLst>
                  </pic:spPr>
                </pic:pic>
              </a:graphicData>
            </a:graphic>
          </wp:inline>
        </w:drawing>
      </w:r>
    </w:p>
    <w:p w:rsidRPr="00AF3ED7" w:rsidR="00C443D6" w:rsidP="00C443D6" w:rsidRDefault="00C443D6" w14:paraId="6BC2425E" w14:textId="6C3C1499">
      <w:pPr>
        <w:jc w:val="center"/>
        <w:rPr>
          <w:bCs/>
          <w:sz w:val="18"/>
        </w:rPr>
      </w:pPr>
      <w:r w:rsidRPr="00AF3ED7">
        <w:rPr>
          <w:bCs/>
          <w:sz w:val="18"/>
          <w:lang w:eastAsia="es-CO"/>
        </w:rPr>
        <w:t>Fuente: DANE</w:t>
      </w:r>
      <w:r w:rsidRPr="00AF3ED7">
        <w:rPr>
          <w:bCs/>
          <w:sz w:val="18"/>
        </w:rPr>
        <w:t>.</w:t>
      </w:r>
      <w:r w:rsidRPr="00AF3ED7" w:rsidR="00B57B4A">
        <w:rPr>
          <w:bCs/>
          <w:sz w:val="18"/>
        </w:rPr>
        <w:t xml:space="preserve"> </w:t>
      </w:r>
      <w:r w:rsidR="00320271">
        <w:rPr>
          <w:bCs/>
          <w:sz w:val="18"/>
        </w:rPr>
        <w:t>C</w:t>
      </w:r>
      <w:r w:rsidRPr="00AF3ED7">
        <w:rPr>
          <w:bCs/>
          <w:sz w:val="18"/>
        </w:rPr>
        <w:t>onsulta: 2</w:t>
      </w:r>
      <w:r w:rsidR="00320271">
        <w:rPr>
          <w:bCs/>
          <w:sz w:val="18"/>
        </w:rPr>
        <w:t>025</w:t>
      </w:r>
    </w:p>
    <w:p w:rsidR="00AF3ED7" w:rsidP="17F8AA9B" w:rsidRDefault="21505D60" w14:paraId="42F6A897" w14:textId="42CEDDFF">
      <w:pPr>
        <w:jc w:val="both"/>
        <w:rPr>
          <w:rFonts w:eastAsia="Arial" w:cs="Arial"/>
        </w:rPr>
      </w:pPr>
      <w:r w:rsidRPr="17F8AA9B">
        <w:rPr>
          <w:rFonts w:eastAsia="Arial" w:cs="Arial"/>
        </w:rPr>
        <w:t xml:space="preserve">Mientras tanto, la ANM expidió la Resolución 1006 del 30 de noviembre de 2023, "Por medio de la cual se determinan los minerales de interés estratégico para el País". Este instrumento actualizó los minerales estratégicos definidos mediante la Resolución </w:t>
      </w:r>
      <w:r w:rsidRPr="17F8AA9B" w:rsidR="0A5BE257">
        <w:rPr>
          <w:rFonts w:eastAsia="Arial" w:cs="Arial"/>
        </w:rPr>
        <w:t>MINENERGÍA</w:t>
      </w:r>
      <w:r w:rsidRPr="17F8AA9B">
        <w:rPr>
          <w:rFonts w:eastAsia="Arial" w:cs="Arial"/>
        </w:rPr>
        <w:t xml:space="preserve"> 18-0102 de 2012 para responder a los cambios en el contexto nacional e internacional de la última década; especialmente en cuanto a las necesidades y percepciones de riesgo en las cadenas de suministro, la demanda de minerales para una transición energética justa y orientada al cumplimiento de los compromisos derivados del Acuerdo de París, los cambios geopolíticos globales y las políticas del Gobierno Nacional dirigidas a lograr un sector minero productivo, que asegure un aprovechamiento integral de los recursos minerales de propiedad estatal mediante el desarrollo industrial requerido para el beneficio y transformación de las materias primas minerales.</w:t>
      </w:r>
    </w:p>
    <w:p w:rsidR="00AF438A" w:rsidP="00AF3ED7" w:rsidRDefault="00AF3ED7" w14:paraId="157FE064" w14:textId="77777777">
      <w:pPr>
        <w:jc w:val="both"/>
        <w:rPr>
          <w:rFonts w:eastAsia="Arial" w:cs="Arial"/>
          <w:szCs w:val="24"/>
        </w:rPr>
      </w:pPr>
      <w:r>
        <w:rPr>
          <w:rFonts w:eastAsia="Arial" w:cs="Arial"/>
          <w:szCs w:val="24"/>
        </w:rPr>
        <w:t xml:space="preserve">Los lineamientos adoptados para el establecimiento de minerales estratégicos en Colombia son siete: </w:t>
      </w:r>
    </w:p>
    <w:p w:rsidRPr="00561C29" w:rsidR="00AF438A" w:rsidP="001C54B2" w:rsidRDefault="00AF3ED7" w14:paraId="15E55F5F" w14:textId="015115CA">
      <w:pPr>
        <w:pStyle w:val="ListParagraph"/>
        <w:numPr>
          <w:ilvl w:val="3"/>
          <w:numId w:val="24"/>
        </w:numPr>
        <w:ind w:left="993"/>
        <w:jc w:val="both"/>
        <w:rPr>
          <w:rFonts w:eastAsia="Arial" w:cs="Arial"/>
          <w:szCs w:val="24"/>
        </w:rPr>
      </w:pPr>
      <w:r w:rsidRPr="00561C29">
        <w:rPr>
          <w:rFonts w:eastAsia="Arial" w:cs="Arial"/>
          <w:szCs w:val="24"/>
        </w:rPr>
        <w:t>Soberanía del Estado colombiano sobre los recursos minerales de propiedad estatal</w:t>
      </w:r>
      <w:r w:rsidRPr="00561C29" w:rsidR="00AF438A">
        <w:rPr>
          <w:rFonts w:eastAsia="Arial" w:cs="Arial"/>
          <w:szCs w:val="24"/>
        </w:rPr>
        <w:t>.</w:t>
      </w:r>
    </w:p>
    <w:p w:rsidRPr="00561C29" w:rsidR="00AF438A" w:rsidP="001C54B2" w:rsidRDefault="00AF3ED7" w14:paraId="1D74925C" w14:textId="05CD45B0">
      <w:pPr>
        <w:pStyle w:val="ListParagraph"/>
        <w:numPr>
          <w:ilvl w:val="3"/>
          <w:numId w:val="24"/>
        </w:numPr>
        <w:ind w:left="993"/>
        <w:jc w:val="both"/>
        <w:rPr>
          <w:rFonts w:eastAsia="Arial" w:cs="Arial"/>
          <w:szCs w:val="24"/>
        </w:rPr>
      </w:pPr>
      <w:r w:rsidRPr="00561C29">
        <w:rPr>
          <w:rFonts w:eastAsia="Arial" w:cs="Arial"/>
          <w:szCs w:val="24"/>
        </w:rPr>
        <w:t>Existencia de ambientes geológicos favorables y priorización de la investigación</w:t>
      </w:r>
      <w:r w:rsidRPr="00561C29" w:rsidR="00AF438A">
        <w:rPr>
          <w:rFonts w:eastAsia="Arial" w:cs="Arial"/>
          <w:szCs w:val="24"/>
        </w:rPr>
        <w:t>.</w:t>
      </w:r>
    </w:p>
    <w:p w:rsidRPr="00561C29" w:rsidR="00AF438A" w:rsidP="001C54B2" w:rsidRDefault="00AF3ED7" w14:paraId="19E45F2B" w14:textId="0E2498CC">
      <w:pPr>
        <w:pStyle w:val="ListParagraph"/>
        <w:numPr>
          <w:ilvl w:val="3"/>
          <w:numId w:val="24"/>
        </w:numPr>
        <w:ind w:left="993"/>
        <w:jc w:val="both"/>
        <w:rPr>
          <w:rFonts w:eastAsia="Arial" w:cs="Arial"/>
          <w:szCs w:val="24"/>
        </w:rPr>
      </w:pPr>
      <w:r w:rsidRPr="00561C29">
        <w:rPr>
          <w:rFonts w:eastAsia="Arial" w:cs="Arial"/>
          <w:szCs w:val="24"/>
        </w:rPr>
        <w:t>Demanda de minerales para la transición energética</w:t>
      </w:r>
      <w:r w:rsidRPr="00561C29" w:rsidR="00AF438A">
        <w:rPr>
          <w:rFonts w:eastAsia="Arial" w:cs="Arial"/>
          <w:szCs w:val="24"/>
        </w:rPr>
        <w:t>.</w:t>
      </w:r>
    </w:p>
    <w:p w:rsidRPr="00561C29" w:rsidR="00AF438A" w:rsidP="001C54B2" w:rsidRDefault="00AF3ED7" w14:paraId="725A2C80" w14:textId="229AB411">
      <w:pPr>
        <w:pStyle w:val="ListParagraph"/>
        <w:numPr>
          <w:ilvl w:val="3"/>
          <w:numId w:val="24"/>
        </w:numPr>
        <w:ind w:left="993"/>
        <w:jc w:val="both"/>
        <w:rPr>
          <w:rFonts w:eastAsia="Arial" w:cs="Arial"/>
          <w:szCs w:val="24"/>
        </w:rPr>
      </w:pPr>
      <w:r w:rsidRPr="00561C29">
        <w:rPr>
          <w:rFonts w:eastAsia="Arial" w:cs="Arial"/>
          <w:szCs w:val="24"/>
        </w:rPr>
        <w:t>Demanda de minerales para la Seguridad alimentaria</w:t>
      </w:r>
      <w:r w:rsidRPr="00561C29" w:rsidR="00AF438A">
        <w:rPr>
          <w:rFonts w:eastAsia="Arial" w:cs="Arial"/>
          <w:szCs w:val="24"/>
        </w:rPr>
        <w:t>.</w:t>
      </w:r>
    </w:p>
    <w:p w:rsidRPr="00561C29" w:rsidR="00AF438A" w:rsidP="001C54B2" w:rsidRDefault="00AF3ED7" w14:paraId="2F1612F8" w14:textId="4AA9F8A5">
      <w:pPr>
        <w:pStyle w:val="ListParagraph"/>
        <w:numPr>
          <w:ilvl w:val="3"/>
          <w:numId w:val="24"/>
        </w:numPr>
        <w:ind w:left="993"/>
        <w:jc w:val="both"/>
        <w:rPr>
          <w:rFonts w:eastAsia="Arial" w:cs="Arial"/>
          <w:szCs w:val="24"/>
        </w:rPr>
      </w:pPr>
      <w:r w:rsidRPr="00561C29">
        <w:rPr>
          <w:rFonts w:eastAsia="Arial" w:cs="Arial"/>
          <w:szCs w:val="24"/>
        </w:rPr>
        <w:t>Demanda de minerales para el desarrollo industrial y de la infraestructura pública</w:t>
      </w:r>
      <w:r w:rsidRPr="00561C29" w:rsidR="00AF438A">
        <w:rPr>
          <w:rFonts w:eastAsia="Arial" w:cs="Arial"/>
          <w:szCs w:val="24"/>
        </w:rPr>
        <w:t>.</w:t>
      </w:r>
    </w:p>
    <w:p w:rsidR="00561C29" w:rsidP="001C54B2" w:rsidRDefault="00AF3ED7" w14:paraId="1F33B503" w14:textId="77777777">
      <w:pPr>
        <w:pStyle w:val="ListParagraph"/>
        <w:numPr>
          <w:ilvl w:val="3"/>
          <w:numId w:val="24"/>
        </w:numPr>
        <w:ind w:left="993"/>
        <w:jc w:val="both"/>
        <w:rPr>
          <w:rFonts w:eastAsia="Arial" w:cs="Arial"/>
          <w:szCs w:val="24"/>
        </w:rPr>
      </w:pPr>
      <w:r w:rsidRPr="00561C29">
        <w:rPr>
          <w:rFonts w:eastAsia="Arial" w:cs="Arial"/>
          <w:szCs w:val="24"/>
        </w:rPr>
        <w:t>Minerales para el autoabastecimiento</w:t>
      </w:r>
      <w:r w:rsidRPr="00561C29" w:rsidR="00AF438A">
        <w:rPr>
          <w:rFonts w:eastAsia="Arial" w:cs="Arial"/>
          <w:szCs w:val="24"/>
        </w:rPr>
        <w:t>.</w:t>
      </w:r>
    </w:p>
    <w:p w:rsidRPr="00561C29" w:rsidR="00AF3ED7" w:rsidP="001C54B2" w:rsidRDefault="00AF3ED7" w14:paraId="0BAE71EA" w14:textId="7F208FA5">
      <w:pPr>
        <w:pStyle w:val="ListParagraph"/>
        <w:numPr>
          <w:ilvl w:val="3"/>
          <w:numId w:val="24"/>
        </w:numPr>
        <w:ind w:left="993"/>
        <w:jc w:val="both"/>
        <w:rPr>
          <w:rFonts w:eastAsia="Arial" w:cs="Arial"/>
          <w:szCs w:val="24"/>
        </w:rPr>
      </w:pPr>
      <w:r w:rsidRPr="00561C29">
        <w:rPr>
          <w:rFonts w:eastAsia="Arial" w:cs="Arial"/>
          <w:szCs w:val="24"/>
        </w:rPr>
        <w:t>Minerales para promover la asociatividad.</w:t>
      </w:r>
    </w:p>
    <w:p w:rsidR="00AF3ED7" w:rsidP="00AF3ED7" w:rsidRDefault="00AF3ED7" w14:paraId="3E54D54E" w14:textId="77777777">
      <w:pPr>
        <w:jc w:val="both"/>
      </w:pPr>
      <w:r>
        <w:rPr>
          <w:rFonts w:eastAsia="Arial" w:cs="Arial"/>
        </w:rPr>
        <w:t xml:space="preserve">Mediante Resolución 1006 de 2023, la ANM determinó 17 minerales estratégicos para el país, entre ellos varios que son clave para la transición energética como el cobre o níquel. De acuerdo con la IEA (2023), entre 2017 y 2022 la demanda de minerales críticos a nivel global se triplicó, y se espera que, para 2030, esta demanda continúe teniendo un crecimiento significativo. Esto implica un desafío para los Estados con yacimientos de estos minerales, se deben procurar proyectos mineros sustentables que apuesten por la reducción de emisiones, agua y energía, en su construcción y operación, teniendo en cuenta los escenarios de cambio climático.  </w:t>
      </w:r>
    </w:p>
    <w:p w:rsidR="00AF3ED7" w:rsidP="00AF3ED7" w:rsidRDefault="00AF3ED7" w14:paraId="14A0ABA9" w14:textId="232B8690">
      <w:pPr>
        <w:jc w:val="both"/>
      </w:pPr>
      <w:bookmarkStart w:name="_Int_bsTcJgDU" w:id="723"/>
      <w:r>
        <w:t>Existe una baja investigación e innovación en minería en Colombia que materializa</w:t>
      </w:r>
      <w:r w:rsidR="00FE118C">
        <w:t>,</w:t>
      </w:r>
      <w:r>
        <w:t xml:space="preserve"> a su vez, la baja presencia de mano de obra calificada, bajos procesos de tecnificación y automatización, carentes procesos de transferencia tecnológica y poco fomento al desarrollo de capacidades del talento humano en los procesos productivos del sector</w:t>
      </w:r>
      <w:r w:rsidR="00FE118C">
        <w:t>. U</w:t>
      </w:r>
      <w:r>
        <w:t>n ejemplo de esta situación se evidencia en los recursos destinados para la investigación del Sistema General de Regalías en el OCAD de Ciencia Tecnología e Innovación, donde se han aprobado solamente 5 proyectos relacionados con minería por un orden de $13.568 millones de pesos ($10.425 millones con cargo al SGR), los cuales representan el 9% del total de recursos que ascienden a los $158.442 millones ($107.116 millones con cargo al SGR) del sector minas y energía, en el periodo 2012-2022.</w:t>
      </w:r>
      <w:bookmarkEnd w:id="723"/>
      <w:r>
        <w:t xml:space="preserve"> </w:t>
      </w:r>
    </w:p>
    <w:p w:rsidR="00AF3ED7" w:rsidP="00AF3ED7" w:rsidRDefault="00AF3ED7" w14:paraId="72E62D5C" w14:textId="587B579A">
      <w:pPr>
        <w:jc w:val="both"/>
      </w:pPr>
      <w:r>
        <w:t>Los RNNR son finitos y, algunos de los minerales estratégicos, tienden a la escasez en el mediano plazo. De ahí que los países económicamente más ricos y las grandes multinacionales buscan con urgencia hacerse a la propiedad de los minerales estratégicos en los países que cuentan con ellos. Colombia tiene un potencial importante en cobre y con investigaci</w:t>
      </w:r>
      <w:r w:rsidR="58AD0374">
        <w:t xml:space="preserve">ones </w:t>
      </w:r>
      <w:r>
        <w:t>geológica</w:t>
      </w:r>
      <w:r w:rsidR="00FB1C11">
        <w:t>s</w:t>
      </w:r>
      <w:r>
        <w:t xml:space="preserve"> </w:t>
      </w:r>
      <w:r w:rsidR="001B575C">
        <w:t xml:space="preserve">podría </w:t>
      </w:r>
      <w:r>
        <w:t>confirmar su potencial en otros minerales</w:t>
      </w:r>
      <w:r w:rsidR="78E5B525">
        <w:t xml:space="preserve"> y metales</w:t>
      </w:r>
      <w:r>
        <w:t>, como tierras, raras, coltán, molibdeno, etc. Así, es necesaria una nueva política que garantice</w:t>
      </w:r>
      <w:r w:rsidR="007A0B31">
        <w:t>,</w:t>
      </w:r>
      <w:r>
        <w:t xml:space="preserve"> la soberanía sobre los minerales estratégicos, cuya extracción deberá cumplir con rigurosas normas ambientales, la certificación ambiental y el debido proceso a la participación de las comunidades del área de influencia de los potenciales mineros. </w:t>
      </w:r>
    </w:p>
    <w:p w:rsidR="00AF3ED7" w:rsidP="00AF3ED7" w:rsidRDefault="00AF3ED7" w14:paraId="2660492F" w14:textId="6D3F0553">
      <w:pPr>
        <w:jc w:val="both"/>
      </w:pPr>
      <w:r>
        <w:t xml:space="preserve">De otra parte, se infiere que la baja productividad de la minería genera un sector con bajos estándares de calidad y sofisticación, configura una alta presencia de informalidad minera, y establece grandes retos para consolidar un tejido empresarial robusto, incluyente con la sociedad, y una alternativa para la vida digna de los mineros. Por lo anterior, la nueva política propone mejorar la planeación en cuanto al aprovechamiento de los minerales y propiciar su transformación </w:t>
      </w:r>
      <w:r w:rsidR="00B234F0">
        <w:t>para</w:t>
      </w:r>
      <w:r>
        <w:t xml:space="preserve"> fortalecer su consumo loca</w:t>
      </w:r>
      <w:r w:rsidR="2512FADD">
        <w:t>l</w:t>
      </w:r>
      <w:r>
        <w:t>. Por tal motivo, es necesario implementar las estrategias para que la minería sea una de las bases de la industrialización económica del país.</w:t>
      </w:r>
    </w:p>
    <w:p w:rsidR="00AF3ED7" w:rsidP="00AF3ED7" w:rsidRDefault="00B234F0" w14:paraId="56E444F9" w14:textId="62BC69EC">
      <w:pPr>
        <w:jc w:val="both"/>
        <w:rPr>
          <w:lang w:val="es-ES"/>
        </w:rPr>
      </w:pPr>
      <w:r>
        <w:rPr>
          <w:lang w:val="es-ES"/>
        </w:rPr>
        <w:t xml:space="preserve">Sumado a lo anterior, </w:t>
      </w:r>
      <w:r w:rsidR="00AF3ED7">
        <w:rPr>
          <w:lang w:val="es-ES"/>
        </w:rPr>
        <w:t xml:space="preserve">es pertinente describir </w:t>
      </w:r>
      <w:r w:rsidR="00BF4D03">
        <w:rPr>
          <w:lang w:val="es-ES"/>
        </w:rPr>
        <w:t>tres</w:t>
      </w:r>
      <w:r w:rsidR="00AF3ED7">
        <w:rPr>
          <w:lang w:val="es-ES"/>
        </w:rPr>
        <w:t xml:space="preserve"> situaciones adicionales</w:t>
      </w:r>
      <w:r>
        <w:rPr>
          <w:lang w:val="es-ES"/>
        </w:rPr>
        <w:t xml:space="preserve"> que representan retos significativos para el sector:</w:t>
      </w:r>
    </w:p>
    <w:p w:rsidR="00AF3ED7" w:rsidP="001C54B2" w:rsidRDefault="00AF3ED7" w14:paraId="0E36E771" w14:textId="77777777">
      <w:pPr>
        <w:pStyle w:val="ListParagraph"/>
        <w:numPr>
          <w:ilvl w:val="0"/>
          <w:numId w:val="25"/>
        </w:numPr>
        <w:suppressAutoHyphens/>
        <w:autoSpaceDN w:val="0"/>
        <w:spacing w:line="256" w:lineRule="auto"/>
        <w:ind w:left="426" w:hanging="426"/>
        <w:contextualSpacing w:val="0"/>
        <w:jc w:val="both"/>
        <w:textAlignment w:val="baseline"/>
      </w:pPr>
      <w:r>
        <w:rPr>
          <w:b/>
          <w:bCs/>
          <w:lang w:val="es-ES"/>
        </w:rPr>
        <w:t>Falencias en la comercialización del oro en Colombia.</w:t>
      </w:r>
    </w:p>
    <w:p w:rsidR="00AF3ED7" w:rsidP="00AF3ED7" w:rsidRDefault="00AF3ED7" w14:paraId="6549A934" w14:textId="07E1FB22">
      <w:pPr>
        <w:jc w:val="both"/>
      </w:pPr>
      <w:r>
        <w:rPr>
          <w:rFonts w:eastAsia="Times New Roman"/>
          <w:szCs w:val="24"/>
          <w:lang w:val="es"/>
        </w:rPr>
        <w:t>En los últimos años el oro se ha consolidado como una de las principales exportaciones del país, entre otras razones, por el aumento de su precio internacional.</w:t>
      </w:r>
      <w:r w:rsidR="00114503">
        <w:rPr>
          <w:rFonts w:eastAsia="Times New Roman"/>
          <w:szCs w:val="24"/>
          <w:lang w:val="es"/>
        </w:rPr>
        <w:t xml:space="preserve"> </w:t>
      </w:r>
      <w:r>
        <w:rPr>
          <w:rFonts w:eastAsia="Times New Roman"/>
          <w:lang w:val="es"/>
        </w:rPr>
        <w:t>Según datos de la ANM, en los últimos cuatro años, más de la mitad de esta producción de oro (aproximadamente el 56,25%), proviene de pequeños mineros (incluidos los beneficiarios de solicitudes legalización, de áreas de reserva especial, subcontratos de formalización, barequeros y chatarreros), cifra que podría resultar mucho mayor si se tiene en cuenta que se estima que cerca del 66%</w:t>
      </w:r>
      <w:r>
        <w:rPr>
          <w:rFonts w:eastAsia="Times New Roman"/>
          <w:lang w:val="es-ES"/>
        </w:rPr>
        <w:t xml:space="preserve"> de la </w:t>
      </w:r>
      <w:r>
        <w:rPr>
          <w:rFonts w:eastAsia="Times New Roman"/>
          <w:lang w:val="es"/>
        </w:rPr>
        <w:t xml:space="preserve">explotación de oro de aluvión con maquinaria </w:t>
      </w:r>
      <w:r>
        <w:rPr>
          <w:rFonts w:eastAsia="Times New Roman"/>
          <w:lang w:val="es-ES"/>
        </w:rPr>
        <w:t xml:space="preserve">se da </w:t>
      </w:r>
      <w:r>
        <w:rPr>
          <w:rFonts w:eastAsia="Times New Roman"/>
          <w:lang w:val="es"/>
        </w:rPr>
        <w:t>fuera de cualquier figura permitida por la normativa vigente. Lo anterior podría corroborarse, al menos parcialmente, con la existencia de diferencias significativas entre producción y exportaciones de este metal, pues en algunos años las exportaciones exceden la producción. Por ejemplo, en 2018 se presentó un excedente de exportaciones de 19.7 toneladas</w:t>
      </w:r>
      <w:r>
        <w:t xml:space="preserve"> </w:t>
      </w:r>
      <w:r>
        <w:rPr>
          <w:rFonts w:eastAsia="Times New Roman"/>
          <w:lang w:val="es"/>
        </w:rPr>
        <w:t xml:space="preserve">y, en </w:t>
      </w:r>
      <w:r>
        <w:rPr>
          <w:rFonts w:eastAsia="Times New Roman"/>
          <w:lang w:val="es-ES"/>
        </w:rPr>
        <w:t>2019 de aproximadamente 10 toneladas</w:t>
      </w:r>
      <w:sdt>
        <w:sdtPr>
          <w:rPr>
            <w:rFonts w:eastAsia="Times New Roman"/>
            <w:lang w:val="es-ES"/>
          </w:rPr>
          <w:id w:val="1549178344"/>
          <w:citation/>
        </w:sdtPr>
        <w:sdtEndPr/>
        <w:sdtContent>
          <w:r w:rsidR="005863EA">
            <w:rPr>
              <w:rFonts w:eastAsia="Times New Roman"/>
              <w:lang w:val="es-ES"/>
            </w:rPr>
            <w:fldChar w:fldCharType="begin"/>
          </w:r>
          <w:r w:rsidR="005863EA">
            <w:rPr>
              <w:rFonts w:eastAsia="Times New Roman"/>
            </w:rPr>
            <w:instrText xml:space="preserve"> CITATION Esc19 \l 9226 </w:instrText>
          </w:r>
          <w:r w:rsidR="005863EA">
            <w:rPr>
              <w:rFonts w:eastAsia="Times New Roman"/>
              <w:lang w:val="es-ES"/>
            </w:rPr>
            <w:fldChar w:fldCharType="separate"/>
          </w:r>
          <w:r w:rsidR="00104221">
            <w:rPr>
              <w:rFonts w:eastAsia="Times New Roman"/>
              <w:noProof/>
            </w:rPr>
            <w:t xml:space="preserve"> </w:t>
          </w:r>
          <w:r w:rsidRPr="00104221" w:rsidR="00104221">
            <w:rPr>
              <w:rFonts w:eastAsia="Times New Roman"/>
              <w:noProof/>
            </w:rPr>
            <w:t>(Escobar Arango &amp; González Estrada, 2019)</w:t>
          </w:r>
          <w:r w:rsidR="005863EA">
            <w:rPr>
              <w:rFonts w:eastAsia="Times New Roman"/>
              <w:lang w:val="es-ES"/>
            </w:rPr>
            <w:fldChar w:fldCharType="end"/>
          </w:r>
        </w:sdtContent>
      </w:sdt>
      <w:r>
        <w:rPr>
          <w:rFonts w:eastAsia="Times New Roman"/>
          <w:lang w:val="es-ES"/>
        </w:rPr>
        <w:t>. Según otros cálculos del Departamento Contra de Delincuencia Organizada Transnacional de la Organización de los Estados Americanos (OEA), la extracción no autorizada, puede llegar a representar más del 70% de la producción nacional y constituir la mayoría de las exportaciones de este metal</w:t>
      </w:r>
      <w:r>
        <w:rPr>
          <w:rFonts w:eastAsia="Times New Roman"/>
        </w:rPr>
        <w:t xml:space="preserve"> </w:t>
      </w:r>
      <w:sdt>
        <w:sdtPr>
          <w:rPr>
            <w:rFonts w:eastAsia="Times New Roman"/>
          </w:rPr>
          <w:id w:val="2058659215"/>
          <w:citation/>
        </w:sdtPr>
        <w:sdtEndPr/>
        <w:sdtContent>
          <w:r w:rsidR="00535777">
            <w:rPr>
              <w:rFonts w:eastAsia="Times New Roman"/>
            </w:rPr>
            <w:fldChar w:fldCharType="begin"/>
          </w:r>
          <w:r w:rsidR="00535777">
            <w:rPr>
              <w:rFonts w:eastAsia="Times New Roman"/>
            </w:rPr>
            <w:instrText xml:space="preserve"> CITATION OEA22 \l 9226 </w:instrText>
          </w:r>
          <w:r w:rsidR="00535777">
            <w:rPr>
              <w:rFonts w:eastAsia="Times New Roman"/>
            </w:rPr>
            <w:fldChar w:fldCharType="separate"/>
          </w:r>
          <w:r w:rsidRPr="00104221" w:rsidR="00104221">
            <w:rPr>
              <w:rFonts w:eastAsia="Times New Roman"/>
              <w:noProof/>
            </w:rPr>
            <w:t>(OEA, 2022)</w:t>
          </w:r>
          <w:r w:rsidR="00535777">
            <w:rPr>
              <w:rFonts w:eastAsia="Times New Roman"/>
            </w:rPr>
            <w:fldChar w:fldCharType="end"/>
          </w:r>
        </w:sdtContent>
      </w:sdt>
      <w:r w:rsidR="00535777">
        <w:rPr>
          <w:rFonts w:eastAsia="Times New Roman"/>
        </w:rPr>
        <w:t>.</w:t>
      </w:r>
      <w:r>
        <w:rPr>
          <w:rStyle w:val="FootnoteReference"/>
          <w:rFonts w:eastAsia="Times New Roman"/>
          <w:lang w:val="es-ES"/>
        </w:rPr>
        <w:t xml:space="preserve"> </w:t>
      </w:r>
    </w:p>
    <w:p w:rsidR="00AF3ED7" w:rsidP="00AF3ED7" w:rsidRDefault="00AF3ED7" w14:paraId="55ED2BE5" w14:textId="70AB41D8">
      <w:pPr>
        <w:jc w:val="both"/>
      </w:pPr>
      <w:r w:rsidRPr="31226965">
        <w:rPr>
          <w:rFonts w:eastAsia="Times New Roman"/>
          <w:lang w:val="es-ES"/>
        </w:rPr>
        <w:t xml:space="preserve">La comercialización de este metal se caracteriza por la coexistencia de múltiples intermediarios, generando una diferencia importante en el precio pagado a los pequeños mineros y barequeros </w:t>
      </w:r>
      <w:r w:rsidRPr="31226965" w:rsidR="00601636">
        <w:rPr>
          <w:rFonts w:eastAsia="Times New Roman"/>
          <w:lang w:val="es-ES"/>
        </w:rPr>
        <w:t xml:space="preserve">con </w:t>
      </w:r>
      <w:r w:rsidRPr="31226965">
        <w:rPr>
          <w:rFonts w:eastAsia="Times New Roman"/>
          <w:lang w:val="es-ES"/>
        </w:rPr>
        <w:t xml:space="preserve">respecto al precio observado </w:t>
      </w:r>
      <w:r w:rsidRPr="31226965" w:rsidR="007A0B31">
        <w:rPr>
          <w:rFonts w:eastAsia="Times New Roman"/>
          <w:lang w:val="es-ES"/>
        </w:rPr>
        <w:t>en</w:t>
      </w:r>
      <w:r w:rsidRPr="31226965">
        <w:rPr>
          <w:rFonts w:eastAsia="Times New Roman"/>
          <w:lang w:val="es-ES"/>
        </w:rPr>
        <w:t xml:space="preserve"> mercados internacionales. </w:t>
      </w:r>
      <w:bookmarkStart w:name="_Int_GAD7LmT1" w:id="724"/>
      <w:r w:rsidRPr="31226965">
        <w:rPr>
          <w:rFonts w:eastAsia="Times New Roman"/>
          <w:lang w:val="es-ES"/>
        </w:rPr>
        <w:t>Para el oro que entra a las cadenas de comercialización sin el cumplimiento de todos los requisitos legales, este menor precio para los pequeños productores (incluyendo los barequeros) puede llegar a ser incluso un 40% más bajo que el precio internacional.</w:t>
      </w:r>
      <w:bookmarkEnd w:id="724"/>
      <w:r w:rsidRPr="31226965">
        <w:rPr>
          <w:rFonts w:eastAsia="Times New Roman"/>
          <w:lang w:val="es-ES"/>
        </w:rPr>
        <w:t xml:space="preserve"> De esta cadena de descuentos, que constituye una renta considerable, se benefician, además de los intermediarios autorizados, las organizaciones al margen de la ley, principalmente del oro que venden los explotadores no autorizados, que luego estas organizaciones logran comercializar como oro “legal”.</w:t>
      </w:r>
      <w:r w:rsidRPr="31226965">
        <w:rPr>
          <w:rFonts w:ascii="Calibri" w:hAnsi="Calibri" w:eastAsia="Calibri" w:cs="Calibri"/>
          <w:color w:val="000000" w:themeColor="text1"/>
          <w:lang w:val="es-ES"/>
        </w:rPr>
        <w:t xml:space="preserve"> </w:t>
      </w:r>
    </w:p>
    <w:p w:rsidR="00AF3ED7" w:rsidP="00AF3ED7" w:rsidRDefault="00114503" w14:paraId="06B9E1A3" w14:textId="69A13947">
      <w:pPr>
        <w:jc w:val="both"/>
      </w:pPr>
      <w:r>
        <w:rPr>
          <w:rFonts w:eastAsia="Times New Roman"/>
          <w:lang w:val="es"/>
        </w:rPr>
        <w:t>P</w:t>
      </w:r>
      <w:r w:rsidR="00AF3ED7">
        <w:rPr>
          <w:rFonts w:eastAsia="Times New Roman"/>
          <w:lang w:val="es"/>
        </w:rPr>
        <w:t>or problemas de información, no es fácil para las autoridades distinguir el oro legal del que no lo es, al menos con relación a los pequeños productores</w:t>
      </w:r>
      <w:r w:rsidR="001B517F">
        <w:rPr>
          <w:rFonts w:eastAsia="Times New Roman"/>
          <w:lang w:val="es"/>
        </w:rPr>
        <w:t>.</w:t>
      </w:r>
      <w:r w:rsidR="00AF3ED7">
        <w:rPr>
          <w:rFonts w:eastAsia="Times New Roman"/>
          <w:lang w:val="es"/>
        </w:rPr>
        <w:t xml:space="preserve"> </w:t>
      </w:r>
      <w:r w:rsidR="001B517F">
        <w:rPr>
          <w:rFonts w:eastAsia="Times New Roman"/>
          <w:lang w:val="es"/>
        </w:rPr>
        <w:t>Esta falencia</w:t>
      </w:r>
      <w:r w:rsidR="00AF3ED7">
        <w:rPr>
          <w:rFonts w:eastAsia="Times New Roman"/>
          <w:lang w:val="es"/>
        </w:rPr>
        <w:t xml:space="preserve"> dificulta asegurar que la totalidad del oro que entra en el circuito legal de comercialización proveniente de estos </w:t>
      </w:r>
      <w:r w:rsidR="00153336">
        <w:rPr>
          <w:rFonts w:eastAsia="Times New Roman"/>
          <w:lang w:val="es"/>
        </w:rPr>
        <w:t>explotadores</w:t>
      </w:r>
      <w:r w:rsidR="00AF3ED7">
        <w:rPr>
          <w:rFonts w:eastAsia="Times New Roman"/>
          <w:lang w:val="es"/>
        </w:rPr>
        <w:t xml:space="preserve"> haya sido producida cumpliendo con todos los requisitos establecidos por la normatividad vigente, aunque se encuentre registrada en el RUCOM</w:t>
      </w:r>
      <w:r w:rsidR="00153336">
        <w:rPr>
          <w:rFonts w:eastAsia="Times New Roman"/>
          <w:lang w:val="es"/>
        </w:rPr>
        <w:t>. De esta forma,</w:t>
      </w:r>
      <w:r w:rsidR="00AF3ED7">
        <w:rPr>
          <w:rFonts w:eastAsia="Times New Roman"/>
          <w:lang w:val="es"/>
        </w:rPr>
        <w:t xml:space="preserve"> se abre la posibilidad para que uno y otro tipo de oro puedan ser comercializados de forma legal y, eventualmente, exportados o utilizados como un medio para el lavado de dinero, entre otros delitos </w:t>
      </w:r>
      <w:sdt>
        <w:sdtPr>
          <w:rPr>
            <w:rFonts w:eastAsia="Times New Roman"/>
            <w:lang w:val="es"/>
          </w:rPr>
          <w:id w:val="-978298482"/>
          <w:citation/>
        </w:sdtPr>
        <w:sdtEndPr/>
        <w:sdtContent>
          <w:r w:rsidR="005863EA">
            <w:rPr>
              <w:rFonts w:eastAsia="Times New Roman"/>
              <w:lang w:val="es"/>
            </w:rPr>
            <w:fldChar w:fldCharType="begin"/>
          </w:r>
          <w:r w:rsidR="005863EA">
            <w:rPr>
              <w:rFonts w:eastAsia="Times New Roman"/>
            </w:rPr>
            <w:instrText xml:space="preserve"> CITATION Esc19 \l 9226 </w:instrText>
          </w:r>
          <w:r w:rsidR="005863EA">
            <w:rPr>
              <w:rFonts w:eastAsia="Times New Roman"/>
              <w:lang w:val="es"/>
            </w:rPr>
            <w:fldChar w:fldCharType="separate"/>
          </w:r>
          <w:r w:rsidRPr="00104221" w:rsidR="00104221">
            <w:rPr>
              <w:rFonts w:eastAsia="Times New Roman"/>
              <w:noProof/>
            </w:rPr>
            <w:t>(Escobar Arango &amp; González Estrada, 2019)</w:t>
          </w:r>
          <w:r w:rsidR="005863EA">
            <w:rPr>
              <w:rFonts w:eastAsia="Times New Roman"/>
              <w:lang w:val="es"/>
            </w:rPr>
            <w:fldChar w:fldCharType="end"/>
          </w:r>
        </w:sdtContent>
      </w:sdt>
      <w:r w:rsidR="005863EA">
        <w:rPr>
          <w:rFonts w:eastAsia="Times New Roman"/>
          <w:lang w:val="es"/>
        </w:rPr>
        <w:t>.</w:t>
      </w:r>
    </w:p>
    <w:p w:rsidR="00AF3ED7" w:rsidP="00AF3ED7" w:rsidRDefault="00153336" w14:paraId="2411DDD8" w14:textId="3785D0AF">
      <w:pPr>
        <w:jc w:val="both"/>
      </w:pPr>
      <w:bookmarkStart w:name="_Int_3YnBKsTU" w:id="725"/>
      <w:r w:rsidRPr="31226965">
        <w:rPr>
          <w:rFonts w:eastAsia="Times New Roman"/>
          <w:lang w:val="es-ES"/>
        </w:rPr>
        <w:t xml:space="preserve">Los </w:t>
      </w:r>
      <w:r w:rsidRPr="31226965" w:rsidR="00AF3ED7">
        <w:rPr>
          <w:rFonts w:eastAsia="Times New Roman"/>
          <w:lang w:val="es-ES"/>
        </w:rPr>
        <w:t xml:space="preserve">bajos precios que reciben los pequeños mineros </w:t>
      </w:r>
      <w:r w:rsidRPr="31226965" w:rsidR="001D756D">
        <w:rPr>
          <w:rFonts w:eastAsia="Times New Roman"/>
          <w:lang w:val="es-ES"/>
        </w:rPr>
        <w:t>es</w:t>
      </w:r>
      <w:r w:rsidRPr="31226965" w:rsidR="00AF3ED7">
        <w:rPr>
          <w:rFonts w:eastAsia="Times New Roman"/>
          <w:lang w:val="es-ES"/>
        </w:rPr>
        <w:t xml:space="preserve"> una de las razones que explican que sus ingresos laborales mensuales</w:t>
      </w:r>
      <w:r w:rsidRPr="31226965" w:rsidR="001D756D">
        <w:rPr>
          <w:rFonts w:eastAsia="Times New Roman"/>
          <w:lang w:val="es-ES"/>
        </w:rPr>
        <w:t xml:space="preserve"> sean en promedio de $700.000 (pesos de 2019)</w:t>
      </w:r>
      <w:r w:rsidRPr="31226965" w:rsidR="00AF3ED7">
        <w:rPr>
          <w:rFonts w:eastAsia="Times New Roman"/>
          <w:lang w:val="es-ES"/>
        </w:rPr>
        <w:t>, al menos los que trabajan individualmente, lo que los hace el único segmento en el sector minero que recibe ingresos laborales por debajo del salario mínimo</w:t>
      </w:r>
      <w:r w:rsidRPr="31226965" w:rsidR="006943FF">
        <w:rPr>
          <w:rFonts w:eastAsia="Times New Roman"/>
          <w:lang w:val="es-ES"/>
        </w:rPr>
        <w:t xml:space="preserve"> legal vigente</w:t>
      </w:r>
      <w:r w:rsidRPr="31226965" w:rsidR="00AF3ED7">
        <w:rPr>
          <w:rFonts w:eastAsia="Times New Roman"/>
          <w:lang w:val="es-ES"/>
        </w:rPr>
        <w:t>.</w:t>
      </w:r>
      <w:bookmarkEnd w:id="725"/>
      <w:r w:rsidRPr="31226965" w:rsidR="00AF3ED7">
        <w:rPr>
          <w:rFonts w:eastAsia="Times New Roman"/>
          <w:lang w:val="es-ES"/>
        </w:rPr>
        <w:t xml:space="preserve"> Además, tan sólo el 0.3% de los mineros unipersonales poseen un contrato y normalmente su trabajo se asocia con el trabajo informal </w:t>
      </w:r>
      <w:sdt>
        <w:sdtPr>
          <w:rPr>
            <w:rFonts w:eastAsia="Times New Roman"/>
            <w:lang w:val="es-ES"/>
          </w:rPr>
          <w:id w:val="-1000113655"/>
          <w:citation/>
        </w:sdtPr>
        <w:sdtEndPr/>
        <w:sdtContent>
          <w:r w:rsidR="005863EA">
            <w:rPr>
              <w:rFonts w:eastAsia="Times New Roman"/>
              <w:lang w:val="es-ES"/>
            </w:rPr>
            <w:fldChar w:fldCharType="begin"/>
          </w:r>
          <w:r w:rsidR="005863EA">
            <w:rPr>
              <w:rFonts w:eastAsia="Times New Roman"/>
            </w:rPr>
            <w:instrText xml:space="preserve"> CITATION Esc19 \l 9226 </w:instrText>
          </w:r>
          <w:r w:rsidR="005863EA">
            <w:rPr>
              <w:rFonts w:eastAsia="Times New Roman"/>
              <w:lang w:val="es-ES"/>
            </w:rPr>
            <w:fldChar w:fldCharType="separate"/>
          </w:r>
          <w:r w:rsidRPr="00104221" w:rsidR="00104221">
            <w:rPr>
              <w:rFonts w:eastAsia="Times New Roman"/>
              <w:noProof/>
            </w:rPr>
            <w:t>(Escobar Arango &amp; González Estrada, 2019)</w:t>
          </w:r>
          <w:r w:rsidR="005863EA">
            <w:rPr>
              <w:rFonts w:eastAsia="Times New Roman"/>
              <w:lang w:val="es-ES"/>
            </w:rPr>
            <w:fldChar w:fldCharType="end"/>
          </w:r>
        </w:sdtContent>
      </w:sdt>
      <w:r w:rsidR="005863EA">
        <w:rPr>
          <w:rFonts w:eastAsia="Times New Roman"/>
          <w:lang w:val="es-ES"/>
        </w:rPr>
        <w:t>.</w:t>
      </w:r>
    </w:p>
    <w:p w:rsidR="00AF3ED7" w:rsidP="001C54B2" w:rsidRDefault="00AF3ED7" w14:paraId="5C7860B6" w14:textId="25A4B348">
      <w:pPr>
        <w:pStyle w:val="ListParagraph"/>
        <w:numPr>
          <w:ilvl w:val="0"/>
          <w:numId w:val="25"/>
        </w:numPr>
        <w:suppressAutoHyphens/>
        <w:autoSpaceDN w:val="0"/>
        <w:spacing w:line="256" w:lineRule="auto"/>
        <w:ind w:left="426" w:hanging="426"/>
        <w:jc w:val="both"/>
        <w:textAlignment w:val="baseline"/>
      </w:pPr>
      <w:r w:rsidRPr="31226965">
        <w:rPr>
          <w:rFonts w:eastAsia="Arial" w:cs="Arial"/>
          <w:b/>
          <w:bCs/>
          <w:lang w:val="es"/>
        </w:rPr>
        <w:t>Áreas</w:t>
      </w:r>
      <w:r w:rsidRPr="31226965" w:rsidR="00ED4559">
        <w:rPr>
          <w:rFonts w:eastAsia="Arial" w:cs="Arial"/>
          <w:b/>
          <w:bCs/>
          <w:lang w:val="es"/>
        </w:rPr>
        <w:t xml:space="preserve"> de Reserva</w:t>
      </w:r>
      <w:r w:rsidRPr="31226965">
        <w:rPr>
          <w:rFonts w:eastAsia="Arial" w:cs="Arial"/>
          <w:b/>
          <w:bCs/>
          <w:lang w:val="es"/>
        </w:rPr>
        <w:t xml:space="preserve"> Estratégicas Mineras (AREM) y Proceso de selección objetiva. </w:t>
      </w:r>
    </w:p>
    <w:p w:rsidR="00AF3ED7" w:rsidP="00AF3ED7" w:rsidRDefault="00AF3ED7" w14:paraId="11231DA2" w14:textId="244ABBD9">
      <w:pPr>
        <w:jc w:val="both"/>
        <w:rPr>
          <w:rFonts w:eastAsia="Arial" w:cs="Arial"/>
          <w:lang w:val="es-ES"/>
        </w:rPr>
      </w:pPr>
      <w:r w:rsidRPr="31226965">
        <w:rPr>
          <w:rFonts w:eastAsia="Arial" w:cs="Arial"/>
          <w:lang w:val="es-ES"/>
        </w:rPr>
        <w:t xml:space="preserve">El artículo 20 de la </w:t>
      </w:r>
      <w:r w:rsidRPr="31226965" w:rsidR="00ED4559">
        <w:rPr>
          <w:rFonts w:eastAsia="Arial" w:cs="Arial"/>
          <w:lang w:val="es-ES"/>
        </w:rPr>
        <w:t>L</w:t>
      </w:r>
      <w:r w:rsidRPr="31226965">
        <w:rPr>
          <w:rFonts w:eastAsia="Arial" w:cs="Arial"/>
          <w:lang w:val="es-ES"/>
        </w:rPr>
        <w:t xml:space="preserve">ey 1753 de 2015 estableció que la ANM con base en información </w:t>
      </w:r>
      <w:proofErr w:type="spellStart"/>
      <w:r w:rsidRPr="31226965">
        <w:rPr>
          <w:rFonts w:eastAsia="Arial" w:cs="Arial"/>
          <w:lang w:val="es-ES"/>
        </w:rPr>
        <w:t>geocientífica</w:t>
      </w:r>
      <w:proofErr w:type="spellEnd"/>
      <w:r w:rsidRPr="31226965">
        <w:rPr>
          <w:rFonts w:eastAsia="Arial" w:cs="Arial"/>
          <w:lang w:val="es-ES"/>
        </w:rPr>
        <w:t xml:space="preserve"> disponible, podrá declarar y delimitar las áreas que presenten alto potencial minero como AREM en el territorio nacional que se encuentren libres. </w:t>
      </w:r>
      <w:bookmarkStart w:name="_Int_CyCaSUOV" w:id="726"/>
      <w:r w:rsidRPr="31226965">
        <w:rPr>
          <w:rFonts w:eastAsia="Arial" w:cs="Arial"/>
          <w:lang w:val="es-ES"/>
        </w:rPr>
        <w:t>Una vez se efectúe evaluación sobre su potencial minero, las AREM podrán ser otorgadas mediante un proceso de selección objetiva de conformidad con los requisitos mínimos de participación, los factores de calificación, las obligaciones especiales del contratista y las contraprestaciones económicas mínimas adicionales a las regalías definidos por la ANM.</w:t>
      </w:r>
      <w:bookmarkEnd w:id="726"/>
    </w:p>
    <w:p w:rsidR="00AF3ED7" w:rsidP="00AF3ED7" w:rsidRDefault="00AF3ED7" w14:paraId="0B347877" w14:textId="77C71019">
      <w:pPr>
        <w:jc w:val="both"/>
        <w:rPr>
          <w:rFonts w:eastAsia="Arial" w:cs="Arial"/>
          <w:lang w:val="es-ES"/>
        </w:rPr>
      </w:pPr>
      <w:r>
        <w:rPr>
          <w:rFonts w:eastAsia="Arial" w:cs="Arial"/>
          <w:lang w:val="es-ES"/>
        </w:rPr>
        <w:t xml:space="preserve">Las AREM tienen por objetivo lograr la diversificación de minerales e impulsar la exploración </w:t>
      </w:r>
      <w:proofErr w:type="spellStart"/>
      <w:r>
        <w:rPr>
          <w:rFonts w:eastAsia="Arial" w:cs="Arial"/>
          <w:lang w:val="es-ES"/>
        </w:rPr>
        <w:t>geocientífica</w:t>
      </w:r>
      <w:proofErr w:type="spellEnd"/>
      <w:r>
        <w:rPr>
          <w:rFonts w:eastAsia="Arial" w:cs="Arial"/>
          <w:lang w:val="es-ES"/>
        </w:rPr>
        <w:t xml:space="preserve"> en el país para el desarrollo de la actividad minera con los más altos estándares.</w:t>
      </w:r>
      <w:r w:rsidR="00114503">
        <w:rPr>
          <w:rFonts w:eastAsia="Arial" w:cs="Arial"/>
          <w:lang w:val="es-ES"/>
        </w:rPr>
        <w:t xml:space="preserve"> Esta</w:t>
      </w:r>
      <w:r>
        <w:rPr>
          <w:rFonts w:eastAsia="Arial" w:cs="Arial"/>
          <w:lang w:val="es-ES"/>
        </w:rPr>
        <w:t xml:space="preserve"> diversificación</w:t>
      </w:r>
      <w:r w:rsidR="00114503">
        <w:rPr>
          <w:rFonts w:eastAsia="Arial" w:cs="Arial"/>
          <w:lang w:val="es-ES"/>
        </w:rPr>
        <w:t xml:space="preserve"> del sector que</w:t>
      </w:r>
      <w:r>
        <w:rPr>
          <w:rFonts w:eastAsia="Arial" w:cs="Arial"/>
          <w:lang w:val="es-ES"/>
        </w:rPr>
        <w:t xml:space="preserve"> está focalizada en los minerales definidos como estratégicos, ya que varios</w:t>
      </w:r>
      <w:r w:rsidR="00114503">
        <w:rPr>
          <w:rFonts w:eastAsia="Arial" w:cs="Arial"/>
          <w:lang w:val="es-ES"/>
        </w:rPr>
        <w:t xml:space="preserve"> </w:t>
      </w:r>
      <w:r>
        <w:rPr>
          <w:rFonts w:eastAsia="Arial" w:cs="Arial"/>
          <w:lang w:val="es-ES"/>
        </w:rPr>
        <w:t xml:space="preserve">están vinculados a las demandas del mercado actual </w:t>
      </w:r>
      <w:r w:rsidR="00114503">
        <w:rPr>
          <w:rFonts w:eastAsia="Arial" w:cs="Arial"/>
          <w:lang w:val="es-ES"/>
        </w:rPr>
        <w:t>como</w:t>
      </w:r>
      <w:r>
        <w:rPr>
          <w:rFonts w:eastAsia="Arial" w:cs="Arial"/>
          <w:lang w:val="es-ES"/>
        </w:rPr>
        <w:t xml:space="preserve"> la transición energética, desarrollo de tecnologías, soberanía alimentaria</w:t>
      </w:r>
      <w:r w:rsidR="001D756D">
        <w:rPr>
          <w:rFonts w:eastAsia="Arial" w:cs="Arial"/>
          <w:lang w:val="es-ES"/>
        </w:rPr>
        <w:t xml:space="preserve">, </w:t>
      </w:r>
      <w:r>
        <w:rPr>
          <w:rFonts w:eastAsia="Arial" w:cs="Arial"/>
          <w:lang w:val="es-ES"/>
        </w:rPr>
        <w:t>proyectos de infraestructura, entre otros.</w:t>
      </w:r>
    </w:p>
    <w:p w:rsidR="00AF3ED7" w:rsidP="00AF3ED7" w:rsidRDefault="00AF3ED7" w14:paraId="76FE31F0" w14:textId="1FF9D45D">
      <w:pPr>
        <w:jc w:val="both"/>
      </w:pPr>
      <w:r w:rsidRPr="31226965">
        <w:rPr>
          <w:rFonts w:eastAsia="Arial" w:cs="Arial"/>
          <w:lang w:val="es-ES"/>
        </w:rPr>
        <w:t>A nivel global se prevé un aumento significativo de la demanda de minerales para la transición</w:t>
      </w:r>
      <w:r w:rsidRPr="31226965" w:rsidR="003E7127">
        <w:rPr>
          <w:rFonts w:eastAsia="Arial" w:cs="Arial"/>
          <w:lang w:val="es-ES"/>
        </w:rPr>
        <w:t xml:space="preserve"> energética</w:t>
      </w:r>
      <w:r w:rsidRPr="31226965">
        <w:rPr>
          <w:rFonts w:eastAsia="Arial" w:cs="Arial"/>
          <w:lang w:val="es-ES"/>
        </w:rPr>
        <w:t xml:space="preserve">. </w:t>
      </w:r>
      <w:r w:rsidRPr="31226965" w:rsidR="003E7127">
        <w:rPr>
          <w:rFonts w:eastAsia="Arial" w:cs="Arial"/>
          <w:lang w:val="es-ES"/>
        </w:rPr>
        <w:t>Según l</w:t>
      </w:r>
      <w:r w:rsidRPr="31226965">
        <w:rPr>
          <w:rFonts w:eastAsia="Arial" w:cs="Arial"/>
          <w:lang w:val="es-ES"/>
        </w:rPr>
        <w:t xml:space="preserve">a Agencia Internacional de Energía </w:t>
      </w:r>
      <w:r w:rsidRPr="31226965" w:rsidR="003E7127">
        <w:rPr>
          <w:rFonts w:eastAsia="Arial" w:cs="Arial"/>
          <w:lang w:val="es-ES"/>
        </w:rPr>
        <w:t>(</w:t>
      </w:r>
      <w:r w:rsidRPr="31226965" w:rsidR="001C5F3D">
        <w:rPr>
          <w:rFonts w:eastAsia="Arial" w:cs="Arial"/>
          <w:lang w:val="es-ES"/>
        </w:rPr>
        <w:t>IEA, por sus siglas en inglés</w:t>
      </w:r>
      <w:r w:rsidRPr="31226965" w:rsidR="003E7127">
        <w:rPr>
          <w:rFonts w:eastAsia="Arial" w:cs="Arial"/>
          <w:lang w:val="es-ES"/>
        </w:rPr>
        <w:t>),</w:t>
      </w:r>
      <w:r w:rsidRPr="31226965">
        <w:rPr>
          <w:rFonts w:eastAsia="Arial" w:cs="Arial"/>
          <w:lang w:val="es-ES"/>
        </w:rPr>
        <w:t xml:space="preserve"> </w:t>
      </w:r>
      <w:r w:rsidRPr="31226965" w:rsidR="003E7127">
        <w:rPr>
          <w:rFonts w:eastAsia="Arial" w:cs="Arial"/>
          <w:lang w:val="es-ES"/>
        </w:rPr>
        <w:t>p</w:t>
      </w:r>
      <w:r w:rsidRPr="31226965">
        <w:rPr>
          <w:rFonts w:eastAsia="Arial" w:cs="Arial"/>
          <w:lang w:val="es-ES"/>
        </w:rPr>
        <w:t>ara el año 2030 se espera que la demanda de minerales críticos para la transición energética se incremente entre dos y tres veces</w:t>
      </w:r>
      <w:r w:rsidRPr="31226965">
        <w:rPr>
          <w:rFonts w:eastAsia="Arial" w:cs="Arial"/>
        </w:rPr>
        <w:t xml:space="preserve"> </w:t>
      </w:r>
      <w:sdt>
        <w:sdtPr>
          <w:rPr>
            <w:rFonts w:eastAsia="Arial" w:cs="Arial"/>
          </w:rPr>
          <w:id w:val="-1549608857"/>
          <w:citation/>
        </w:sdtPr>
        <w:sdtEndPr/>
        <w:sdtContent>
          <w:r w:rsidR="00ED4EC9">
            <w:rPr>
              <w:rFonts w:eastAsia="Arial" w:cs="Arial"/>
            </w:rPr>
            <w:fldChar w:fldCharType="begin"/>
          </w:r>
          <w:r w:rsidR="00ED4EC9">
            <w:rPr>
              <w:rFonts w:eastAsia="Arial" w:cs="Arial"/>
            </w:rPr>
            <w:instrText xml:space="preserve"> CITATION IEA23A \l 9226 </w:instrText>
          </w:r>
          <w:r w:rsidR="00ED4EC9">
            <w:rPr>
              <w:rFonts w:eastAsia="Arial" w:cs="Arial"/>
            </w:rPr>
            <w:fldChar w:fldCharType="separate"/>
          </w:r>
          <w:r w:rsidRPr="00104221" w:rsidR="00104221">
            <w:rPr>
              <w:rFonts w:eastAsia="Arial" w:cs="Arial"/>
              <w:noProof/>
            </w:rPr>
            <w:t>(IEA, 2023)</w:t>
          </w:r>
          <w:r w:rsidR="00ED4EC9">
            <w:rPr>
              <w:rFonts w:eastAsia="Arial" w:cs="Arial"/>
            </w:rPr>
            <w:fldChar w:fldCharType="end"/>
          </w:r>
        </w:sdtContent>
      </w:sdt>
      <w:r w:rsidR="00ED4EC9">
        <w:rPr>
          <w:rFonts w:eastAsia="Arial" w:cs="Arial"/>
        </w:rPr>
        <w:t xml:space="preserve"> </w:t>
      </w:r>
      <w:r w:rsidRPr="31226965">
        <w:rPr>
          <w:rFonts w:eastAsia="Arial" w:cs="Arial"/>
          <w:lang w:val="es-ES"/>
        </w:rPr>
        <w:t xml:space="preserve">(ver ilustración </w:t>
      </w:r>
      <w:r w:rsidRPr="31226965" w:rsidR="00D9624A">
        <w:rPr>
          <w:rFonts w:eastAsia="Arial" w:cs="Arial"/>
          <w:lang w:val="es-ES"/>
        </w:rPr>
        <w:t>1</w:t>
      </w:r>
      <w:r w:rsidR="003B450B">
        <w:rPr>
          <w:rFonts w:eastAsia="Arial" w:cs="Arial"/>
          <w:lang w:val="es-ES"/>
        </w:rPr>
        <w:t>6</w:t>
      </w:r>
      <w:r w:rsidRPr="31226965">
        <w:rPr>
          <w:rFonts w:eastAsia="Arial" w:cs="Arial"/>
          <w:lang w:val="es-ES"/>
        </w:rPr>
        <w:t>).</w:t>
      </w:r>
    </w:p>
    <w:p w:rsidR="00936C6A" w:rsidP="00936C6A" w:rsidRDefault="00936C6A" w14:paraId="7C03E600" w14:textId="501A2F8C">
      <w:pPr>
        <w:pStyle w:val="Caption"/>
        <w:keepNext/>
      </w:pPr>
      <w:bookmarkStart w:name="_Toc210292715" w:id="727"/>
      <w:r>
        <w:t xml:space="preserve">Ilustración </w:t>
      </w:r>
      <w:r>
        <w:fldChar w:fldCharType="begin"/>
      </w:r>
      <w:r>
        <w:instrText>SEQ Ilustración \* ARABIC</w:instrText>
      </w:r>
      <w:r>
        <w:fldChar w:fldCharType="separate"/>
      </w:r>
      <w:r w:rsidR="00DD6760">
        <w:rPr>
          <w:noProof/>
        </w:rPr>
        <w:t>16</w:t>
      </w:r>
      <w:r>
        <w:fldChar w:fldCharType="end"/>
      </w:r>
      <w:r>
        <w:t>. Demanda total de minerales seleccionados por uso final en el Escenario Net Zero, 2021-2050.</w:t>
      </w:r>
      <w:bookmarkEnd w:id="727"/>
    </w:p>
    <w:p w:rsidRPr="003E7127" w:rsidR="0095493E" w:rsidP="00114503" w:rsidRDefault="35EBF9B5" w14:paraId="0711F0F6" w14:textId="11AFB1C1">
      <w:pPr>
        <w:jc w:val="center"/>
        <w:rPr>
          <w:rFonts w:eastAsia="Arial" w:cs="Arial"/>
          <w:sz w:val="18"/>
          <w:szCs w:val="18"/>
          <w:lang w:val="es-ES"/>
        </w:rPr>
      </w:pPr>
      <w:r>
        <w:rPr>
          <w:noProof/>
        </w:rPr>
        <w:drawing>
          <wp:inline distT="0" distB="0" distL="0" distR="0" wp14:anchorId="164348F7" wp14:editId="16E3FAA7">
            <wp:extent cx="5534025" cy="3114675"/>
            <wp:effectExtent l="0" t="0" r="0" b="0"/>
            <wp:docPr id="16865742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574226"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534025" cy="3114675"/>
                    </a:xfrm>
                    <a:prstGeom prst="rect">
                      <a:avLst/>
                    </a:prstGeom>
                  </pic:spPr>
                </pic:pic>
              </a:graphicData>
            </a:graphic>
          </wp:inline>
        </w:drawing>
      </w:r>
      <w:r w:rsidRPr="02062875" w:rsidR="4CB196D4">
        <w:rPr>
          <w:rFonts w:eastAsia="Arial" w:cs="Arial"/>
          <w:sz w:val="18"/>
          <w:szCs w:val="18"/>
          <w:lang w:val="es-ES"/>
        </w:rPr>
        <w:t xml:space="preserve">Fuente: </w:t>
      </w:r>
      <w:r w:rsidRPr="02062875" w:rsidR="3C3B0E10">
        <w:rPr>
          <w:rFonts w:eastAsia="Arial" w:cs="Arial"/>
          <w:sz w:val="18"/>
          <w:szCs w:val="18"/>
          <w:lang w:val="es-ES"/>
        </w:rPr>
        <w:t>IEA (2023)</w:t>
      </w:r>
    </w:p>
    <w:p w:rsidR="00C443D6" w:rsidP="00C443D6" w:rsidRDefault="00C443D6" w14:paraId="4734B1AE" w14:textId="77777777">
      <w:pPr>
        <w:pStyle w:val="paragraph"/>
        <w:spacing w:before="0" w:beforeAutospacing="0" w:after="0" w:afterAutospacing="0"/>
        <w:textAlignment w:val="baseline"/>
        <w:rPr>
          <w:rFonts w:eastAsia="Arial Narrow"/>
          <w:sz w:val="22"/>
          <w:szCs w:val="22"/>
        </w:rPr>
      </w:pPr>
    </w:p>
    <w:p w:rsidR="00FA687F" w:rsidP="342D6895" w:rsidRDefault="469BEC27" w14:paraId="4CAA398B" w14:textId="6F4FDFCC">
      <w:pPr>
        <w:pStyle w:val="paragraph"/>
        <w:spacing w:before="0" w:beforeAutospacing="0" w:after="160" w:afterAutospacing="0"/>
        <w:textAlignment w:val="baseline"/>
        <w:rPr>
          <w:rFonts w:eastAsia="Arial" w:cs="Arial" w:asciiTheme="minorHAnsi" w:hAnsiTheme="minorHAnsi"/>
          <w:kern w:val="2"/>
          <w:sz w:val="22"/>
          <w:szCs w:val="22"/>
          <w:lang w:val="es-ES" w:eastAsia="en-US"/>
          <w14:ligatures w14:val="standardContextual"/>
        </w:rPr>
      </w:pPr>
      <w:r w:rsidRPr="3D2173F3" w:rsidR="469BEC27">
        <w:rPr>
          <w:rFonts w:ascii="Calibri" w:hAnsi="Calibri" w:eastAsia="Arial" w:cs="Arial" w:asciiTheme="minorAscii" w:hAnsiTheme="minorAscii"/>
          <w:kern w:val="2"/>
          <w:sz w:val="22"/>
          <w:szCs w:val="22"/>
          <w:lang w:val="es-ES" w:eastAsia="en-US"/>
          <w14:ligatures w14:val="standardContextual"/>
        </w:rPr>
        <w:t>De otra parte, según la Comisión Económica para Latino América y el Caribe</w:t>
      </w:r>
      <w:r w:rsidRPr="3D2173F3" w:rsidR="005A45CD">
        <w:rPr>
          <w:rStyle w:val="FootnoteReference"/>
          <w:rFonts w:ascii="Calibri" w:hAnsi="Calibri" w:eastAsia="Arial" w:cs="Arial" w:asciiTheme="minorAscii" w:hAnsiTheme="minorAscii"/>
          <w:kern w:val="2"/>
          <w:sz w:val="22"/>
          <w:szCs w:val="22"/>
          <w:lang w:val="es-ES" w:eastAsia="en-US"/>
          <w14:ligatures w14:val="standardContextual"/>
        </w:rPr>
        <w:footnoteReference w:id="67"/>
      </w:r>
      <w:r w:rsidRPr="3D2173F3" w:rsidR="469BEC27">
        <w:rPr>
          <w:rFonts w:ascii="Calibri" w:hAnsi="Calibri" w:eastAsia="Arial" w:cs="Arial" w:asciiTheme="minorAscii" w:hAnsiTheme="minorAscii"/>
          <w:kern w:val="2"/>
          <w:sz w:val="22"/>
          <w:szCs w:val="22"/>
          <w:lang w:val="es-ES" w:eastAsia="en-US"/>
          <w14:ligatures w14:val="standardContextual"/>
        </w:rPr>
        <w:t xml:space="preserve"> se estima que la demanda total de cobre aumentará 6,6 </w:t>
      </w:r>
      <w:proofErr w:type="spellStart"/>
      <w:r w:rsidRPr="3D2173F3" w:rsidR="469BEC27">
        <w:rPr>
          <w:rFonts w:ascii="Calibri" w:hAnsi="Calibri" w:eastAsia="Arial" w:cs="Arial" w:asciiTheme="minorAscii" w:hAnsiTheme="minorAscii"/>
          <w:kern w:val="2"/>
          <w:sz w:val="22"/>
          <w:szCs w:val="22"/>
          <w:lang w:val="es-ES" w:eastAsia="en-US"/>
          <w14:ligatures w14:val="standardContextual"/>
        </w:rPr>
        <w:t>mt</w:t>
      </w:r>
      <w:proofErr w:type="spellEnd"/>
      <w:r w:rsidRPr="3D2173F3" w:rsidR="469BEC27">
        <w:rPr>
          <w:rFonts w:ascii="Calibri" w:hAnsi="Calibri" w:eastAsia="Arial" w:cs="Arial" w:asciiTheme="minorAscii" w:hAnsiTheme="minorAscii"/>
          <w:kern w:val="2"/>
          <w:sz w:val="22"/>
          <w:szCs w:val="22"/>
          <w:lang w:val="es-ES" w:eastAsia="en-US"/>
          <w14:ligatures w14:val="standardContextual"/>
        </w:rPr>
        <w:t xml:space="preserve"> en 2030, pasando de 26,9 </w:t>
      </w:r>
      <w:proofErr w:type="spellStart"/>
      <w:r w:rsidRPr="3D2173F3" w:rsidR="469BEC27">
        <w:rPr>
          <w:rFonts w:ascii="Calibri" w:hAnsi="Calibri" w:eastAsia="Arial" w:cs="Arial" w:asciiTheme="minorAscii" w:hAnsiTheme="minorAscii"/>
          <w:kern w:val="2"/>
          <w:sz w:val="22"/>
          <w:szCs w:val="22"/>
          <w:lang w:val="es-ES" w:eastAsia="en-US"/>
          <w14:ligatures w14:val="standardContextual"/>
        </w:rPr>
        <w:t>mt</w:t>
      </w:r>
      <w:proofErr w:type="spellEnd"/>
      <w:r w:rsidRPr="3D2173F3" w:rsidR="469BEC27">
        <w:rPr>
          <w:rFonts w:ascii="Calibri" w:hAnsi="Calibri" w:eastAsia="Arial" w:cs="Arial" w:asciiTheme="minorAscii" w:hAnsiTheme="minorAscii"/>
          <w:kern w:val="2"/>
          <w:sz w:val="22"/>
          <w:szCs w:val="22"/>
          <w:lang w:val="es-ES" w:eastAsia="en-US"/>
          <w14:ligatures w14:val="standardContextual"/>
        </w:rPr>
        <w:t xml:space="preserve"> en 2020 a 33,5 </w:t>
      </w:r>
      <w:proofErr w:type="spellStart"/>
      <w:r w:rsidRPr="3D2173F3" w:rsidR="469BEC27">
        <w:rPr>
          <w:rFonts w:ascii="Calibri" w:hAnsi="Calibri" w:eastAsia="Arial" w:cs="Arial" w:asciiTheme="minorAscii" w:hAnsiTheme="minorAscii"/>
          <w:kern w:val="2"/>
          <w:sz w:val="22"/>
          <w:szCs w:val="22"/>
          <w:lang w:val="es-ES" w:eastAsia="en-US"/>
          <w14:ligatures w14:val="standardContextual"/>
        </w:rPr>
        <w:t>mt</w:t>
      </w:r>
      <w:proofErr w:type="spellEnd"/>
      <w:r w:rsidRPr="3D2173F3" w:rsidR="469BEC27">
        <w:rPr>
          <w:rFonts w:ascii="Calibri" w:hAnsi="Calibri" w:eastAsia="Arial" w:cs="Arial" w:asciiTheme="minorAscii" w:hAnsiTheme="minorAscii"/>
          <w:kern w:val="2"/>
          <w:sz w:val="22"/>
          <w:szCs w:val="22"/>
          <w:lang w:val="es-ES" w:eastAsia="en-US"/>
          <w14:ligatures w14:val="standardContextual"/>
        </w:rPr>
        <w:t xml:space="preserve"> en 2030. Para el total de cobre refinado, se estima que el consumo crecerá en 4,8 </w:t>
      </w:r>
      <w:proofErr w:type="spellStart"/>
      <w:r w:rsidRPr="3D2173F3" w:rsidR="469BEC27">
        <w:rPr>
          <w:rFonts w:ascii="Calibri" w:hAnsi="Calibri" w:eastAsia="Arial" w:cs="Arial" w:asciiTheme="minorAscii" w:hAnsiTheme="minorAscii"/>
          <w:kern w:val="2"/>
          <w:sz w:val="22"/>
          <w:szCs w:val="22"/>
          <w:lang w:val="es-ES" w:eastAsia="en-US"/>
          <w14:ligatures w14:val="standardContextual"/>
        </w:rPr>
        <w:t>mt</w:t>
      </w:r>
      <w:proofErr w:type="spellEnd"/>
      <w:r w:rsidRPr="3D2173F3" w:rsidR="469BEC27">
        <w:rPr>
          <w:rFonts w:ascii="Calibri" w:hAnsi="Calibri" w:eastAsia="Arial" w:cs="Arial" w:asciiTheme="minorAscii" w:hAnsiTheme="minorAscii"/>
          <w:kern w:val="2"/>
          <w:sz w:val="22"/>
          <w:szCs w:val="22"/>
          <w:lang w:val="es-ES" w:eastAsia="en-US"/>
          <w14:ligatures w14:val="standardContextual"/>
        </w:rPr>
        <w:t xml:space="preserve">, aumentando de 22,5 </w:t>
      </w:r>
      <w:proofErr w:type="spellStart"/>
      <w:r w:rsidRPr="3D2173F3" w:rsidR="469BEC27">
        <w:rPr>
          <w:rFonts w:ascii="Calibri" w:hAnsi="Calibri" w:eastAsia="Arial" w:cs="Arial" w:asciiTheme="minorAscii" w:hAnsiTheme="minorAscii"/>
          <w:kern w:val="2"/>
          <w:sz w:val="22"/>
          <w:szCs w:val="22"/>
          <w:lang w:val="es-ES" w:eastAsia="en-US"/>
          <w14:ligatures w14:val="standardContextual"/>
        </w:rPr>
        <w:t>mt</w:t>
      </w:r>
      <w:proofErr w:type="spellEnd"/>
      <w:r w:rsidRPr="3D2173F3" w:rsidR="469BEC27">
        <w:rPr>
          <w:rFonts w:ascii="Calibri" w:hAnsi="Calibri" w:eastAsia="Arial" w:cs="Arial" w:asciiTheme="minorAscii" w:hAnsiTheme="minorAscii"/>
          <w:kern w:val="2"/>
          <w:sz w:val="22"/>
          <w:szCs w:val="22"/>
          <w:lang w:val="es-ES" w:eastAsia="en-US"/>
          <w14:ligatures w14:val="standardContextual"/>
        </w:rPr>
        <w:t xml:space="preserve"> en 2020 a 27,3 </w:t>
      </w:r>
      <w:proofErr w:type="spellStart"/>
      <w:r w:rsidRPr="3D2173F3" w:rsidR="469BEC27">
        <w:rPr>
          <w:rFonts w:ascii="Calibri" w:hAnsi="Calibri" w:eastAsia="Arial" w:cs="Arial" w:asciiTheme="minorAscii" w:hAnsiTheme="minorAscii"/>
          <w:kern w:val="2"/>
          <w:sz w:val="22"/>
          <w:szCs w:val="22"/>
          <w:lang w:val="es-ES" w:eastAsia="en-US"/>
          <w14:ligatures w14:val="standardContextual"/>
        </w:rPr>
        <w:t>mt</w:t>
      </w:r>
      <w:proofErr w:type="spellEnd"/>
      <w:r w:rsidRPr="3D2173F3" w:rsidR="469BEC27">
        <w:rPr>
          <w:rFonts w:ascii="Calibri" w:hAnsi="Calibri" w:eastAsia="Arial" w:cs="Arial" w:asciiTheme="minorAscii" w:hAnsiTheme="minorAscii"/>
          <w:kern w:val="2"/>
          <w:sz w:val="22"/>
          <w:szCs w:val="22"/>
          <w:lang w:val="es-ES" w:eastAsia="en-US"/>
          <w14:ligatures w14:val="standardContextual"/>
        </w:rPr>
        <w:t xml:space="preserve"> en 2030. </w:t>
      </w:r>
    </w:p>
    <w:p w:rsidR="00FA687F" w:rsidP="7DF7D6D5" w:rsidRDefault="2721E71A" w14:paraId="3DFB5A66" w14:textId="4A5D968D">
      <w:pPr>
        <w:pStyle w:val="paragraph"/>
        <w:spacing w:before="0" w:beforeAutospacing="0" w:after="160" w:afterAutospacing="0"/>
        <w:textAlignment w:val="baseline"/>
        <w:rPr>
          <w:rFonts w:eastAsia="Arial" w:asciiTheme="minorHAnsi" w:hAnsiTheme="minorHAnsi" w:cstheme="minorBidi"/>
          <w:sz w:val="22"/>
          <w:szCs w:val="22"/>
          <w:lang w:val="es-ES"/>
        </w:rPr>
      </w:pPr>
      <w:r w:rsidRPr="7DF7D6D5">
        <w:rPr>
          <w:rFonts w:eastAsia="Arial" w:cs="Arial" w:asciiTheme="minorHAnsi" w:hAnsiTheme="minorHAnsi"/>
          <w:kern w:val="2"/>
          <w:sz w:val="22"/>
          <w:szCs w:val="22"/>
          <w:lang w:val="es-ES" w:eastAsia="en-US"/>
          <w14:ligatures w14:val="standardContextual"/>
        </w:rPr>
        <w:t>Los pronósticos de la demanda de cobre pueden representar una oportunidad para incrementar la participación de Colombia en este mercado, dado el potencial de recursos identificados que han motivado la apertura y continuidad de importantes campañas de exploración, esperando que también, algunos de los proyectos mineros que se encuentran en etapas más avanzadas puedan iniciar sus operaciones.</w:t>
      </w:r>
      <w:r w:rsidRPr="7DF7D6D5" w:rsidR="3A36BC2E">
        <w:rPr>
          <w:rFonts w:eastAsia="Arial" w:cs="Arial" w:asciiTheme="minorHAnsi" w:hAnsiTheme="minorHAnsi"/>
          <w:kern w:val="2"/>
          <w:sz w:val="22"/>
          <w:szCs w:val="22"/>
          <w:lang w:val="es-ES" w:eastAsia="en-US"/>
          <w14:ligatures w14:val="standardContextual"/>
        </w:rPr>
        <w:t xml:space="preserve"> </w:t>
      </w:r>
      <w:r w:rsidRPr="7DF7D6D5">
        <w:rPr>
          <w:rFonts w:eastAsia="Arial" w:asciiTheme="minorHAnsi" w:hAnsiTheme="minorHAnsi" w:cstheme="minorBidi"/>
          <w:sz w:val="22"/>
          <w:szCs w:val="22"/>
          <w:lang w:val="es-ES"/>
        </w:rPr>
        <w:t>Así las cosas, la necesidad de cobre como mineral estratégico para la transición energética nacional y mundial es una prioridad</w:t>
      </w:r>
      <w:r w:rsidRPr="7DF7D6D5" w:rsidR="3A36BC2E">
        <w:rPr>
          <w:rFonts w:eastAsia="Arial" w:asciiTheme="minorHAnsi" w:hAnsiTheme="minorHAnsi" w:cstheme="minorBidi"/>
          <w:sz w:val="22"/>
          <w:szCs w:val="22"/>
          <w:lang w:val="es-ES"/>
        </w:rPr>
        <w:t xml:space="preserve">. </w:t>
      </w:r>
      <w:r w:rsidRPr="7DF7D6D5">
        <w:rPr>
          <w:rFonts w:eastAsia="Arial" w:asciiTheme="minorHAnsi" w:hAnsiTheme="minorHAnsi" w:cstheme="minorBidi"/>
          <w:sz w:val="22"/>
          <w:szCs w:val="22"/>
          <w:lang w:val="es-ES"/>
        </w:rPr>
        <w:t xml:space="preserve">Colombia cuenta con alto potencial geológico de este mineral, según reporte de la </w:t>
      </w:r>
      <w:r w:rsidRPr="7DF7D6D5" w:rsidR="5304FC3E">
        <w:rPr>
          <w:rFonts w:eastAsia="Arial" w:asciiTheme="minorHAnsi" w:hAnsiTheme="minorHAnsi" w:cstheme="minorBidi"/>
          <w:sz w:val="22"/>
          <w:szCs w:val="22"/>
          <w:lang w:val="es-ES"/>
        </w:rPr>
        <w:t>ANM</w:t>
      </w:r>
      <w:r w:rsidRPr="7DF7D6D5">
        <w:rPr>
          <w:rFonts w:eastAsia="Arial" w:asciiTheme="minorHAnsi" w:hAnsiTheme="minorHAnsi" w:cstheme="minorBidi"/>
          <w:sz w:val="22"/>
          <w:szCs w:val="22"/>
          <w:lang w:val="es-ES"/>
        </w:rPr>
        <w:t xml:space="preserve">, existen estimaciones de recursos inferidos de hasta 8.445,16 Millones de libras- </w:t>
      </w:r>
      <w:proofErr w:type="spellStart"/>
      <w:r w:rsidRPr="7DF7D6D5">
        <w:rPr>
          <w:rFonts w:eastAsia="Arial" w:asciiTheme="minorHAnsi" w:hAnsiTheme="minorHAnsi" w:cstheme="minorBidi"/>
          <w:sz w:val="22"/>
          <w:szCs w:val="22"/>
          <w:lang w:val="es-ES"/>
        </w:rPr>
        <w:t>Mlb</w:t>
      </w:r>
      <w:proofErr w:type="spellEnd"/>
      <w:r w:rsidRPr="7DF7D6D5">
        <w:rPr>
          <w:rFonts w:eastAsia="Arial" w:asciiTheme="minorHAnsi" w:hAnsiTheme="minorHAnsi" w:cstheme="minorBidi"/>
          <w:sz w:val="22"/>
          <w:szCs w:val="22"/>
          <w:lang w:val="es-ES"/>
        </w:rPr>
        <w:t xml:space="preserve"> y reservas probables de 2.875,05 </w:t>
      </w:r>
      <w:proofErr w:type="spellStart"/>
      <w:r w:rsidRPr="7DF7D6D5">
        <w:rPr>
          <w:rFonts w:eastAsia="Arial" w:asciiTheme="minorHAnsi" w:hAnsiTheme="minorHAnsi" w:cstheme="minorBidi"/>
          <w:sz w:val="22"/>
          <w:szCs w:val="22"/>
          <w:lang w:val="es-ES"/>
        </w:rPr>
        <w:t>Mlb</w:t>
      </w:r>
      <w:proofErr w:type="spellEnd"/>
      <w:r w:rsidRPr="7DF7D6D5">
        <w:rPr>
          <w:rFonts w:eastAsia="Arial" w:asciiTheme="minorHAnsi" w:hAnsiTheme="minorHAnsi" w:cstheme="minorBidi"/>
          <w:sz w:val="22"/>
          <w:szCs w:val="22"/>
          <w:lang w:val="es-ES"/>
        </w:rPr>
        <w:t>, estos datos se irán afinando de acuerdo con el avance de las exploraciones de los proyectos concesionados.</w:t>
      </w:r>
    </w:p>
    <w:p w:rsidRPr="00BF4D03" w:rsidR="00BF4D03" w:rsidP="10A5A027" w:rsidRDefault="00BF4D03" w14:paraId="61B52DA5" w14:textId="6DC7CB1B">
      <w:pPr>
        <w:pStyle w:val="paragraph"/>
        <w:spacing w:before="0" w:beforeAutospacing="0" w:after="160" w:afterAutospacing="0"/>
        <w:textAlignment w:val="baseline"/>
        <w:rPr>
          <w:rFonts w:eastAsia="Arial" w:cs="Arial" w:asciiTheme="minorHAnsi" w:hAnsiTheme="minorHAnsi"/>
          <w:b/>
          <w:bCs/>
          <w:kern w:val="2"/>
          <w:sz w:val="22"/>
          <w:szCs w:val="22"/>
          <w:lang w:val="es-ES" w:eastAsia="en-US"/>
          <w14:ligatures w14:val="standardContextual"/>
        </w:rPr>
      </w:pPr>
      <w:proofErr w:type="spellStart"/>
      <w:r w:rsidRPr="00BF4D03">
        <w:rPr>
          <w:rFonts w:eastAsia="Arial" w:cs="Arial" w:asciiTheme="minorHAnsi" w:hAnsiTheme="minorHAnsi"/>
          <w:b/>
          <w:bCs/>
          <w:kern w:val="2"/>
          <w:sz w:val="22"/>
          <w:szCs w:val="22"/>
          <w:lang w:val="es-ES" w:eastAsia="en-US"/>
          <w14:ligatures w14:val="standardContextual"/>
        </w:rPr>
        <w:t>iii</w:t>
      </w:r>
      <w:proofErr w:type="spellEnd"/>
      <w:r w:rsidRPr="00BF4D03">
        <w:rPr>
          <w:rFonts w:eastAsia="Arial" w:cs="Arial" w:asciiTheme="minorHAnsi" w:hAnsiTheme="minorHAnsi"/>
          <w:b/>
          <w:bCs/>
          <w:kern w:val="2"/>
          <w:sz w:val="22"/>
          <w:szCs w:val="22"/>
          <w:lang w:val="es-ES" w:eastAsia="en-US"/>
          <w14:ligatures w14:val="standardContextual"/>
        </w:rPr>
        <w:t>. Descarbonización</w:t>
      </w:r>
    </w:p>
    <w:p w:rsidRPr="00BF4D03" w:rsidR="00BF4D03" w:rsidP="10A5A027" w:rsidRDefault="00DB1679" w14:paraId="200BE088" w14:textId="03654867">
      <w:pPr>
        <w:pStyle w:val="paragraph"/>
        <w:spacing w:before="0" w:beforeAutospacing="0" w:after="160" w:afterAutospacing="0"/>
        <w:textAlignment w:val="baseline"/>
        <w:rPr>
          <w:rFonts w:eastAsia="Arial" w:cs="Arial" w:asciiTheme="minorHAnsi" w:hAnsiTheme="minorHAnsi"/>
          <w:kern w:val="2"/>
          <w:sz w:val="22"/>
          <w:szCs w:val="22"/>
          <w:lang w:eastAsia="en-US"/>
          <w14:ligatures w14:val="standardContextual"/>
        </w:rPr>
      </w:pPr>
      <w:r w:rsidRPr="00DB1679">
        <w:rPr>
          <w:rFonts w:eastAsia="Arial" w:asciiTheme="minorHAnsi" w:hAnsiTheme="minorHAnsi" w:cstheme="minorHAnsi"/>
          <w:sz w:val="22"/>
          <w:szCs w:val="22"/>
        </w:rPr>
        <w:t>La minería de carbón térmico, pese a su papel en la estabilidad económica, el suministro energético y la generación de empleo, constituye una de las principales contradicciones en el camino hacia una transición energética justa en Colombia. Su alta dependencia de la demanda internacional lo hace particularmente vulnerable a los procesos globales de descarbonización, mientras que a nivel interno la expansión de las fuentes renovables reducirá progresivamente su relevancia en la matriz energética. Esta situación no solo amenaza el sustento de miles de familias y las finanzas públicas, sino que también profundiza la dependencia de un recurso altamente contaminante y con perspectivas limitadas en el tiempo. La ausencia de un plan sólido y temprano de diversificación económica y fiscal incrementa el riesgo de cierres intempestivos y crisis sociales en los territorios carboníferos, revelando la urgencia de replantear el rol del carbón como fuente de energía y avanzar hacia alternativas sostenibles que aseguren justicia social y ambiental.</w:t>
      </w:r>
    </w:p>
    <w:bookmarkEnd w:id="683"/>
    <w:p w:rsidRPr="00950EDC" w:rsidR="00C443D6" w:rsidP="00FA687F" w:rsidRDefault="00C443D6" w14:paraId="5EF6042B" w14:textId="5B0F180A">
      <w:pPr>
        <w:jc w:val="both"/>
        <w:rPr>
          <w:lang w:val="es-ES"/>
        </w:rPr>
      </w:pPr>
    </w:p>
    <w:p w:rsidR="00C443D6" w:rsidRDefault="004E0C48" w14:paraId="1F0AD425" w14:textId="397ECAA1">
      <w:pPr>
        <w:pStyle w:val="Heading2"/>
        <w:numPr>
          <w:ilvl w:val="0"/>
          <w:numId w:val="9"/>
        </w:numPr>
        <w:ind w:left="993"/>
        <w:rPr>
          <w:lang w:val="es-ES"/>
        </w:rPr>
      </w:pPr>
      <w:bookmarkStart w:name="_Toc199511975" w:id="728"/>
      <w:bookmarkStart w:name="_Toc1247300436" w:id="729"/>
      <w:bookmarkStart w:name="_Toc748198621" w:id="730"/>
      <w:bookmarkStart w:name="_Toc300977264" w:id="731"/>
      <w:bookmarkStart w:name="_Toc1326833050" w:id="732"/>
      <w:bookmarkStart w:name="_Toc242720898" w:id="733"/>
      <w:bookmarkStart w:name="_Toc1997433263" w:id="734"/>
      <w:bookmarkStart w:name="_Toc898943310" w:id="735"/>
      <w:bookmarkStart w:name="_Toc106114022" w:id="736"/>
      <w:bookmarkStart w:name="_Toc198233098" w:id="737"/>
      <w:bookmarkStart w:name="_Toc252652409" w:id="738"/>
      <w:bookmarkStart w:name="_Toc1732116730" w:id="739"/>
      <w:bookmarkStart w:name="_Toc900696886" w:id="740"/>
      <w:bookmarkStart w:name="_Toc563648617" w:id="741"/>
      <w:bookmarkStart w:name="_Toc892342963" w:id="742"/>
      <w:bookmarkStart w:name="_Toc1862705300" w:id="743"/>
      <w:bookmarkStart w:name="_Toc698989579" w:id="744"/>
      <w:bookmarkStart w:name="_Toc1471669819" w:id="745"/>
      <w:bookmarkStart w:name="_Toc833910416" w:id="746"/>
      <w:bookmarkStart w:name="_Toc1139552689" w:id="747"/>
      <w:bookmarkStart w:name="_Toc374449722" w:id="748"/>
      <w:bookmarkStart w:name="_Toc1586363335" w:id="749"/>
      <w:bookmarkStart w:name="_Toc2109603508" w:id="750"/>
      <w:bookmarkStart w:name="_Toc1615716957" w:id="751"/>
      <w:bookmarkStart w:name="_Toc730916411" w:id="752"/>
      <w:bookmarkStart w:name="_Toc2026314719" w:id="753"/>
      <w:bookmarkStart w:name="_Toc1340470407" w:id="754"/>
      <w:bookmarkStart w:name="_Toc210292983" w:id="755"/>
      <w:r w:rsidRPr="004E0C48">
        <w:t>Falta de implementación de buenas prácticas en las actividades minera</w:t>
      </w:r>
      <w:r w:rsidRPr="287A971D" w:rsidR="75E322FA">
        <w:rPr>
          <w:lang w:val="es-ES"/>
        </w:rPr>
        <w:t>.</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rsidR="00C443D6" w:rsidP="00C443D6" w:rsidRDefault="00C443D6" w14:paraId="7D793FD7" w14:textId="77777777">
      <w:pPr>
        <w:rPr>
          <w:lang w:val="es-ES"/>
        </w:rPr>
      </w:pPr>
    </w:p>
    <w:p w:rsidR="00F540C0" w:rsidP="00AE4294" w:rsidRDefault="0028643B" w14:paraId="703C9036" w14:textId="77777777">
      <w:pPr>
        <w:jc w:val="both"/>
      </w:pPr>
      <w:bookmarkStart w:name="_Toc136366267" w:id="756"/>
      <w:r>
        <w:t>S</w:t>
      </w:r>
      <w:r w:rsidR="00AE4294">
        <w:t xml:space="preserve">i bien </w:t>
      </w:r>
      <w:r>
        <w:t xml:space="preserve">las actividades mineras </w:t>
      </w:r>
      <w:r w:rsidR="00AE4294">
        <w:t>representa</w:t>
      </w:r>
      <w:r>
        <w:t>n</w:t>
      </w:r>
      <w:r w:rsidR="00AE4294">
        <w:t xml:space="preserve"> una fuente importante de ingresos fiscales</w:t>
      </w:r>
      <w:r>
        <w:t xml:space="preserve"> en Colombia</w:t>
      </w:r>
      <w:r w:rsidR="00AE4294">
        <w:t xml:space="preserve">, desarrollo regional y generación de empleo, también plantea retos significativos en materia ambiental, social y territorial. </w:t>
      </w:r>
    </w:p>
    <w:p w:rsidR="00AE4294" w:rsidP="00AE4294" w:rsidRDefault="00AE4294" w14:paraId="3BFC685C" w14:textId="3F7F18E8">
      <w:pPr>
        <w:jc w:val="both"/>
      </w:pPr>
      <w:r>
        <w:t>En este contexto</w:t>
      </w:r>
      <w:r w:rsidR="00F540C0">
        <w:t>,</w:t>
      </w:r>
      <w:r>
        <w:t xml:space="preserve"> </w:t>
      </w:r>
      <w:r w:rsidR="00F540C0">
        <w:t>l</w:t>
      </w:r>
      <w:r>
        <w:t>a Constitución de 1991 establece en su artículo 79 el derecho de todas las personas a gozar de un ambiente sano, y la obligación del Estado de proteger la diversidad e integridad del ambiente, y conservar las áreas de especial importancia ecológica. A su vez, el artículo 80 impone al Estado el deber de planificar el manejo y aprovechamiento de los recursos naturales para garantizar su desarrollo sostenible, conservación, restauración y sustitución.</w:t>
      </w:r>
    </w:p>
    <w:p w:rsidR="00F540C0" w:rsidP="00AE4294" w:rsidRDefault="00F540C0" w14:paraId="2FBF4594" w14:textId="77777777">
      <w:pPr>
        <w:jc w:val="both"/>
      </w:pPr>
      <w:r w:rsidRPr="00F540C0">
        <w:t xml:space="preserve">Dentro de los principales problemas que enfrenta la actividad minera en nuestro país se encuentran la débil gestión de la información y apropiación social del conocimiento orientado al desarrollo de buenas prácticas en la actividad minera, la deficiente articulación entre entidades públicas, privadas y cooperación internacional para prestar servicios de fomento en la cadena de valor de la minería, el bajo desarrollo de tecnología, conocimiento e innovación en la aplicación de buenas prácticas, principalmente enfocadas a la optimización de procesos, la producción más limpia, la seguridad minera y la eficiencia energética, así como el desarrollo de limitadas estrategias orientadas a la transformación, desarrollo productivo y generación de valor agregado en el sector minero.  </w:t>
      </w:r>
    </w:p>
    <w:p w:rsidR="00F540C0" w:rsidP="00AE4294" w:rsidRDefault="00F540C0" w14:paraId="705E82FE" w14:textId="49C671C9">
      <w:pPr>
        <w:jc w:val="both"/>
      </w:pPr>
      <w:r w:rsidRPr="00F540C0">
        <w:t>Es así como el sector minero enfrenta desafíos técnicos, ambientales y sociales significativos debido a la continua demanda de minerales por el incremento de la producción, consumo de bienes y servicios, que requiere la implementación de buenas prácticas en el sector extractivo y minero, tal como lo promueve la en su informe de Conducta empresarial responsable en el sector extractivo y minero en América Latina y el Caribe</w:t>
      </w:r>
      <w:r w:rsidR="00535777">
        <w:t xml:space="preserve"> </w:t>
      </w:r>
      <w:sdt>
        <w:sdtPr>
          <w:id w:val="-2036730548"/>
          <w:citation/>
        </w:sdtPr>
        <w:sdtEndPr/>
        <w:sdtContent>
          <w:r w:rsidR="00535777">
            <w:fldChar w:fldCharType="begin"/>
          </w:r>
          <w:r w:rsidR="00535777">
            <w:instrText xml:space="preserve"> CITATION OCD22 \l 9226 </w:instrText>
          </w:r>
          <w:r w:rsidR="00535777">
            <w:fldChar w:fldCharType="separate"/>
          </w:r>
          <w:r w:rsidR="00104221">
            <w:rPr>
              <w:noProof/>
            </w:rPr>
            <w:t>(OCDE, 2022)</w:t>
          </w:r>
          <w:r w:rsidR="00535777">
            <w:fldChar w:fldCharType="end"/>
          </w:r>
        </w:sdtContent>
      </w:sdt>
      <w:r w:rsidRPr="00F540C0">
        <w:t>. En este sentido, se propone implementar las estrategias definidas en el documento técnico “</w:t>
      </w:r>
      <w:r>
        <w:t>L</w:t>
      </w:r>
      <w:r w:rsidRPr="00F540C0">
        <w:t xml:space="preserve">ineamientos de formalización para el fomento minero” que desarrollan líneas estratégicas que contribuirán a la superación de barreras aquí expuestas. </w:t>
      </w:r>
    </w:p>
    <w:p w:rsidR="007E3A7F" w:rsidP="007E3A7F" w:rsidRDefault="007E3A7F" w14:paraId="18EF8DB7" w14:textId="20FA3C35">
      <w:pPr>
        <w:jc w:val="both"/>
      </w:pPr>
      <w:r>
        <w:t>En línea con los mencionados “</w:t>
      </w:r>
      <w:r w:rsidRPr="31226965">
        <w:rPr>
          <w:i/>
          <w:iCs/>
        </w:rPr>
        <w:t>Lineamientos técnicos de política de buenas prácticas para estandarizar los procesos de economía circular en la actividad minera</w:t>
      </w:r>
      <w:r>
        <w:t xml:space="preserve">” </w:t>
      </w:r>
      <w:sdt>
        <w:sdtPr>
          <w:id w:val="143870780"/>
          <w:citation/>
        </w:sdtPr>
        <w:sdtEndPr/>
        <w:sdtContent>
          <w:r w:rsidR="000D1EC1">
            <w:fldChar w:fldCharType="begin"/>
          </w:r>
          <w:r w:rsidR="000D1EC1">
            <w:instrText xml:space="preserve">CITATION Min21 \l 9226 </w:instrText>
          </w:r>
          <w:r w:rsidR="000D1EC1">
            <w:fldChar w:fldCharType="separate"/>
          </w:r>
          <w:r w:rsidR="00104221">
            <w:rPr>
              <w:noProof/>
            </w:rPr>
            <w:t>(MinEnergía, 2021b)</w:t>
          </w:r>
          <w:r w:rsidR="000D1EC1">
            <w:fldChar w:fldCharType="end"/>
          </w:r>
        </w:sdtContent>
      </w:sdt>
      <w:r w:rsidR="000D1EC1">
        <w:t xml:space="preserve">, </w:t>
      </w:r>
      <w:r>
        <w:t>pasar de una economía lineal a una de economía circular resulta no ser inmediato, dado que se requiere de un trabajo conjunto de consumidores, empresas, gobierno y academia. En el proceso cada actor de la cadena juega un rol fundamental en busca de la eficiencia en el uso de materiales o productos, partiendo de la prevención en la utilización de éstos. De esta forma, se busca reducir la generación de residuos y alargar la vida útil de materiales o productos mediante procesos de reutilización y transformando o reincorporando materiales a ciclos productivos mediante procesos de reciclaje (ver ilustración 1</w:t>
      </w:r>
      <w:r w:rsidR="003B450B">
        <w:t>7</w:t>
      </w:r>
      <w:r>
        <w:t>).</w:t>
      </w:r>
    </w:p>
    <w:p w:rsidRPr="00931C2F" w:rsidR="007E3A7F" w:rsidP="007E3A7F" w:rsidRDefault="007E3A7F" w14:paraId="391C69AA" w14:textId="5D86BA8A">
      <w:pPr>
        <w:pStyle w:val="Caption"/>
        <w:rPr>
          <w:lang w:val="es-ES" w:eastAsia="es-ES"/>
        </w:rPr>
      </w:pPr>
      <w:bookmarkStart w:name="_Toc210292716" w:id="757"/>
      <w:r>
        <w:t xml:space="preserve">Ilustración </w:t>
      </w:r>
      <w:r>
        <w:fldChar w:fldCharType="begin"/>
      </w:r>
      <w:r>
        <w:instrText>SEQ Ilustración \* ARABIC</w:instrText>
      </w:r>
      <w:r>
        <w:fldChar w:fldCharType="separate"/>
      </w:r>
      <w:r w:rsidR="00DD6760">
        <w:rPr>
          <w:noProof/>
        </w:rPr>
        <w:t>17</w:t>
      </w:r>
      <w:r>
        <w:fldChar w:fldCharType="end"/>
      </w:r>
      <w:r>
        <w:t xml:space="preserve">. </w:t>
      </w:r>
      <w:r w:rsidRPr="287A971D">
        <w:rPr>
          <w:lang w:val="es-ES"/>
        </w:rPr>
        <w:t>Diagrama de Economía Circular en la minería.</w:t>
      </w:r>
      <w:bookmarkEnd w:id="757"/>
    </w:p>
    <w:p w:rsidR="007E3A7F" w:rsidP="007E3A7F" w:rsidRDefault="007E3A7F" w14:paraId="120E83D7" w14:textId="77777777">
      <w:pPr>
        <w:jc w:val="center"/>
        <w:rPr>
          <w:lang w:val="es-ES_tradnl" w:eastAsia="es-ES"/>
        </w:rPr>
      </w:pPr>
      <w:r>
        <w:rPr>
          <w:noProof/>
          <w:color w:val="2B579A"/>
          <w:shd w:val="clear" w:color="auto" w:fill="E6E6E6"/>
          <w:lang w:eastAsia="es-CO"/>
        </w:rPr>
        <w:drawing>
          <wp:inline distT="0" distB="0" distL="0" distR="0" wp14:anchorId="46A33D9A" wp14:editId="7F7F1D00">
            <wp:extent cx="4510405" cy="2736905"/>
            <wp:effectExtent l="38100" t="38100" r="42545" b="44450"/>
            <wp:docPr id="2" name="Imagen 2"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Diagrama&#10;&#10;Descripción generada automáticamente"/>
                    <pic:cNvPicPr/>
                  </pic:nvPicPr>
                  <pic:blipFill>
                    <a:blip r:embed="rId36">
                      <a:extLst>
                        <a:ext uri="{BEBA8EAE-BF5A-486C-A8C5-ECC9F3942E4B}">
                          <a14:imgProps xmlns:a14="http://schemas.microsoft.com/office/drawing/2010/main">
                            <a14:imgLayer r:embed="rId37">
                              <a14:imgEffect>
                                <a14:colorTemperature colorTemp="5300"/>
                              </a14:imgEffect>
                              <a14:imgEffect>
                                <a14:saturation sat="66000"/>
                              </a14:imgEffect>
                            </a14:imgLayer>
                          </a14:imgProps>
                        </a:ext>
                      </a:extLst>
                    </a:blip>
                    <a:stretch>
                      <a:fillRect/>
                    </a:stretch>
                  </pic:blipFill>
                  <pic:spPr>
                    <a:xfrm>
                      <a:off x="0" y="0"/>
                      <a:ext cx="4652191" cy="2822941"/>
                    </a:xfrm>
                    <a:prstGeom prst="rect">
                      <a:avLst/>
                    </a:prstGeom>
                    <a:ln w="22225">
                      <a:solidFill>
                        <a:schemeClr val="accent1">
                          <a:lumMod val="50000"/>
                        </a:schemeClr>
                      </a:solidFill>
                    </a:ln>
                  </pic:spPr>
                </pic:pic>
              </a:graphicData>
            </a:graphic>
          </wp:inline>
        </w:drawing>
      </w:r>
    </w:p>
    <w:p w:rsidRPr="007E3A7F" w:rsidR="007E3A7F" w:rsidP="007E3A7F" w:rsidRDefault="007E3A7F" w14:paraId="2DA11D58" w14:textId="51E483DB">
      <w:pPr>
        <w:jc w:val="center"/>
        <w:rPr>
          <w:lang w:val="en-US"/>
        </w:rPr>
      </w:pPr>
      <w:r w:rsidRPr="287A971D">
        <w:rPr>
          <w:lang w:val="en-US" w:eastAsia="es-ES"/>
        </w:rPr>
        <w:t xml:space="preserve">Fuente: </w:t>
      </w:r>
      <w:r w:rsidRPr="287A971D">
        <w:rPr>
          <w:color w:val="000000"/>
          <w:bdr w:val="none" w:color="auto" w:sz="0" w:space="0" w:frame="1"/>
          <w:shd w:val="clear" w:color="auto" w:fill="FFFFFF"/>
          <w:lang w:val="en-US"/>
        </w:rPr>
        <w:t> </w:t>
      </w:r>
      <w:r w:rsidRPr="287A971D">
        <w:rPr>
          <w:color w:val="000000"/>
          <w:shd w:val="clear" w:color="auto" w:fill="FFFFFF"/>
          <w:lang w:val="en-US"/>
        </w:rPr>
        <w:t>EIT Raw Materials GmbH.</w:t>
      </w:r>
    </w:p>
    <w:p w:rsidRPr="007E3A7F" w:rsidR="00E041E1" w:rsidP="00E041E1" w:rsidRDefault="00E041E1" w14:paraId="363031EF" w14:textId="77777777">
      <w:pPr>
        <w:pStyle w:val="paragraph"/>
        <w:spacing w:before="0" w:beforeAutospacing="0" w:after="0" w:afterAutospacing="0"/>
        <w:textAlignment w:val="baseline"/>
        <w:rPr>
          <w:rStyle w:val="normaltextrun"/>
          <w:rFonts w:ascii="Calibri" w:hAnsi="Calibri" w:cs="Calibri"/>
          <w:sz w:val="22"/>
          <w:szCs w:val="22"/>
          <w:lang w:val="en-US"/>
        </w:rPr>
      </w:pPr>
    </w:p>
    <w:p w:rsidR="00E041E1" w:rsidP="00E041E1" w:rsidRDefault="00E041E1" w14:paraId="71F860E2" w14:textId="152F14F8">
      <w:pPr>
        <w:pStyle w:val="paragraph"/>
        <w:spacing w:before="0" w:beforeAutospacing="0" w:after="0" w:afterAutospacing="0"/>
        <w:textAlignment w:val="baseline"/>
        <w:rPr>
          <w:rStyle w:val="normaltextrun"/>
          <w:rFonts w:ascii="Calibri" w:hAnsi="Calibri" w:cs="Calibri"/>
          <w:sz w:val="22"/>
          <w:szCs w:val="22"/>
        </w:rPr>
      </w:pPr>
      <w:r w:rsidRPr="00EA5B31">
        <w:rPr>
          <w:rStyle w:val="normaltextrun"/>
          <w:rFonts w:ascii="Calibri" w:hAnsi="Calibri" w:cs="Calibri"/>
          <w:sz w:val="22"/>
          <w:szCs w:val="22"/>
        </w:rPr>
        <w:t xml:space="preserve">Hasta el momento hace falta una mayor difusión por parte de los entes territoriales, departamentales y nacionales, acerca de las posibles formas de acceder a incentivos y apoyos para la implementación de la economía circular en los procesos productivos del sector. En este propósito, el </w:t>
      </w:r>
      <w:r w:rsidRPr="00EA5B31">
        <w:rPr>
          <w:rStyle w:val="normaltextrun"/>
          <w:rFonts w:ascii="Calibri" w:hAnsi="Calibri" w:cs="Calibri"/>
          <w:bCs/>
          <w:sz w:val="22"/>
          <w:szCs w:val="22"/>
        </w:rPr>
        <w:t>sector financiero, así como las entidades académicas y de investigación</w:t>
      </w:r>
      <w:r w:rsidRPr="00EA5B31">
        <w:rPr>
          <w:rStyle w:val="normaltextrun"/>
          <w:rFonts w:ascii="Calibri" w:hAnsi="Calibri" w:cs="Calibri"/>
          <w:sz w:val="22"/>
          <w:szCs w:val="22"/>
        </w:rPr>
        <w:t xml:space="preserve">, se configuran como aliados estratégicos, toda vez que la transición hacia modelos de economía circular demanda </w:t>
      </w:r>
      <w:r w:rsidRPr="00EA5B31">
        <w:rPr>
          <w:rStyle w:val="normaltextrun"/>
          <w:rFonts w:ascii="Calibri" w:hAnsi="Calibri" w:cs="Calibri"/>
          <w:bCs/>
          <w:sz w:val="22"/>
          <w:szCs w:val="22"/>
        </w:rPr>
        <w:t>inversiones adicionales en plantas, maquinaria, equipos tecnológicos de alto desempeño y capital humano altamente calificado</w:t>
      </w:r>
      <w:r w:rsidRPr="00EA5B31">
        <w:rPr>
          <w:rStyle w:val="normaltextrun"/>
          <w:rFonts w:ascii="Calibri" w:hAnsi="Calibri" w:cs="Calibri"/>
          <w:sz w:val="22"/>
          <w:szCs w:val="22"/>
        </w:rPr>
        <w:t xml:space="preserve">. La adopción de estos modelos en la minería contribuiría a </w:t>
      </w:r>
      <w:r w:rsidRPr="00EA5B31">
        <w:rPr>
          <w:rStyle w:val="normaltextrun"/>
          <w:rFonts w:ascii="Calibri" w:hAnsi="Calibri" w:cs="Calibri"/>
          <w:bCs/>
          <w:sz w:val="22"/>
          <w:szCs w:val="22"/>
        </w:rPr>
        <w:t>incrementar la productividad y la sostenibilidad del sector, al tiempo que diversifica y robustece las cadenas de valor y las líneas productivas asociadas</w:t>
      </w:r>
      <w:r w:rsidRPr="00EA5B31">
        <w:rPr>
          <w:rStyle w:val="normaltextrun"/>
          <w:rFonts w:ascii="Calibri" w:hAnsi="Calibri" w:cs="Calibri"/>
          <w:sz w:val="22"/>
          <w:szCs w:val="22"/>
        </w:rPr>
        <w:t>.</w:t>
      </w:r>
    </w:p>
    <w:p w:rsidR="00E041E1" w:rsidP="00E041E1" w:rsidRDefault="00E041E1" w14:paraId="60A9ADBE" w14:textId="77777777">
      <w:pPr>
        <w:pStyle w:val="paragraph"/>
        <w:spacing w:before="0" w:beforeAutospacing="0" w:after="0" w:afterAutospacing="0"/>
        <w:textAlignment w:val="baseline"/>
        <w:rPr>
          <w:rStyle w:val="normaltextrun"/>
          <w:rFonts w:ascii="Calibri" w:hAnsi="Calibri" w:cs="Calibri"/>
          <w:sz w:val="22"/>
          <w:szCs w:val="22"/>
        </w:rPr>
      </w:pPr>
    </w:p>
    <w:p w:rsidRPr="00633A59" w:rsidR="00E041E1" w:rsidP="00E041E1" w:rsidRDefault="00E041E1" w14:paraId="5C08E405" w14:textId="77777777">
      <w:pPr>
        <w:spacing w:after="0" w:line="240" w:lineRule="auto"/>
        <w:jc w:val="both"/>
        <w:rPr>
          <w:rStyle w:val="normaltextrun"/>
          <w:rFonts w:ascii="Calibri" w:hAnsi="Calibri" w:eastAsia="Times New Roman" w:cs="Calibri"/>
          <w:lang w:eastAsia="es-ES"/>
        </w:rPr>
      </w:pPr>
      <w:r w:rsidRPr="00633A59">
        <w:rPr>
          <w:rStyle w:val="normaltextrun"/>
          <w:rFonts w:ascii="Calibri" w:hAnsi="Calibri" w:eastAsia="Times New Roman" w:cs="Calibri"/>
          <w:lang w:eastAsia="es-ES"/>
        </w:rPr>
        <w:t>En línea con lo anterior y teniendo en cuenta la actualización de políticas públicas y marco reglamentario minero ambiental, se hace necesario incorporar adicionalmente estrategias dirigidas a:</w:t>
      </w:r>
    </w:p>
    <w:p w:rsidRPr="00633A59" w:rsidR="00E041E1" w:rsidP="00E041E1" w:rsidRDefault="00E041E1" w14:paraId="5C207A18" w14:textId="77777777">
      <w:pPr>
        <w:spacing w:after="0" w:line="240" w:lineRule="auto"/>
        <w:jc w:val="both"/>
        <w:rPr>
          <w:rStyle w:val="normaltextrun"/>
          <w:rFonts w:ascii="Calibri" w:hAnsi="Calibri" w:eastAsia="Times New Roman" w:cs="Calibri"/>
          <w:lang w:eastAsia="es-ES"/>
        </w:rPr>
      </w:pPr>
    </w:p>
    <w:p w:rsidRPr="00633A59" w:rsidR="00E041E1" w:rsidP="001C54B2" w:rsidRDefault="00E041E1" w14:paraId="64F8C23C" w14:textId="77777777">
      <w:pPr>
        <w:pStyle w:val="ListParagraph"/>
        <w:numPr>
          <w:ilvl w:val="1"/>
          <w:numId w:val="17"/>
        </w:numPr>
        <w:spacing w:after="0" w:line="240" w:lineRule="auto"/>
        <w:ind w:left="567" w:hanging="283"/>
        <w:jc w:val="both"/>
        <w:rPr>
          <w:rStyle w:val="normaltextrun"/>
          <w:rFonts w:ascii="Calibri" w:hAnsi="Calibri" w:eastAsia="Times New Roman" w:cs="Calibri"/>
          <w:kern w:val="0"/>
          <w:lang w:eastAsia="es-ES"/>
          <w14:ligatures w14:val="none"/>
        </w:rPr>
      </w:pPr>
      <w:r w:rsidRPr="00633A59">
        <w:rPr>
          <w:rStyle w:val="normaltextrun"/>
          <w:rFonts w:ascii="Calibri" w:hAnsi="Calibri" w:eastAsia="Times New Roman" w:cs="Calibri"/>
          <w:kern w:val="0"/>
          <w:lang w:eastAsia="es-ES"/>
          <w14:ligatures w14:val="none"/>
        </w:rPr>
        <w:t>La implementación del Sistema Nacional de Seguridad Minera, que fomente acciones de prevención y cuidado de la vida e integridad de los trabajadores mineros en Colombia, en cada una de sus escalas.</w:t>
      </w:r>
    </w:p>
    <w:p w:rsidR="00E041E1" w:rsidP="001C54B2" w:rsidRDefault="00E041E1" w14:paraId="364057A2" w14:textId="77777777">
      <w:pPr>
        <w:pStyle w:val="ListParagraph"/>
        <w:numPr>
          <w:ilvl w:val="1"/>
          <w:numId w:val="17"/>
        </w:numPr>
        <w:spacing w:after="0" w:line="240" w:lineRule="auto"/>
        <w:ind w:left="567" w:hanging="283"/>
        <w:jc w:val="both"/>
        <w:rPr>
          <w:rStyle w:val="normaltextrun"/>
          <w:rFonts w:ascii="Calibri" w:hAnsi="Calibri" w:eastAsia="Times New Roman" w:cs="Calibri"/>
          <w:kern w:val="0"/>
          <w:lang w:eastAsia="es-ES"/>
          <w14:ligatures w14:val="none"/>
        </w:rPr>
      </w:pPr>
      <w:r w:rsidRPr="00633A59">
        <w:rPr>
          <w:rStyle w:val="normaltextrun"/>
          <w:rFonts w:ascii="Calibri" w:hAnsi="Calibri" w:eastAsia="Times New Roman" w:cs="Calibri"/>
          <w:kern w:val="0"/>
          <w:lang w:eastAsia="es-ES"/>
          <w14:ligatures w14:val="none"/>
        </w:rPr>
        <w:t>La implementación de lo definido en el Plan de Acción Nacional sobre mercurio en la Minería Artesanal y de Pequeña Escala de oro en Colombia – (PAN Hg MAPE) – Cumplimiento del convenio de Minamata, que busca la reducción y la eliminación del uso de mercurio en la extracción de oro en Colombia.</w:t>
      </w:r>
    </w:p>
    <w:p w:rsidR="00E041E1" w:rsidP="001C54B2" w:rsidRDefault="00E041E1" w14:paraId="4AFE90BC" w14:textId="51BC971C">
      <w:pPr>
        <w:pStyle w:val="ListParagraph"/>
        <w:numPr>
          <w:ilvl w:val="1"/>
          <w:numId w:val="17"/>
        </w:numPr>
        <w:spacing w:after="0" w:line="240" w:lineRule="auto"/>
        <w:ind w:left="567" w:hanging="283"/>
        <w:jc w:val="both"/>
        <w:rPr>
          <w:rStyle w:val="normaltextrun"/>
          <w:rFonts w:ascii="Calibri" w:hAnsi="Calibri" w:eastAsia="Times New Roman" w:cs="Calibri"/>
          <w:kern w:val="0"/>
          <w:lang w:eastAsia="es-ES"/>
          <w14:ligatures w14:val="none"/>
        </w:rPr>
      </w:pPr>
      <w:r w:rsidRPr="00633A59">
        <w:rPr>
          <w:rStyle w:val="normaltextrun"/>
          <w:rFonts w:ascii="Calibri" w:hAnsi="Calibri" w:eastAsia="Times New Roman" w:cs="Calibri"/>
          <w:kern w:val="0"/>
          <w:lang w:eastAsia="es-ES"/>
          <w14:ligatures w14:val="none"/>
        </w:rPr>
        <w:t>La implementación de la economía circular en el sector minero, para lo cual es importante tener en cuenta lo señalado en el artículo 12 de la Ley 2250 de 2022</w:t>
      </w:r>
      <w:r>
        <w:rPr>
          <w:rStyle w:val="normaltextrun"/>
          <w:rFonts w:ascii="Calibri" w:hAnsi="Calibri" w:eastAsia="Times New Roman" w:cs="Calibri"/>
          <w:kern w:val="0"/>
          <w:lang w:eastAsia="es-ES"/>
          <w14:ligatures w14:val="none"/>
        </w:rPr>
        <w:t>.</w:t>
      </w:r>
    </w:p>
    <w:p w:rsidR="00E041E1" w:rsidP="00E041E1" w:rsidRDefault="00E041E1" w14:paraId="009DD3D0" w14:textId="77777777">
      <w:pPr>
        <w:spacing w:after="0" w:line="240" w:lineRule="auto"/>
        <w:jc w:val="both"/>
        <w:rPr>
          <w:rStyle w:val="normaltextrun"/>
          <w:rFonts w:ascii="Calibri" w:hAnsi="Calibri" w:eastAsia="Times New Roman" w:cs="Calibri"/>
          <w:kern w:val="0"/>
          <w:lang w:eastAsia="es-ES"/>
          <w14:ligatures w14:val="none"/>
        </w:rPr>
      </w:pPr>
    </w:p>
    <w:p w:rsidRPr="00633A59" w:rsidR="00E041E1" w:rsidP="00E041E1" w:rsidRDefault="00E041E1" w14:paraId="0FF863A0" w14:textId="77777777">
      <w:pPr>
        <w:spacing w:after="0" w:line="240" w:lineRule="auto"/>
        <w:jc w:val="both"/>
        <w:rPr>
          <w:rStyle w:val="normaltextrun"/>
          <w:rFonts w:ascii="Calibri" w:hAnsi="Calibri" w:eastAsia="Times New Roman" w:cs="Calibri"/>
          <w:lang w:eastAsia="es-ES"/>
        </w:rPr>
      </w:pPr>
      <w:r w:rsidRPr="00633A59">
        <w:rPr>
          <w:rStyle w:val="normaltextrun"/>
          <w:rFonts w:ascii="Calibri" w:hAnsi="Calibri" w:eastAsia="Times New Roman" w:cs="Calibri"/>
          <w:lang w:eastAsia="es-ES"/>
        </w:rPr>
        <w:t>Finalmente es importante avanzar en territorio con la socialización de los lineamientos, protocolos y demás documentos dispuestos en el Centro de Aprendizaje Minero y consultorios técnicos – jurídicos que fomenta el Ministerio de Minas y Energía, los cuales aportan herramientas prácticas y acompañamiento técnico a las comunidades mineras, para que puedan adelantar sus labores con mayor sostenibilidad desde un enfoque de buenas prácticas en el sector minero.</w:t>
      </w:r>
    </w:p>
    <w:p w:rsidRPr="00633A59" w:rsidR="00E041E1" w:rsidP="00E041E1" w:rsidRDefault="00E041E1" w14:paraId="4712A49A" w14:textId="77777777">
      <w:pPr>
        <w:spacing w:after="0" w:line="240" w:lineRule="auto"/>
        <w:jc w:val="both"/>
        <w:rPr>
          <w:rStyle w:val="normaltextrun"/>
          <w:rFonts w:ascii="Calibri" w:hAnsi="Calibri" w:eastAsia="Times New Roman" w:cs="Calibri"/>
          <w:lang w:eastAsia="es-ES"/>
        </w:rPr>
      </w:pPr>
    </w:p>
    <w:p w:rsidRPr="00633A59" w:rsidR="00E041E1" w:rsidP="00E041E1" w:rsidRDefault="00E041E1" w14:paraId="3141799E" w14:textId="77777777">
      <w:pPr>
        <w:spacing w:after="0" w:line="240" w:lineRule="auto"/>
        <w:jc w:val="both"/>
        <w:rPr>
          <w:rStyle w:val="normaltextrun"/>
          <w:rFonts w:ascii="Calibri" w:hAnsi="Calibri" w:eastAsia="Times New Roman" w:cs="Calibri"/>
          <w:lang w:eastAsia="es-ES"/>
        </w:rPr>
      </w:pPr>
      <w:r w:rsidRPr="00633A59">
        <w:rPr>
          <w:rStyle w:val="normaltextrun"/>
          <w:rFonts w:ascii="Calibri" w:hAnsi="Calibri" w:eastAsia="Times New Roman" w:cs="Calibri"/>
          <w:lang w:eastAsia="es-ES"/>
        </w:rPr>
        <w:t>El diseño de una buena práctica minera requiere de la definición de una línea base técnica, ambiental y social según aplique; Su implementación se materializa a través de una ruta metodológica y de un plan de trabajo que favorezca la implementación de actividades técnicas sostenibles, seguras y con enfoque social. Dicha ejecución implicará la realización de acciones de asistencias técnicas; Acompañamiento en: Desarrollo Empresarial y Escalamiento, Comercialización y Trazabilidad, Financiamiento e Inclusión Financiera, Investigación y Desarrollo; Implementación del Sistema Nacional de Seguridad Minera; Implementación del PAN Hg MAPE – Convenio Minamata; Economía Circular en el marco del artículo 12 de la Ley 2250.</w:t>
      </w:r>
    </w:p>
    <w:p w:rsidRPr="00633A59" w:rsidR="00E041E1" w:rsidP="00E041E1" w:rsidRDefault="00E041E1" w14:paraId="37E37BCA" w14:textId="77777777">
      <w:pPr>
        <w:spacing w:after="0" w:line="240" w:lineRule="auto"/>
        <w:jc w:val="both"/>
        <w:rPr>
          <w:rStyle w:val="normaltextrun"/>
          <w:rFonts w:ascii="Calibri" w:hAnsi="Calibri" w:eastAsia="Times New Roman" w:cs="Calibri"/>
          <w:lang w:eastAsia="es-ES"/>
        </w:rPr>
      </w:pPr>
    </w:p>
    <w:p w:rsidRPr="00E041E1" w:rsidR="00E041E1" w:rsidP="00E041E1" w:rsidRDefault="00E041E1" w14:paraId="25001A29" w14:textId="2D10C29C">
      <w:pPr>
        <w:spacing w:after="0" w:line="240" w:lineRule="auto"/>
        <w:jc w:val="both"/>
        <w:rPr>
          <w:rStyle w:val="normaltextrun"/>
          <w:rFonts w:ascii="Calibri" w:hAnsi="Calibri" w:eastAsia="Times New Roman" w:cs="Calibri"/>
          <w:kern w:val="0"/>
          <w:lang w:eastAsia="es-ES"/>
          <w14:ligatures w14:val="none"/>
        </w:rPr>
      </w:pPr>
      <w:r w:rsidRPr="00633A59">
        <w:rPr>
          <w:rStyle w:val="normaltextrun"/>
          <w:rFonts w:ascii="Calibri" w:hAnsi="Calibri" w:eastAsia="Times New Roman" w:cs="Calibri"/>
          <w:lang w:eastAsia="es-ES"/>
        </w:rPr>
        <w:t>Las situaciones problemas que no han favorecido la identificación y/o diseño e implementación de las buenas prácticas son entre otras:</w:t>
      </w:r>
    </w:p>
    <w:bookmarkEnd w:id="756"/>
    <w:p w:rsidR="007E3A7F" w:rsidP="007E3A7F" w:rsidRDefault="007E3A7F" w14:paraId="66BF2CB1" w14:textId="77777777">
      <w:pPr>
        <w:suppressAutoHyphens/>
        <w:autoSpaceDN w:val="0"/>
        <w:spacing w:line="251" w:lineRule="auto"/>
        <w:jc w:val="both"/>
        <w:textAlignment w:val="baseline"/>
      </w:pPr>
    </w:p>
    <w:p w:rsidR="00AE4294" w:rsidP="001C54B2" w:rsidRDefault="00AE4294" w14:paraId="3C8BCCCA" w14:textId="28D74D5A">
      <w:pPr>
        <w:pStyle w:val="ListParagraph"/>
        <w:numPr>
          <w:ilvl w:val="0"/>
          <w:numId w:val="34"/>
        </w:numPr>
        <w:suppressAutoHyphens/>
        <w:autoSpaceDN w:val="0"/>
        <w:spacing w:line="251" w:lineRule="auto"/>
        <w:jc w:val="both"/>
        <w:textAlignment w:val="baseline"/>
      </w:pPr>
      <w:r>
        <w:t xml:space="preserve">La falta de adopción de estándares para la ejecución de las actividades mineras por parte de las autoridades competentes y poca aplicabilidad de los existentes, llevando a una afectación a la vida, el ambiente y la salud humana. </w:t>
      </w:r>
    </w:p>
    <w:p w:rsidR="00AE4294" w:rsidP="001C54B2" w:rsidRDefault="00AE4294" w14:paraId="5A3C4376" w14:textId="77777777">
      <w:pPr>
        <w:pStyle w:val="ListParagraph"/>
        <w:numPr>
          <w:ilvl w:val="0"/>
          <w:numId w:val="34"/>
        </w:numPr>
        <w:suppressAutoHyphens/>
        <w:autoSpaceDN w:val="0"/>
        <w:spacing w:line="251" w:lineRule="auto"/>
        <w:jc w:val="both"/>
        <w:textAlignment w:val="baseline"/>
      </w:pPr>
      <w:r>
        <w:t>Debilidad en el conocimiento, capacidades y habilidades para la aplicación de buenas prácticas en el desarrollo de los proyectos mineros.</w:t>
      </w:r>
    </w:p>
    <w:p w:rsidR="00AE4294" w:rsidP="001C54B2" w:rsidRDefault="00AE4294" w14:paraId="54F4FD27" w14:textId="774BF6EB">
      <w:pPr>
        <w:pStyle w:val="ListParagraph"/>
        <w:numPr>
          <w:ilvl w:val="0"/>
          <w:numId w:val="34"/>
        </w:numPr>
        <w:suppressAutoHyphens/>
        <w:autoSpaceDN w:val="0"/>
        <w:spacing w:line="251" w:lineRule="auto"/>
        <w:jc w:val="both"/>
        <w:textAlignment w:val="baseline"/>
      </w:pPr>
      <w:r>
        <w:t xml:space="preserve">La implementación de las buenas prácticas se dificulta por la falta de mecanismos de divulgación y formación sobre su aplicación, así como las falencias en los instrumentos e incentivos de fomento minero y asistencia técnica. </w:t>
      </w:r>
    </w:p>
    <w:p w:rsidR="00AE4294" w:rsidP="001C54B2" w:rsidRDefault="00AE4294" w14:paraId="55A0A19A" w14:textId="77777777">
      <w:pPr>
        <w:pStyle w:val="ListParagraph"/>
        <w:numPr>
          <w:ilvl w:val="0"/>
          <w:numId w:val="34"/>
        </w:numPr>
        <w:suppressAutoHyphens/>
        <w:autoSpaceDN w:val="0"/>
        <w:spacing w:line="251" w:lineRule="auto"/>
        <w:jc w:val="both"/>
        <w:textAlignment w:val="baseline"/>
      </w:pPr>
      <w:r>
        <w:t xml:space="preserve">Falta de seguimiento, evaluación y transferencia de conocimiento asociado a experiencias piloto y casos exitosos en economía circular. </w:t>
      </w:r>
    </w:p>
    <w:p w:rsidR="00AE4294" w:rsidP="001C54B2" w:rsidRDefault="00AE4294" w14:paraId="0E646205" w14:textId="77777777">
      <w:pPr>
        <w:pStyle w:val="ListParagraph"/>
        <w:numPr>
          <w:ilvl w:val="0"/>
          <w:numId w:val="34"/>
        </w:numPr>
        <w:suppressAutoHyphens/>
        <w:autoSpaceDN w:val="0"/>
        <w:spacing w:line="251" w:lineRule="auto"/>
        <w:jc w:val="both"/>
        <w:textAlignment w:val="baseline"/>
      </w:pPr>
      <w:r>
        <w:t xml:space="preserve">Falta de difusión y apoyo de las instituciones en la promoción de incentivos y programas para implementar la economía circular. </w:t>
      </w:r>
    </w:p>
    <w:p w:rsidR="00AE4294" w:rsidP="001C54B2" w:rsidRDefault="00AE4294" w14:paraId="3C1121D3" w14:textId="77777777">
      <w:pPr>
        <w:pStyle w:val="ListParagraph"/>
        <w:numPr>
          <w:ilvl w:val="0"/>
          <w:numId w:val="34"/>
        </w:numPr>
        <w:suppressAutoHyphens/>
        <w:autoSpaceDN w:val="0"/>
        <w:spacing w:line="251" w:lineRule="auto"/>
        <w:jc w:val="both"/>
        <w:textAlignment w:val="baseline"/>
      </w:pPr>
      <w:r>
        <w:t>El país no cuenta con una regulación y/o formalización específica respecto a la normalización de los procesos relacionados con economía circular y las mejores técnicas disponibles en la actividad minera.</w:t>
      </w:r>
    </w:p>
    <w:p w:rsidRPr="00DD62BB" w:rsidR="00C443D6" w:rsidP="00C443D6" w:rsidRDefault="00C443D6" w14:paraId="09A732B4" w14:textId="77777777">
      <w:pPr>
        <w:rPr>
          <w:rStyle w:val="normaltextrun"/>
          <w:rFonts w:eastAsia="Times New Roman" w:cs="Arial"/>
          <w:lang w:eastAsia="es-CO"/>
        </w:rPr>
      </w:pPr>
    </w:p>
    <w:p w:rsidRPr="00281F64" w:rsidR="00C443D6" w:rsidRDefault="00281F64" w14:paraId="6E50DB5C" w14:textId="1A92AAEE">
      <w:pPr>
        <w:pStyle w:val="Heading2"/>
        <w:numPr>
          <w:ilvl w:val="0"/>
          <w:numId w:val="9"/>
        </w:numPr>
        <w:ind w:left="1134"/>
      </w:pPr>
      <w:bookmarkStart w:name="_Toc199511976" w:id="758"/>
      <w:bookmarkStart w:name="_Toc1734880726" w:id="759"/>
      <w:bookmarkStart w:name="_Toc1487774157" w:id="760"/>
      <w:bookmarkStart w:name="_Toc1324821848" w:id="761"/>
      <w:bookmarkStart w:name="_Toc568147199" w:id="762"/>
      <w:bookmarkStart w:name="_Toc422483826" w:id="763"/>
      <w:bookmarkStart w:name="_Toc1461560999" w:id="764"/>
      <w:bookmarkStart w:name="_Toc376345319" w:id="765"/>
      <w:bookmarkStart w:name="_Toc1402424058" w:id="766"/>
      <w:bookmarkStart w:name="_Toc1980724668" w:id="767"/>
      <w:bookmarkStart w:name="_Toc1063723162" w:id="768"/>
      <w:bookmarkStart w:name="_Toc1049564597" w:id="769"/>
      <w:bookmarkStart w:name="_Toc1082045179" w:id="770"/>
      <w:bookmarkStart w:name="_Toc1763090411" w:id="771"/>
      <w:bookmarkStart w:name="_Toc319149513" w:id="772"/>
      <w:bookmarkStart w:name="_Toc686965392" w:id="773"/>
      <w:bookmarkStart w:name="_Toc1080698963" w:id="774"/>
      <w:bookmarkStart w:name="_Toc982850336" w:id="775"/>
      <w:bookmarkStart w:name="_Toc300381786" w:id="776"/>
      <w:bookmarkStart w:name="_Toc106704977" w:id="777"/>
      <w:bookmarkStart w:name="_Toc370699186" w:id="778"/>
      <w:bookmarkStart w:name="_Toc145778128" w:id="779"/>
      <w:bookmarkStart w:name="_Toc519707626" w:id="780"/>
      <w:bookmarkStart w:name="_Toc375905116" w:id="781"/>
      <w:bookmarkStart w:name="_Toc841193800" w:id="782"/>
      <w:bookmarkStart w:name="_Toc234590770" w:id="783"/>
      <w:bookmarkStart w:name="_Toc2024937928" w:id="784"/>
      <w:bookmarkStart w:name="_Toc210292984" w:id="785"/>
      <w:r w:rsidRPr="00281F64">
        <w:t>Deficiencias en las etapas de cierre y post cierre de minas.</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rsidR="00C443D6" w:rsidP="00C443D6" w:rsidRDefault="00C443D6" w14:paraId="2EFC4C90" w14:textId="77777777"/>
    <w:p w:rsidRPr="00E14D8C" w:rsidR="0010298F" w:rsidP="0010298F" w:rsidRDefault="1C512279" w14:paraId="07C50851" w14:textId="77777777">
      <w:pPr>
        <w:jc w:val="both"/>
        <w:rPr>
          <w:rFonts w:eastAsia="Times New Roman" w:cs="Arial"/>
          <w:lang w:eastAsia="es-CO"/>
        </w:rPr>
      </w:pPr>
      <w:r w:rsidRPr="0010298F" w:rsidR="1C512279">
        <w:rPr>
          <w:rFonts w:eastAsia="Times New Roman" w:cs="Arial"/>
          <w:lang w:val="es-ES" w:eastAsia="es-CO"/>
        </w:rPr>
        <w:t xml:space="preserve">Los proyectos mineros pueden generar impactos sociales y ambientales que, si no se gestionan adecuadamente, puede dejar zonas abandonadas e inutilizadas, generando riesgos para la salud, la vida y el ambiente. Por ello, el cierre de minas constituye una fase técnica esencial del ciclo minero y de la gestión ambiental, </w:t>
      </w:r>
      <w:r w:rsidRPr="00E14D8C" w:rsidR="1C512279">
        <w:rPr>
          <w:rFonts w:eastAsia="Times New Roman" w:cs="Arial"/>
          <w:lang w:val="es-ES" w:eastAsia="es-CO"/>
        </w:rPr>
        <w:t>siendo indispensable su inclusión en el Programa de Trabajos y Obras (PTO)</w:t>
      </w:r>
      <w:r w:rsidR="0010298F">
        <w:rPr>
          <w:rStyle w:val="FootnoteReference"/>
          <w:rFonts w:eastAsia="Times New Roman" w:cs="Arial"/>
          <w:lang w:val="es-ES" w:eastAsia="es-CO"/>
        </w:rPr>
        <w:footnoteReference w:id="68"/>
      </w:r>
      <w:r w:rsidRPr="00E14D8C" w:rsidR="1C512279">
        <w:rPr>
          <w:rFonts w:eastAsia="Times New Roman" w:cs="Arial"/>
          <w:lang w:val="es-ES" w:eastAsia="es-CO"/>
        </w:rPr>
        <w:t>y demás instrumentos regulatorios del sector, con el fin de garantizar una minería ejecutada bajo altos estándares y buenas prácticas.</w:t>
      </w:r>
      <w:r w:rsidRPr="00E14D8C" w:rsidR="1C512279">
        <w:rPr>
          <w:rFonts w:eastAsia="Times New Roman" w:cs="Arial"/>
          <w:lang w:eastAsia="es-CO"/>
        </w:rPr>
        <w:t> </w:t>
      </w:r>
    </w:p>
    <w:p w:rsidRPr="00E14D8C" w:rsidR="00E14D8C" w:rsidP="00E14D8C" w:rsidRDefault="00E14D8C" w14:paraId="1061700D" w14:textId="6DD642E9">
      <w:pPr>
        <w:jc w:val="both"/>
        <w:rPr>
          <w:rFonts w:eastAsia="Times New Roman" w:cs="Arial"/>
          <w:lang w:eastAsia="es-CO"/>
        </w:rPr>
      </w:pPr>
      <w:r w:rsidRPr="31226965">
        <w:rPr>
          <w:rFonts w:eastAsia="Times New Roman" w:cs="Arial"/>
          <w:lang w:val="es-ES" w:eastAsia="es-CO"/>
        </w:rPr>
        <w:t>El cierre minero tiene como propósito minimizar los impactos negativos, restaurar y rehabilitar el área intervenida</w:t>
      </w:r>
      <w:r w:rsidRPr="31226965" w:rsidR="005052B4">
        <w:rPr>
          <w:rFonts w:eastAsia="Times New Roman" w:cs="Arial"/>
          <w:lang w:val="es-ES" w:eastAsia="es-CO"/>
        </w:rPr>
        <w:t>, así como</w:t>
      </w:r>
      <w:r w:rsidRPr="31226965">
        <w:rPr>
          <w:rFonts w:eastAsia="Times New Roman" w:cs="Arial"/>
          <w:lang w:val="es-ES" w:eastAsia="es-CO"/>
        </w:rPr>
        <w:t xml:space="preserve"> planificar sus usos futuros. Este proceso debe ser integral y contemplar aspectos ambientales, mineros, sociales y productivos, de acuerdo con las condiciones y viabilidades del territorio afectado. Durante esta etapa se realiza el desmantelamiento de las instalaciones mineras, el cierre definitivo de los frentes de explotación y la implementación de medidas para mitigar los impactos ambientales y sociales. En Colombia, varios grandes proyectos se aproximan al final de su vida útil, por lo que es urgente que cuenten con un cierre adecuado a las condiciones técnicas, ambientales, sociales y económicas.</w:t>
      </w:r>
      <w:r w:rsidRPr="31226965">
        <w:rPr>
          <w:rFonts w:eastAsia="Times New Roman" w:cs="Arial"/>
          <w:lang w:eastAsia="es-CO"/>
        </w:rPr>
        <w:t> </w:t>
      </w:r>
    </w:p>
    <w:p w:rsidR="00E14D8C" w:rsidP="00E14D8C" w:rsidRDefault="75D548BB" w14:paraId="05145B26" w14:textId="4A6F4631">
      <w:pPr>
        <w:jc w:val="both"/>
        <w:rPr>
          <w:rFonts w:eastAsia="Times New Roman" w:cs="Arial"/>
          <w:lang w:eastAsia="es-CO"/>
        </w:rPr>
      </w:pPr>
      <w:r w:rsidRPr="00E14D8C" w:rsidR="75D548BB">
        <w:rPr>
          <w:rFonts w:eastAsia="Times New Roman" w:cs="Arial"/>
          <w:lang w:val="es-ES" w:eastAsia="es-CO"/>
        </w:rPr>
        <w:t>Las normas minera</w:t>
      </w:r>
      <w:r w:rsidR="46D1ADA9">
        <w:rPr>
          <w:rFonts w:eastAsia="Times New Roman" w:cs="Arial"/>
          <w:lang w:val="es-ES" w:eastAsia="es-CO"/>
        </w:rPr>
        <w:t>s</w:t>
      </w:r>
      <w:r w:rsidRPr="00E14D8C" w:rsidR="75D548BB">
        <w:rPr>
          <w:rFonts w:eastAsia="Times New Roman" w:cs="Arial"/>
          <w:lang w:val="es-ES" w:eastAsia="es-CO"/>
        </w:rPr>
        <w:t xml:space="preserve"> - Ley 685 de 2001, la legislación ambiental - Ley 99 de 1993</w:t>
      </w:r>
      <w:r w:rsidR="00E9680A">
        <w:rPr>
          <w:rStyle w:val="FootnoteReference"/>
          <w:rFonts w:eastAsia="Times New Roman" w:cs="Arial"/>
          <w:lang w:val="es-ES" w:eastAsia="es-CO"/>
        </w:rPr>
        <w:footnoteReference w:id="69"/>
      </w:r>
      <w:r w:rsidRPr="00E14D8C" w:rsidR="75D548BB">
        <w:rPr>
          <w:rFonts w:eastAsia="Times New Roman" w:cs="Arial"/>
          <w:lang w:val="es-ES" w:eastAsia="es-CO"/>
        </w:rPr>
        <w:t xml:space="preserve">, </w:t>
      </w:r>
      <w:r w:rsidR="3FEE56DC">
        <w:rPr>
          <w:rFonts w:eastAsia="Times New Roman" w:cs="Arial"/>
          <w:lang w:val="es-ES" w:eastAsia="es-CO"/>
        </w:rPr>
        <w:t>su</w:t>
      </w:r>
      <w:r w:rsidRPr="00E14D8C" w:rsidR="75D548BB">
        <w:rPr>
          <w:rFonts w:eastAsia="Times New Roman" w:cs="Arial"/>
          <w:lang w:val="es-ES" w:eastAsia="es-CO"/>
        </w:rPr>
        <w:t xml:space="preserve"> Decreto Único Reglamentario</w:t>
      </w:r>
      <w:r w:rsidR="00281B68">
        <w:rPr>
          <w:rStyle w:val="FootnoteReference"/>
          <w:rFonts w:eastAsia="Times New Roman" w:cs="Arial"/>
          <w:lang w:val="es-ES" w:eastAsia="es-CO"/>
        </w:rPr>
        <w:footnoteReference w:id="70"/>
      </w:r>
      <w:r w:rsidRPr="00E14D8C" w:rsidR="75D548BB">
        <w:rPr>
          <w:rFonts w:eastAsia="Times New Roman" w:cs="Arial"/>
          <w:lang w:val="es-ES" w:eastAsia="es-CO"/>
        </w:rPr>
        <w:t xml:space="preserve"> y la Ley 1753 de 2015</w:t>
      </w:r>
      <w:r w:rsidR="00E9680A">
        <w:rPr>
          <w:rStyle w:val="FootnoteReference"/>
          <w:rFonts w:eastAsia="Times New Roman" w:cs="Arial"/>
          <w:lang w:val="es-ES" w:eastAsia="es-CO"/>
        </w:rPr>
        <w:footnoteReference w:id="71"/>
      </w:r>
      <w:r w:rsidRPr="00E14D8C" w:rsidR="75D548BB">
        <w:rPr>
          <w:rFonts w:eastAsia="Times New Roman" w:cs="Arial"/>
          <w:lang w:val="es-ES" w:eastAsia="es-CO"/>
        </w:rPr>
        <w:t xml:space="preserve"> abordan de manera general el cierre de explotaciones mineras. Sin embargo, actualmente no existe una reglamentación específica que detalle el proceso de cierre minero o minero-ambiental, incluyendo los recursos financieros requeridos para esta fase.</w:t>
      </w:r>
      <w:r w:rsidRPr="00E14D8C" w:rsidR="75D548BB">
        <w:rPr>
          <w:rFonts w:eastAsia="Times New Roman" w:cs="Arial"/>
          <w:lang w:eastAsia="es-CO"/>
        </w:rPr>
        <w:t> </w:t>
      </w:r>
    </w:p>
    <w:p w:rsidRPr="00E14D8C" w:rsidR="0050456C" w:rsidP="00E14D8C" w:rsidRDefault="0050456C" w14:paraId="14784012" w14:textId="1132D1A5">
      <w:pPr>
        <w:jc w:val="both"/>
        <w:rPr>
          <w:rFonts w:eastAsia="Times New Roman" w:cs="Arial"/>
          <w:lang w:eastAsia="es-CO"/>
        </w:rPr>
      </w:pPr>
      <w:r>
        <w:rPr>
          <w:rFonts w:eastAsia="Times New Roman" w:cs="Arial"/>
          <w:lang w:eastAsia="es-CO"/>
        </w:rPr>
        <w:t>E</w:t>
      </w:r>
      <w:r w:rsidRPr="0050456C">
        <w:rPr>
          <w:rFonts w:eastAsia="Times New Roman" w:cs="Arial"/>
          <w:lang w:eastAsia="es-CO"/>
        </w:rPr>
        <w:t xml:space="preserve">ntre 2021 y 2022, </w:t>
      </w:r>
      <w:proofErr w:type="spellStart"/>
      <w:r w:rsidRPr="0050456C">
        <w:rPr>
          <w:rFonts w:eastAsia="Times New Roman" w:cs="Arial"/>
          <w:lang w:eastAsia="es-CO"/>
        </w:rPr>
        <w:t>Minenergía</w:t>
      </w:r>
      <w:proofErr w:type="spellEnd"/>
      <w:r w:rsidRPr="0050456C">
        <w:rPr>
          <w:rFonts w:eastAsia="Times New Roman" w:cs="Arial"/>
          <w:lang w:eastAsia="es-CO"/>
        </w:rPr>
        <w:t>, en convenio con el Banco Mundial, avanzó en un diagnóstico sobre la gestión gubernamental del cierre de minas en Colombia. Esta iniciativa buscó aportar herramientas clave para construir una hoja de ruta que oriente la reglamentación específica del cierre minero y facilite la adopción de un modelo de cierre minero y ambiental coherente con la normativa vigente.</w:t>
      </w:r>
    </w:p>
    <w:p w:rsidRPr="00E14D8C" w:rsidR="00E14D8C" w:rsidP="00E14D8C" w:rsidRDefault="00E14D8C" w14:paraId="13A42EB4" w14:textId="49D84526">
      <w:pPr>
        <w:jc w:val="both"/>
        <w:rPr>
          <w:rFonts w:eastAsia="Times New Roman" w:cs="Arial"/>
          <w:lang w:eastAsia="es-CO"/>
        </w:rPr>
      </w:pPr>
      <w:r w:rsidRPr="5775DF11">
        <w:rPr>
          <w:rFonts w:eastAsia="Times New Roman" w:cs="Arial"/>
          <w:lang w:val="es-ES" w:eastAsia="es-CO"/>
        </w:rPr>
        <w:t>Desde una perspectiva social, el cierre minero debe considerar el futuro laboral de los trabajadores, los efectos sobre la economía regional, las condiciones del territorio para su aprovechamiento futuro, la afectación de los servicios ecosistémicos y la gestión de impactos ambientales no atendidos adecuadamente durante la fase de explotación. En este sentido, es fundamental contar con una normatividad específica que incluya la recuperación del área intervenida en condiciones aptas para nuevas actividades, con base en la planeación territorial e incorporando a los grupos de interés.</w:t>
      </w:r>
      <w:r w:rsidRPr="5775DF11">
        <w:rPr>
          <w:rFonts w:eastAsia="Times New Roman" w:cs="Arial"/>
          <w:lang w:eastAsia="es-CO"/>
        </w:rPr>
        <w:t> </w:t>
      </w:r>
    </w:p>
    <w:p w:rsidRPr="00E14D8C" w:rsidR="00E14D8C" w:rsidP="00E14D8C" w:rsidRDefault="75D548BB" w14:paraId="1CA0700E" w14:textId="0990EC7E">
      <w:pPr>
        <w:jc w:val="both"/>
        <w:rPr>
          <w:rFonts w:eastAsia="Times New Roman" w:cs="Arial"/>
          <w:lang w:eastAsia="es-CO"/>
        </w:rPr>
      </w:pPr>
      <w:r w:rsidRPr="00E14D8C" w:rsidR="75D548BB">
        <w:rPr>
          <w:rFonts w:eastAsia="Times New Roman" w:cs="Arial"/>
          <w:lang w:val="es-ES" w:eastAsia="es-CO"/>
        </w:rPr>
        <w:t>Esta fase forma parte de la naturaleza jurídica de la explotación minera, como lo establecen los artículos 45</w:t>
      </w:r>
      <w:r w:rsidR="00FB1563">
        <w:rPr>
          <w:rStyle w:val="FootnoteReference"/>
          <w:rFonts w:eastAsia="Times New Roman" w:cs="Arial"/>
          <w:lang w:val="es-ES" w:eastAsia="es-CO"/>
        </w:rPr>
        <w:footnoteReference w:id="72"/>
      </w:r>
      <w:r w:rsidRPr="00E14D8C" w:rsidR="75D548BB">
        <w:rPr>
          <w:rFonts w:eastAsia="Times New Roman" w:cs="Arial"/>
          <w:lang w:val="es-ES" w:eastAsia="es-CO"/>
        </w:rPr>
        <w:t>, 84</w:t>
      </w:r>
      <w:r w:rsidR="00FB1563">
        <w:rPr>
          <w:rStyle w:val="FootnoteReference"/>
          <w:rFonts w:eastAsia="Times New Roman" w:cs="Arial"/>
          <w:lang w:val="es-ES" w:eastAsia="es-CO"/>
        </w:rPr>
        <w:footnoteReference w:id="73"/>
      </w:r>
      <w:r w:rsidRPr="00E14D8C" w:rsidR="75D548BB">
        <w:rPr>
          <w:rFonts w:eastAsia="Times New Roman" w:cs="Arial"/>
          <w:lang w:val="es-ES" w:eastAsia="es-CO"/>
        </w:rPr>
        <w:t>, 95</w:t>
      </w:r>
      <w:r w:rsidR="00FB1563">
        <w:rPr>
          <w:rStyle w:val="FootnoteReference"/>
          <w:rFonts w:eastAsia="Times New Roman" w:cs="Arial"/>
          <w:lang w:val="es-ES" w:eastAsia="es-CO"/>
        </w:rPr>
        <w:footnoteReference w:id="74"/>
      </w:r>
      <w:r w:rsidRPr="00E14D8C" w:rsidR="75D548BB">
        <w:rPr>
          <w:rFonts w:eastAsia="Times New Roman" w:cs="Arial"/>
          <w:lang w:val="es-ES" w:eastAsia="es-CO"/>
        </w:rPr>
        <w:t xml:space="preserve"> y 209</w:t>
      </w:r>
      <w:r w:rsidR="00FB1563">
        <w:rPr>
          <w:rStyle w:val="FootnoteReference"/>
          <w:rFonts w:eastAsia="Times New Roman" w:cs="Arial"/>
          <w:lang w:val="es-ES" w:eastAsia="es-CO"/>
        </w:rPr>
        <w:footnoteReference w:id="75"/>
      </w:r>
      <w:r w:rsidRPr="00E14D8C" w:rsidR="75D548BB">
        <w:rPr>
          <w:rFonts w:eastAsia="Times New Roman" w:cs="Arial"/>
          <w:lang w:val="es-ES" w:eastAsia="es-CO"/>
        </w:rPr>
        <w:t xml:space="preserve"> del actual Código de Minas. Esto implica que el cierre de minas constituye una obligación legal para el concesionario minero. Además, debe considerarse como una fase transversal a la formulación de la propuesta de concesión, lo cual implica que quien detenta el derecho minero debe planificar de manera técnica, metodológica y financieramente el cierre, incorporándolo en el Programa de Trabajo y Obras</w:t>
      </w:r>
      <w:r w:rsidR="40761918">
        <w:rPr>
          <w:rFonts w:eastAsia="Times New Roman" w:cs="Arial"/>
          <w:lang w:val="es-ES" w:eastAsia="es-CO"/>
        </w:rPr>
        <w:t>.</w:t>
      </w:r>
    </w:p>
    <w:p w:rsidRPr="00E14D8C" w:rsidR="00E14D8C" w:rsidP="00E14D8C" w:rsidRDefault="44343407" w14:paraId="51F7998F" w14:textId="632E7DDC">
      <w:pPr>
        <w:jc w:val="both"/>
        <w:rPr>
          <w:rFonts w:eastAsia="Times New Roman" w:cs="Arial"/>
          <w:lang w:eastAsia="es-CO"/>
        </w:rPr>
      </w:pPr>
      <w:r w:rsidRPr="2A9888F1">
        <w:rPr>
          <w:rFonts w:eastAsia="Times New Roman" w:cs="Arial"/>
          <w:lang w:val="es-ES" w:eastAsia="es-CO"/>
        </w:rPr>
        <w:t>No obstante, esta obligación aplica principalmente para concesiones otorgadas bajo la Ley 685 de 2001. En el caso de los contratos suscritos al amparo del Decreto 2655 de 1988, también existen disposiciones relativas al cierre, como el plan de restauración morfológica exigido para proyectos de mediana y gran minería, así como condiciones relacionadas con la reversión de bienes, la renuncia al título o las prórrogas contractuales. Estos contratos mantienen sus condiciones originales, pero sus titulares deben considerar las disposiciones actuales sobre cierre minero, a fin de asegurar una transición adecuada, el cumplimiento de estándares ambientales nacionales e internacionales, así como los componentes sociales y de buenas prácticas</w:t>
      </w:r>
      <w:r w:rsidRPr="2A9888F1" w:rsidR="25B49015">
        <w:rPr>
          <w:rFonts w:eastAsia="Times New Roman" w:cs="Arial"/>
          <w:lang w:val="es-ES" w:eastAsia="es-CO"/>
        </w:rPr>
        <w:t>.</w:t>
      </w:r>
      <w:r w:rsidRPr="2A9888F1">
        <w:rPr>
          <w:rFonts w:eastAsia="Times New Roman" w:cs="Arial"/>
          <w:lang w:eastAsia="es-CO"/>
        </w:rPr>
        <w:t> </w:t>
      </w:r>
    </w:p>
    <w:p w:rsidRPr="00E14D8C" w:rsidR="00E14D8C" w:rsidP="00E14D8C" w:rsidRDefault="44343407" w14:paraId="5BFDBD9F" w14:textId="4775DA01">
      <w:pPr>
        <w:jc w:val="both"/>
        <w:rPr>
          <w:rFonts w:eastAsia="Times New Roman" w:cs="Arial"/>
          <w:lang w:eastAsia="es-CO"/>
        </w:rPr>
      </w:pPr>
      <w:r w:rsidRPr="2A9888F1">
        <w:rPr>
          <w:rFonts w:eastAsia="Times New Roman" w:cs="Arial"/>
          <w:lang w:val="es-ES" w:eastAsia="es-CO"/>
        </w:rPr>
        <w:t xml:space="preserve">En el marco de este propósito, </w:t>
      </w:r>
      <w:proofErr w:type="spellStart"/>
      <w:r w:rsidRPr="2A9888F1" w:rsidR="2B4A67E0">
        <w:rPr>
          <w:rFonts w:eastAsia="Times New Roman" w:cs="Arial"/>
          <w:lang w:val="es-ES" w:eastAsia="es-CO"/>
        </w:rPr>
        <w:t>Minenergía</w:t>
      </w:r>
      <w:proofErr w:type="spellEnd"/>
      <w:r w:rsidRPr="2A9888F1">
        <w:rPr>
          <w:rFonts w:eastAsia="Times New Roman" w:cs="Arial"/>
          <w:lang w:val="es-ES" w:eastAsia="es-CO"/>
        </w:rPr>
        <w:t xml:space="preserve">, la </w:t>
      </w:r>
      <w:r w:rsidRPr="2A9888F1" w:rsidR="2B4A67E0">
        <w:rPr>
          <w:rFonts w:eastAsia="Times New Roman" w:cs="Arial"/>
          <w:lang w:val="es-ES" w:eastAsia="es-CO"/>
        </w:rPr>
        <w:t>ANM</w:t>
      </w:r>
      <w:r w:rsidRPr="2A9888F1">
        <w:rPr>
          <w:rFonts w:eastAsia="Times New Roman" w:cs="Arial"/>
          <w:lang w:val="es-ES" w:eastAsia="es-CO"/>
        </w:rPr>
        <w:t xml:space="preserve"> y </w:t>
      </w:r>
      <w:proofErr w:type="spellStart"/>
      <w:r w:rsidRPr="2A9888F1">
        <w:rPr>
          <w:rFonts w:eastAsia="Times New Roman" w:cs="Arial"/>
          <w:lang w:val="es-ES" w:eastAsia="es-CO"/>
        </w:rPr>
        <w:t>MinAmbiente</w:t>
      </w:r>
      <w:proofErr w:type="spellEnd"/>
      <w:r w:rsidRPr="2A9888F1">
        <w:rPr>
          <w:rFonts w:eastAsia="Times New Roman" w:cs="Arial"/>
          <w:lang w:val="es-ES" w:eastAsia="es-CO"/>
        </w:rPr>
        <w:t>, tienen proyectado una acción conjunta para la elaboración de las Guías de Cierre Minero y el mismo sector ambienta</w:t>
      </w:r>
      <w:r w:rsidRPr="2A9888F1" w:rsidR="25B49015">
        <w:rPr>
          <w:rFonts w:eastAsia="Times New Roman" w:cs="Arial"/>
          <w:lang w:val="es-ES" w:eastAsia="es-CO"/>
        </w:rPr>
        <w:t>l</w:t>
      </w:r>
      <w:r w:rsidRPr="2A9888F1" w:rsidR="2B4A67E0">
        <w:rPr>
          <w:rFonts w:eastAsia="Times New Roman" w:cs="Arial"/>
          <w:lang w:val="es-ES" w:eastAsia="es-CO"/>
        </w:rPr>
        <w:t>. Así, se proyecta</w:t>
      </w:r>
      <w:r w:rsidRPr="2A9888F1">
        <w:rPr>
          <w:rFonts w:eastAsia="Times New Roman" w:cs="Arial"/>
          <w:lang w:val="es-ES" w:eastAsia="es-CO"/>
        </w:rPr>
        <w:t xml:space="preserve"> una actualización de los Términos de Referencia para la elaboración de Estudios de Impacto Ambiental en proyectos de explotación minera. Esta propuesta busca incorporar nuevos elementos que fortalezcan las actividades transversales del cierre de minas.</w:t>
      </w:r>
      <w:r w:rsidRPr="2A9888F1">
        <w:rPr>
          <w:rFonts w:eastAsia="Times New Roman" w:cs="Arial"/>
          <w:lang w:eastAsia="es-CO"/>
        </w:rPr>
        <w:t> </w:t>
      </w:r>
    </w:p>
    <w:p w:rsidRPr="00E14D8C" w:rsidR="00E14D8C" w:rsidP="68278746" w:rsidRDefault="6E6ACD44" w14:paraId="306068E2" w14:textId="092A78D8">
      <w:pPr>
        <w:ind w:firstLine="708"/>
        <w:jc w:val="both"/>
        <w:rPr>
          <w:rFonts w:eastAsia="Times New Roman" w:cs="Arial"/>
          <w:lang w:eastAsia="es-CO"/>
        </w:rPr>
      </w:pPr>
      <w:r w:rsidRPr="2A9888F1">
        <w:rPr>
          <w:rFonts w:eastAsia="Times New Roman" w:cs="Arial"/>
          <w:b/>
          <w:bCs/>
          <w:lang w:val="es-ES" w:eastAsia="es-CO"/>
        </w:rPr>
        <w:t>Post cierre</w:t>
      </w:r>
      <w:r w:rsidRPr="2A9888F1" w:rsidR="44343407">
        <w:rPr>
          <w:rFonts w:eastAsia="Times New Roman" w:cs="Arial"/>
          <w:b/>
          <w:bCs/>
          <w:lang w:val="es-ES" w:eastAsia="es-CO"/>
        </w:rPr>
        <w:t xml:space="preserve"> de minas</w:t>
      </w:r>
      <w:r w:rsidRPr="2A9888F1" w:rsidR="44343407">
        <w:rPr>
          <w:rFonts w:eastAsia="Times New Roman" w:cs="Arial"/>
          <w:lang w:eastAsia="es-CO"/>
        </w:rPr>
        <w:t> </w:t>
      </w:r>
    </w:p>
    <w:p w:rsidR="0050456C" w:rsidP="00B454B7" w:rsidRDefault="7372B7E7" w14:paraId="30DD496F" w14:textId="77777777">
      <w:pPr>
        <w:jc w:val="both"/>
        <w:rPr>
          <w:rFonts w:eastAsia="Times New Roman" w:cs="Arial"/>
          <w:lang w:val="es-ES" w:eastAsia="es-CO"/>
        </w:rPr>
      </w:pPr>
      <w:r w:rsidRPr="2A9888F1">
        <w:rPr>
          <w:rFonts w:eastAsia="Times New Roman" w:cs="Arial"/>
          <w:lang w:val="es-ES" w:eastAsia="es-CO"/>
        </w:rPr>
        <w:t xml:space="preserve">Una de las principales limitaciones del post cierre minero en Colombia es la ausencia de una reglamentación específica que defina su alcance, responsables y mecanismos de financiación. Esta carencia normativa impide establecer criterios uniformes y obliga a que las autoridades mineras y ambientales recurran a interpretaciones generales, lo cual puede generar inseguridad jurídica y vacíos de gestión. Por ello, resulta urgente el desarrollo de un instrumento legal que regule esta etapa de manera precisa.  </w:t>
      </w:r>
    </w:p>
    <w:p w:rsidR="0050456C" w:rsidP="00B454B7" w:rsidRDefault="7372B7E7" w14:paraId="04C108E1" w14:textId="4DA5EE2E">
      <w:pPr>
        <w:jc w:val="both"/>
        <w:rPr>
          <w:rFonts w:eastAsia="Times New Roman" w:cs="Arial"/>
          <w:lang w:val="es-ES" w:eastAsia="es-CO"/>
        </w:rPr>
      </w:pPr>
      <w:r w:rsidRPr="2A9888F1">
        <w:rPr>
          <w:rFonts w:eastAsia="Times New Roman" w:cs="Arial"/>
          <w:lang w:val="es-ES" w:eastAsia="es-CO"/>
        </w:rPr>
        <w:t>La inclusión de las comunidades en la etapa de post cierre es esencial para promover la transparencia y garantizar que los beneficios del cierre trasciendan la restauración ecológica. La creación de espacios de comunicación y participación territorial de seguimiento puede facilitar la articulación entre actores sociales, gobiernos locales y empresas mineras. Asimismo, los planes de cierre deben articular el post cierre para los usos futuros del suelo acordes con la planificación territorial y el desarrollo región. </w:t>
      </w:r>
    </w:p>
    <w:p w:rsidR="0050456C" w:rsidP="00B454B7" w:rsidRDefault="7372B7E7" w14:paraId="697FD6E4" w14:textId="5DE8F74B">
      <w:pPr>
        <w:jc w:val="both"/>
        <w:rPr>
          <w:rFonts w:eastAsia="Times New Roman" w:cs="Arial"/>
          <w:lang w:val="es-ES" w:eastAsia="es-CO"/>
        </w:rPr>
      </w:pPr>
      <w:r w:rsidRPr="2A9888F1">
        <w:rPr>
          <w:rFonts w:eastAsia="Times New Roman" w:cs="Arial"/>
          <w:lang w:val="es-ES" w:eastAsia="es-CO"/>
        </w:rPr>
        <w:t>Desde una perspectiva de sostenibilidad, es importante que el post cierre se alinee con objetivos de largo plazo como la recuperación de servicios ecosistémicos, la protección de cuencas hidrográficas y la reconversión productiva de las comunidades. El uso de tecnologías limpias, bioingeniería y monitoreo remoto puede mejorar significativamente los resultados de esta fase. También, los empresarios del sector deben considerar que los sitios de cierres mineros y post cierre pueden destinarse a proyectos sostenibles, promoviendo la transición hacia energías limpias, agroindustria y, en algunos casos, contribuyendo a la producción de biocombustibles. Además, una correcta implementación del post cierre fortalece la legitimidad del sector minero frente a la sociedad. </w:t>
      </w:r>
    </w:p>
    <w:p w:rsidR="00E14D8C" w:rsidP="00B454B7" w:rsidRDefault="1A652623" w14:paraId="4961AE28" w14:textId="49CBF75B">
      <w:pPr>
        <w:jc w:val="both"/>
        <w:rPr>
          <w:rFonts w:eastAsia="Times New Roman" w:cs="Arial"/>
          <w:lang w:eastAsia="es-CO"/>
        </w:rPr>
      </w:pPr>
      <w:r w:rsidRPr="00E14D8C" w:rsidR="1A652623">
        <w:rPr>
          <w:rFonts w:eastAsia="Times New Roman" w:cs="Arial"/>
          <w:lang w:val="es-ES" w:eastAsia="es-CO"/>
        </w:rPr>
        <w:t xml:space="preserve">La Resolución 1468 de 2021 del </w:t>
      </w:r>
      <w:proofErr w:type="spellStart"/>
      <w:r w:rsidRPr="00E14D8C" w:rsidR="1A652623">
        <w:rPr>
          <w:rFonts w:eastAsia="Times New Roman" w:cs="Arial"/>
          <w:lang w:val="es-ES" w:eastAsia="es-CO"/>
        </w:rPr>
        <w:t>MinAmbiente</w:t>
      </w:r>
      <w:proofErr w:type="spellEnd"/>
      <w:r w:rsidRPr="00E14D8C" w:rsidR="1A652623">
        <w:rPr>
          <w:rFonts w:eastAsia="Times New Roman" w:cs="Arial"/>
          <w:lang w:val="es-ES" w:eastAsia="es-CO"/>
        </w:rPr>
        <w:t xml:space="preserve"> introduce lineamientos técnicos que se alinean con el concepto de </w:t>
      </w:r>
      <w:r w:rsidR="70A6EE14">
        <w:rPr>
          <w:rFonts w:eastAsia="Times New Roman" w:cs="Arial"/>
          <w:lang w:val="es-ES" w:eastAsia="es-CO"/>
        </w:rPr>
        <w:t>post cierre</w:t>
      </w:r>
      <w:r w:rsidRPr="00E14D8C" w:rsidR="1A652623">
        <w:rPr>
          <w:rFonts w:eastAsia="Times New Roman" w:cs="Arial"/>
          <w:lang w:val="es-ES" w:eastAsia="es-CO"/>
        </w:rPr>
        <w:t xml:space="preserve">, en virtud de la </w:t>
      </w:r>
      <w:r w:rsidR="4127086C">
        <w:rPr>
          <w:rFonts w:eastAsia="Times New Roman" w:cs="Arial"/>
          <w:lang w:val="es-ES" w:eastAsia="es-CO"/>
        </w:rPr>
        <w:t>L</w:t>
      </w:r>
      <w:r w:rsidRPr="00E14D8C" w:rsidR="1A652623">
        <w:rPr>
          <w:rFonts w:eastAsia="Times New Roman" w:cs="Arial"/>
          <w:lang w:val="es-ES" w:eastAsia="es-CO"/>
        </w:rPr>
        <w:t>ey 1930 de 2018</w:t>
      </w:r>
      <w:r w:rsidR="008653A3">
        <w:rPr>
          <w:rStyle w:val="FootnoteReference"/>
          <w:rFonts w:eastAsia="Times New Roman" w:cs="Arial"/>
          <w:lang w:val="es-ES" w:eastAsia="es-CO"/>
        </w:rPr>
        <w:footnoteReference w:id="76"/>
      </w:r>
      <w:r w:rsidRPr="00E14D8C" w:rsidR="1A652623">
        <w:rPr>
          <w:rFonts w:eastAsia="Times New Roman" w:cs="Arial"/>
          <w:lang w:val="es-ES" w:eastAsia="es-CO"/>
        </w:rPr>
        <w:t xml:space="preserve">. Incluye el monitoreo de la calidad del aire, el agua y el suelo, así como la evaluación de la estabilidad física y química del terreno. También contempla la participación comunitaria y el análisis de vulnerabilidades asociadas al cambio climático. Aunque esta resolución no reglamenta directamente el </w:t>
      </w:r>
      <w:r w:rsidR="70A6EE14">
        <w:rPr>
          <w:rFonts w:eastAsia="Times New Roman" w:cs="Arial"/>
          <w:lang w:val="es-ES" w:eastAsia="es-CO"/>
        </w:rPr>
        <w:t>post cierre</w:t>
      </w:r>
      <w:r w:rsidRPr="00E14D8C" w:rsidR="1A652623">
        <w:rPr>
          <w:rFonts w:eastAsia="Times New Roman" w:cs="Arial"/>
          <w:lang w:val="es-ES" w:eastAsia="es-CO"/>
        </w:rPr>
        <w:t xml:space="preserve">, provee las bases para su implementación en proyectos de explotación minera en relación con los </w:t>
      </w:r>
      <w:r w:rsidR="3631248C">
        <w:rPr>
          <w:rFonts w:eastAsia="Times New Roman" w:cs="Arial"/>
          <w:lang w:val="es-ES" w:eastAsia="es-CO"/>
        </w:rPr>
        <w:t>p</w:t>
      </w:r>
      <w:r w:rsidRPr="00E14D8C" w:rsidR="1A652623">
        <w:rPr>
          <w:rFonts w:eastAsia="Times New Roman" w:cs="Arial"/>
          <w:lang w:val="es-ES" w:eastAsia="es-CO"/>
        </w:rPr>
        <w:t>áramos.</w:t>
      </w:r>
      <w:r w:rsidRPr="00E14D8C" w:rsidR="1A652623">
        <w:rPr>
          <w:rFonts w:eastAsia="Times New Roman" w:cs="Arial"/>
          <w:lang w:eastAsia="es-CO"/>
        </w:rPr>
        <w:t> </w:t>
      </w:r>
    </w:p>
    <w:p w:rsidRPr="00E14D8C" w:rsidR="00E14D8C" w:rsidP="00E14D8C" w:rsidRDefault="44343407" w14:paraId="152276A6" w14:textId="727B5311">
      <w:pPr>
        <w:jc w:val="both"/>
        <w:rPr>
          <w:rFonts w:eastAsia="Times New Roman" w:cs="Arial"/>
          <w:lang w:eastAsia="es-CO"/>
        </w:rPr>
      </w:pPr>
      <w:r w:rsidRPr="2A9888F1">
        <w:rPr>
          <w:rFonts w:eastAsia="Times New Roman" w:cs="Arial"/>
          <w:lang w:val="es-ES" w:eastAsia="es-CO"/>
        </w:rPr>
        <w:t xml:space="preserve">Otro aspecto clave para fortalecer el </w:t>
      </w:r>
      <w:r w:rsidRPr="2A9888F1" w:rsidR="6E6ACD44">
        <w:rPr>
          <w:rFonts w:eastAsia="Times New Roman" w:cs="Arial"/>
          <w:lang w:val="es-ES" w:eastAsia="es-CO"/>
        </w:rPr>
        <w:t>post cierre</w:t>
      </w:r>
      <w:r w:rsidRPr="2A9888F1">
        <w:rPr>
          <w:rFonts w:eastAsia="Times New Roman" w:cs="Arial"/>
          <w:lang w:val="es-ES" w:eastAsia="es-CO"/>
        </w:rPr>
        <w:t xml:space="preserve"> es el desarrollo de herramientas institucionales para la vigilancia y control. Las autoridades competentes, como la ANM, ANLA y las CAR, requieren mayor capacidad técnica y financiera para verificar el cumplimiento de las obligaciones </w:t>
      </w:r>
      <w:r w:rsidRPr="2A9888F1" w:rsidR="6E6ACD44">
        <w:rPr>
          <w:rFonts w:eastAsia="Times New Roman" w:cs="Arial"/>
          <w:lang w:val="es-ES" w:eastAsia="es-CO"/>
        </w:rPr>
        <w:t>post cierre</w:t>
      </w:r>
      <w:r w:rsidRPr="2A9888F1">
        <w:rPr>
          <w:rFonts w:eastAsia="Times New Roman" w:cs="Arial"/>
          <w:lang w:val="es-ES" w:eastAsia="es-CO"/>
        </w:rPr>
        <w:t>, así como la apropiación de instrumentos tecnológicos. Además, se deben generar metodologías estandarizadas para evaluar el desempeño ambiental y social de los sitios mineros cerrados.</w:t>
      </w:r>
      <w:r w:rsidRPr="2A9888F1">
        <w:rPr>
          <w:rFonts w:eastAsia="Times New Roman" w:cs="Arial"/>
          <w:lang w:eastAsia="es-CO"/>
        </w:rPr>
        <w:t> </w:t>
      </w:r>
    </w:p>
    <w:p w:rsidR="0050456C" w:rsidP="0050456C" w:rsidRDefault="7372B7E7" w14:paraId="568B70EA" w14:textId="77777777">
      <w:pPr>
        <w:pStyle w:val="ListParagraph"/>
        <w:jc w:val="both"/>
        <w:rPr>
          <w:rFonts w:eastAsia="Times New Roman" w:cs="Arial"/>
          <w:lang w:eastAsia="es-CO"/>
        </w:rPr>
      </w:pPr>
      <w:r w:rsidRPr="2A9888F1">
        <w:rPr>
          <w:rFonts w:eastAsia="Times New Roman" w:cs="Arial"/>
          <w:lang w:eastAsia="es-CO"/>
        </w:rPr>
        <w:t>Del cierre y post cierre minero existen algunos vacíos que deben ser atendidos desde el sector:</w:t>
      </w:r>
    </w:p>
    <w:p w:rsidR="0050456C" w:rsidP="0050456C" w:rsidRDefault="0050456C" w14:paraId="0F8770F8" w14:textId="77777777">
      <w:pPr>
        <w:pStyle w:val="ListParagraph"/>
        <w:jc w:val="both"/>
        <w:rPr>
          <w:rFonts w:eastAsia="Times New Roman" w:cs="Arial"/>
          <w:lang w:eastAsia="es-CO"/>
        </w:rPr>
      </w:pPr>
    </w:p>
    <w:p w:rsidR="00E9680A" w:rsidP="001C54B2" w:rsidRDefault="464DC1F8" w14:paraId="7C8A4205" w14:textId="7EC7EAE6">
      <w:pPr>
        <w:pStyle w:val="ListParagraph"/>
        <w:numPr>
          <w:ilvl w:val="0"/>
          <w:numId w:val="21"/>
        </w:numPr>
        <w:jc w:val="both"/>
        <w:rPr>
          <w:rFonts w:eastAsia="Times New Roman" w:cs="Arial"/>
          <w:lang w:eastAsia="es-CO"/>
        </w:rPr>
      </w:pPr>
      <w:r w:rsidRPr="2A9888F1">
        <w:rPr>
          <w:rFonts w:eastAsia="Times New Roman" w:cs="Arial"/>
          <w:lang w:val="es-ES" w:eastAsia="es-CO"/>
        </w:rPr>
        <w:t>Actualmente no existe una reglamentación específica que detalle el proceso de cierre minero o minero-ambiental, incluyendo los recursos financieros requeridos para esta fase.</w:t>
      </w:r>
      <w:r w:rsidRPr="2A9888F1">
        <w:rPr>
          <w:rFonts w:eastAsia="Times New Roman" w:cs="Arial"/>
          <w:lang w:eastAsia="es-CO"/>
        </w:rPr>
        <w:t> </w:t>
      </w:r>
    </w:p>
    <w:p w:rsidR="0050456C" w:rsidP="0050456C" w:rsidRDefault="0050456C" w14:paraId="2498CEBE" w14:textId="77777777">
      <w:pPr>
        <w:pStyle w:val="ListParagraph"/>
        <w:jc w:val="both"/>
        <w:rPr>
          <w:rFonts w:eastAsia="Times New Roman" w:cs="Arial"/>
          <w:lang w:eastAsia="es-CO"/>
        </w:rPr>
      </w:pPr>
    </w:p>
    <w:p w:rsidRPr="0050456C" w:rsidR="00215308" w:rsidP="001C54B2" w:rsidRDefault="464DC1F8" w14:paraId="550300DA" w14:textId="77777777">
      <w:pPr>
        <w:pStyle w:val="ListParagraph"/>
        <w:numPr>
          <w:ilvl w:val="0"/>
          <w:numId w:val="21"/>
        </w:numPr>
        <w:jc w:val="both"/>
        <w:rPr>
          <w:rFonts w:eastAsia="Times New Roman" w:cs="Arial"/>
          <w:lang w:eastAsia="es-CO"/>
        </w:rPr>
      </w:pPr>
      <w:r w:rsidRPr="2A9888F1">
        <w:rPr>
          <w:rFonts w:eastAsia="Times New Roman" w:cs="Arial"/>
          <w:lang w:val="es-ES" w:eastAsia="es-CO"/>
        </w:rPr>
        <w:t xml:space="preserve">Aunque existen disposiciones ambientales relacionadas con el cierre minero, persisten vacíos normativos frente a componentes físicos, bióticos, sociales y económicos. Esto limita la capacidad de las autoridades mineras y ambientales para tomar decisiones integrales. </w:t>
      </w:r>
    </w:p>
    <w:p w:rsidRPr="00215308" w:rsidR="0050456C" w:rsidP="0050456C" w:rsidRDefault="0050456C" w14:paraId="58FF3CDF" w14:textId="77777777">
      <w:pPr>
        <w:pStyle w:val="ListParagraph"/>
        <w:jc w:val="both"/>
        <w:rPr>
          <w:rFonts w:eastAsia="Times New Roman" w:cs="Arial"/>
          <w:lang w:eastAsia="es-CO"/>
        </w:rPr>
      </w:pPr>
    </w:p>
    <w:p w:rsidRPr="0050456C" w:rsidR="00E9680A" w:rsidP="001C54B2" w:rsidRDefault="2085BE21" w14:paraId="2B34D6C7" w14:textId="549C96EC">
      <w:pPr>
        <w:pStyle w:val="ListParagraph"/>
        <w:numPr>
          <w:ilvl w:val="0"/>
          <w:numId w:val="21"/>
        </w:numPr>
        <w:jc w:val="both"/>
        <w:rPr>
          <w:rFonts w:eastAsia="Times New Roman" w:cs="Arial"/>
          <w:lang w:eastAsia="es-CO"/>
        </w:rPr>
      </w:pPr>
      <w:r w:rsidRPr="2A9888F1">
        <w:rPr>
          <w:rFonts w:eastAsia="Times New Roman" w:cs="Arial"/>
          <w:lang w:val="es-ES" w:eastAsia="es-CO"/>
        </w:rPr>
        <w:t>S</w:t>
      </w:r>
      <w:r w:rsidRPr="2A9888F1" w:rsidR="464DC1F8">
        <w:rPr>
          <w:rFonts w:eastAsia="Times New Roman" w:cs="Arial"/>
          <w:lang w:val="es-ES" w:eastAsia="es-CO"/>
        </w:rPr>
        <w:t>e requiere una coordinación efectiva entre los sectores minero y ambiental, toda vez que el cierre de minas involucra múltiples dimensiones que deben abordarse de manera articulada, conforme lo establece el artículo 24 de la Ley 1753 de 2015, aún pendiente de reglamentación y el Ministerio de Minas y Energía como cabeza del sector se encuentra en su proyección</w:t>
      </w:r>
      <w:r w:rsidRPr="2A9888F1">
        <w:rPr>
          <w:rFonts w:eastAsia="Times New Roman" w:cs="Arial"/>
          <w:lang w:val="es-ES" w:eastAsia="es-CO"/>
        </w:rPr>
        <w:t>.</w:t>
      </w:r>
    </w:p>
    <w:p w:rsidRPr="00A73E87" w:rsidR="0050456C" w:rsidP="0050456C" w:rsidRDefault="0050456C" w14:paraId="6D2DC836" w14:textId="77777777">
      <w:pPr>
        <w:pStyle w:val="ListParagraph"/>
        <w:jc w:val="both"/>
        <w:rPr>
          <w:rFonts w:eastAsia="Times New Roman" w:cs="Arial"/>
          <w:lang w:eastAsia="es-CO"/>
        </w:rPr>
      </w:pPr>
    </w:p>
    <w:p w:rsidRPr="00A73E87" w:rsidR="00A73E87" w:rsidP="001C54B2" w:rsidRDefault="14B30FE9" w14:paraId="186A8458" w14:textId="2F7591AC">
      <w:pPr>
        <w:pStyle w:val="ListParagraph"/>
        <w:numPr>
          <w:ilvl w:val="0"/>
          <w:numId w:val="21"/>
        </w:numPr>
        <w:jc w:val="both"/>
        <w:rPr>
          <w:rFonts w:eastAsia="Times New Roman" w:cs="Arial"/>
          <w:lang w:eastAsia="es-CO"/>
        </w:rPr>
      </w:pPr>
      <w:r w:rsidRPr="2A9888F1">
        <w:rPr>
          <w:rFonts w:eastAsia="Times New Roman" w:cs="Arial"/>
          <w:lang w:val="es-ES" w:eastAsia="es-CO"/>
        </w:rPr>
        <w:t>Ausencia de una reglamentación específica que defina alcance, responsables y mecanismos de financiación del post cierre minero.</w:t>
      </w:r>
    </w:p>
    <w:p w:rsidRPr="00E14D8C" w:rsidR="00C443D6" w:rsidP="001D0EA8" w:rsidRDefault="00C443D6" w14:paraId="19E02C79" w14:textId="77777777">
      <w:pPr>
        <w:jc w:val="both"/>
        <w:rPr>
          <w:rFonts w:eastAsia="Arial Nova"/>
        </w:rPr>
      </w:pPr>
    </w:p>
    <w:p w:rsidR="00C443D6" w:rsidRDefault="2924EFE2" w14:paraId="4816CC1D" w14:textId="57B0E4B1">
      <w:pPr>
        <w:pStyle w:val="Heading2"/>
        <w:numPr>
          <w:ilvl w:val="0"/>
          <w:numId w:val="9"/>
        </w:numPr>
        <w:ind w:left="0" w:firstLine="0"/>
      </w:pPr>
      <w:bookmarkStart w:name="_Toc135903130" w:id="786"/>
      <w:bookmarkStart w:name="_Toc199511977" w:id="787"/>
      <w:bookmarkStart w:name="_Toc950443165" w:id="788"/>
      <w:bookmarkStart w:name="_Toc2097198043" w:id="789"/>
      <w:bookmarkStart w:name="_Toc1687880569" w:id="790"/>
      <w:bookmarkStart w:name="_Toc841117379" w:id="791"/>
      <w:bookmarkStart w:name="_Toc451787802" w:id="792"/>
      <w:bookmarkStart w:name="_Toc271993904" w:id="793"/>
      <w:bookmarkStart w:name="_Toc1913573858" w:id="794"/>
      <w:bookmarkStart w:name="_Toc288086162" w:id="795"/>
      <w:bookmarkStart w:name="_Toc642017451" w:id="796"/>
      <w:bookmarkStart w:name="_Toc2051613680" w:id="797"/>
      <w:bookmarkStart w:name="_Toc464188274" w:id="798"/>
      <w:bookmarkStart w:name="_Toc1157354841" w:id="799"/>
      <w:bookmarkStart w:name="_Toc1518531833" w:id="800"/>
      <w:bookmarkStart w:name="_Toc746407237" w:id="801"/>
      <w:bookmarkStart w:name="_Toc1338601172" w:id="802"/>
      <w:bookmarkStart w:name="_Toc2058222860" w:id="803"/>
      <w:bookmarkStart w:name="_Toc738699375" w:id="804"/>
      <w:bookmarkStart w:name="_Toc2033026423" w:id="805"/>
      <w:bookmarkStart w:name="_Toc603135808" w:id="806"/>
      <w:bookmarkStart w:name="_Toc1936849846" w:id="807"/>
      <w:bookmarkStart w:name="_Toc359074430" w:id="808"/>
      <w:bookmarkStart w:name="_Toc134728418" w:id="809"/>
      <w:bookmarkStart w:name="_Toc1327340965" w:id="810"/>
      <w:bookmarkStart w:name="_Toc2081334530" w:id="811"/>
      <w:bookmarkStart w:name="_Toc794886648" w:id="812"/>
      <w:bookmarkStart w:name="_Toc328990087" w:id="813"/>
      <w:bookmarkStart w:name="_Toc210292985" w:id="814"/>
      <w:bookmarkStart w:name="_Hlk199240957" w:id="815"/>
      <w:r w:rsidRPr="2A9888F1">
        <w:rPr>
          <w:color w:val="auto"/>
        </w:rPr>
        <w:t>Explotación no autorizada y explotación ilícita de minerales</w:t>
      </w:r>
      <w:r>
        <w:t>.</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r>
        <w:t xml:space="preserve"> </w:t>
      </w:r>
    </w:p>
    <w:bookmarkEnd w:id="815"/>
    <w:p w:rsidR="00C443D6" w:rsidP="00C443D6" w:rsidRDefault="00C443D6" w14:paraId="2DA14A2E" w14:textId="77777777"/>
    <w:p w:rsidR="00D14580" w:rsidP="00D14580" w:rsidRDefault="6C3E796C" w14:paraId="46E30031" w14:textId="5BD0FC41">
      <w:pPr>
        <w:jc w:val="both"/>
        <w:rPr>
          <w:lang w:val="es-MX"/>
        </w:rPr>
      </w:pPr>
      <w:r w:rsidRPr="2A9888F1">
        <w:rPr>
          <w:lang w:val="es-ES"/>
        </w:rPr>
        <w:t>La explotación ilícita de minerales en Colombia representa un desafío complejo por su asociación directa con la consolidación de matrices económicas ilegalizadas vinculadas a estructuras criminales</w:t>
      </w:r>
      <w:r w:rsidRPr="2A9888F1" w:rsidR="59953CED">
        <w:rPr>
          <w:lang w:val="es-ES"/>
        </w:rPr>
        <w:t>. De esta situación se</w:t>
      </w:r>
      <w:r w:rsidRPr="2A9888F1">
        <w:rPr>
          <w:lang w:val="es-ES"/>
        </w:rPr>
        <w:t xml:space="preserve"> derivan impactos territoriales y ambientales, configurándose en un dinamizador permanente de conflictos en los que se tensionan de manera simultánea modos de vida, sistemas de producción, estructuras políticas y comunitarias, así como la afectación a ecosistemas estratégicos y áreas protegidas. </w:t>
      </w:r>
    </w:p>
    <w:p w:rsidRPr="00D14580" w:rsidR="00D14580" w:rsidP="00D14580" w:rsidRDefault="6C3E796C" w14:paraId="3EBCD0CB" w14:textId="690B4984">
      <w:pPr>
        <w:jc w:val="both"/>
        <w:rPr>
          <w:rStyle w:val="normaltextrun"/>
          <w:rFonts w:cs="Arial"/>
        </w:rPr>
      </w:pPr>
      <w:r w:rsidRPr="2A9888F1">
        <w:rPr>
          <w:rStyle w:val="normaltextrun"/>
          <w:rFonts w:cs="Arial"/>
        </w:rPr>
        <w:t>La complejidad propia de este fenómeno implica superar el énfasis analítico y de política pública en la interdicción penal, incorporando una perspectiva diferencial que considere a los sujetos vinculados a esta actividad de manera ancestral y tradicional</w:t>
      </w:r>
      <w:r w:rsidRPr="2A9888F1" w:rsidR="0C586469">
        <w:rPr>
          <w:rStyle w:val="normaltextrun"/>
          <w:rFonts w:cs="Arial"/>
        </w:rPr>
        <w:t>. E</w:t>
      </w:r>
      <w:r w:rsidRPr="2A9888F1">
        <w:rPr>
          <w:rStyle w:val="normaltextrun"/>
          <w:rFonts w:cs="Arial"/>
        </w:rPr>
        <w:t xml:space="preserve">sto es, aquellos individuos y comunidades que ejercen la minería como alternativa para la generación de ingresos en articulación con formas de economía campesina y comunitaria, especialmente en aquellos territorios donde se encuentra una menor presencia institucional, una deficiente gestión ambiental y del ordenamiento territorial,  altos índices de necesidades básicas insatisfechas, además de la ausencia de condiciones y capacidades que permitan la formalización y el acompañamiento técnico y tecnológico para el desarrollo de esta actividad. </w:t>
      </w:r>
    </w:p>
    <w:p w:rsidR="00D14580" w:rsidP="31226965" w:rsidRDefault="29953C7C" w14:paraId="1219DD2C" w14:textId="4B6B0601">
      <w:pPr>
        <w:jc w:val="both"/>
        <w:rPr>
          <w:rStyle w:val="normaltextrun"/>
          <w:rFonts w:cs="Arial"/>
        </w:rPr>
      </w:pPr>
      <w:r w:rsidRPr="2A9888F1">
        <w:rPr>
          <w:rStyle w:val="normaltextrun"/>
          <w:rFonts w:cs="Arial"/>
        </w:rPr>
        <w:t xml:space="preserve">La mencionada </w:t>
      </w:r>
      <w:proofErr w:type="spellStart"/>
      <w:r w:rsidRPr="2A9888F1">
        <w:rPr>
          <w:rStyle w:val="normaltextrun"/>
          <w:rFonts w:cs="Arial"/>
        </w:rPr>
        <w:t>diferencialidad</w:t>
      </w:r>
      <w:proofErr w:type="spellEnd"/>
      <w:r w:rsidRPr="2A9888F1">
        <w:rPr>
          <w:rStyle w:val="normaltextrun"/>
          <w:rFonts w:cs="Arial"/>
        </w:rPr>
        <w:t>, refiere a la distinción entre la minería ilícita, asociada al crimen organizado, y la minería no autorizada</w:t>
      </w:r>
      <w:r w:rsidRPr="2A9888F1" w:rsidR="38F2AF1B">
        <w:rPr>
          <w:rStyle w:val="normaltextrun"/>
          <w:rFonts w:cs="Arial"/>
        </w:rPr>
        <w:t>. Ésta última se entiende como</w:t>
      </w:r>
      <w:r w:rsidRPr="2A9888F1">
        <w:rPr>
          <w:rStyle w:val="normaltextrun"/>
          <w:rFonts w:cs="Arial"/>
        </w:rPr>
        <w:t xml:space="preserve"> aquella practicada por poblaciones vulnerables que no cuentan con título o licencia ambiental</w:t>
      </w:r>
      <w:r w:rsidRPr="2A9888F1" w:rsidR="38F2AF1B">
        <w:rPr>
          <w:rStyle w:val="normaltextrun"/>
          <w:rFonts w:cs="Arial"/>
        </w:rPr>
        <w:t>. Esta diferenciación evitaría</w:t>
      </w:r>
      <w:r w:rsidRPr="2A9888F1">
        <w:rPr>
          <w:rStyle w:val="normaltextrun"/>
          <w:rFonts w:cs="Arial"/>
        </w:rPr>
        <w:t xml:space="preserve"> respuestas uniformes que perpetúan la exclusión y </w:t>
      </w:r>
      <w:r w:rsidRPr="2A9888F1" w:rsidR="6A129E2E">
        <w:rPr>
          <w:rStyle w:val="normaltextrun"/>
          <w:rFonts w:cs="Arial"/>
        </w:rPr>
        <w:t>estigmatización, promoviendo</w:t>
      </w:r>
      <w:r w:rsidRPr="2A9888F1">
        <w:rPr>
          <w:rStyle w:val="normaltextrun"/>
          <w:rFonts w:cs="Arial"/>
        </w:rPr>
        <w:t>, por el contrario, alternativas integrales que prioricen su inclusión social y económica, además del ordenamiento territorial para la vida y la reconversión productiva para la transición energética. Es así como la diversificación productiva, la planificación socioambiental, la interoperabilidad y la articulación institucional entorno a la transformación de conflictos ocasionados por la explotación no autorizada e ilícita de minerales en las regiones donde se ha identificado un mayor impacto socioambiental, es un aspecto relevante dentro de la gestión institucional.</w:t>
      </w:r>
    </w:p>
    <w:p w:rsidRPr="00D14580" w:rsidR="00D14580" w:rsidP="00D14580" w:rsidRDefault="6C3E796C" w14:paraId="3F8A991F" w14:textId="1D68D205">
      <w:pPr>
        <w:jc w:val="both"/>
        <w:rPr>
          <w:rStyle w:val="normaltextrun"/>
          <w:rFonts w:cs="Arial"/>
        </w:rPr>
      </w:pPr>
      <w:r w:rsidRPr="2A9888F1">
        <w:rPr>
          <w:rStyle w:val="normaltextrun"/>
          <w:rFonts w:cs="Arial"/>
        </w:rPr>
        <w:t xml:space="preserve">Ahora bien, materializar este enfoque implica contar con mecanismos de prevención, monitoreo y fiscalización de los procesos de explotación y/o aprovechamiento de minerales. De manera más precisa, requiere de un esfuerzo institucional articulado y coordinado dirigido a conocer las características, causas y patrones de desarrollo del fenómeno de la explotación no autorizada e ilícita de minerales, así como de la cadena de valor minera en los territorios. </w:t>
      </w:r>
    </w:p>
    <w:p w:rsidR="00084845" w:rsidP="00D14580" w:rsidRDefault="6C3E796C" w14:paraId="2C620555" w14:textId="77777777">
      <w:pPr>
        <w:jc w:val="both"/>
        <w:rPr>
          <w:rStyle w:val="normaltextrun"/>
          <w:rFonts w:cs="Arial"/>
        </w:rPr>
      </w:pPr>
      <w:r w:rsidRPr="2A9888F1">
        <w:rPr>
          <w:rStyle w:val="normaltextrun"/>
          <w:rFonts w:cs="Arial"/>
        </w:rPr>
        <w:t xml:space="preserve">Es así que, el Viceministerio de Minas ha desarrollado proyectos para la prevención, seguimiento y apoyo al control de la explotación no autorizada e ilícita de minerales en el país, resaltando entre ellos los Convenios de Cooperación Internacional con la Oficina de las Naciones Unidas contra la Droga y el Delito (UNODC) desde el año 2017 y el convenio </w:t>
      </w:r>
      <w:proofErr w:type="spellStart"/>
      <w:r w:rsidRPr="2A9888F1">
        <w:rPr>
          <w:rStyle w:val="normaltextrun"/>
          <w:rFonts w:cs="Arial"/>
        </w:rPr>
        <w:t>N°</w:t>
      </w:r>
      <w:proofErr w:type="spellEnd"/>
      <w:r w:rsidRPr="2A9888F1">
        <w:rPr>
          <w:rStyle w:val="normaltextrun"/>
          <w:rFonts w:cs="Arial"/>
        </w:rPr>
        <w:t xml:space="preserve"> 549 de 2017 para </w:t>
      </w:r>
    </w:p>
    <w:p w:rsidR="00084845" w:rsidP="31226965" w:rsidRDefault="6C3E796C" w14:paraId="379CD26D" w14:textId="77777777">
      <w:pPr>
        <w:ind w:left="708"/>
        <w:jc w:val="both"/>
        <w:rPr>
          <w:rStyle w:val="normaltextrun"/>
          <w:rFonts w:cs="Arial"/>
        </w:rPr>
      </w:pPr>
      <w:r w:rsidRPr="2A9888F1">
        <w:rPr>
          <w:rStyle w:val="normaltextrun"/>
          <w:rFonts w:cs="Arial"/>
        </w:rPr>
        <w:t xml:space="preserve">“aunar esfuerzos institucionales, técnicos, tecnológicos, humanos y logísticos, entre la Fiscalía, la ANM y el Ministerio, con el propósito de facilitar el acceso a las herramientas informáticas y bases de datos de la ANM y del Ministerio, que sean necesarias para apoyar la actividad misional de la Fiscalía proporcionando y/o permitiendo el acceso más eficiente posible a la información que administra la ANM y el Ministerio referente a temas mineros y de hidrocarburos”. </w:t>
      </w:r>
    </w:p>
    <w:p w:rsidR="00C443D6" w:rsidP="00D14580" w:rsidRDefault="6C3E796C" w14:paraId="6A75DEED" w14:textId="5EC145BA">
      <w:pPr>
        <w:jc w:val="both"/>
        <w:rPr>
          <w:rStyle w:val="normaltextrun"/>
          <w:rFonts w:cs="Arial"/>
        </w:rPr>
      </w:pPr>
      <w:r w:rsidRPr="2A9888F1">
        <w:rPr>
          <w:rStyle w:val="normaltextrun"/>
          <w:rFonts w:cs="Arial"/>
        </w:rPr>
        <w:t xml:space="preserve">Estos convenios han permitido identificar información relevante sobre los territorios, actores y variables que configuran este fenómeno, aportando insumos actualizados para la construcción de política pública del sector.  </w:t>
      </w:r>
    </w:p>
    <w:p w:rsidRPr="00D14580" w:rsidR="00D14580" w:rsidP="00D14580" w:rsidRDefault="6C3E796C" w14:paraId="75C31617" w14:textId="67E12142">
      <w:pPr>
        <w:jc w:val="both"/>
        <w:rPr>
          <w:rStyle w:val="normaltextrun"/>
          <w:rFonts w:cs="Arial"/>
        </w:rPr>
      </w:pPr>
      <w:r w:rsidRPr="2A9888F1">
        <w:rPr>
          <w:rStyle w:val="normaltextrun"/>
          <w:rFonts w:cs="Arial"/>
        </w:rPr>
        <w:t xml:space="preserve">En el marco de la alianza entre </w:t>
      </w:r>
      <w:proofErr w:type="spellStart"/>
      <w:r w:rsidRPr="2A9888F1" w:rsidR="30BD8A50">
        <w:rPr>
          <w:rStyle w:val="normaltextrun"/>
          <w:rFonts w:cs="Arial"/>
        </w:rPr>
        <w:t>Minenergía</w:t>
      </w:r>
      <w:proofErr w:type="spellEnd"/>
      <w:r w:rsidRPr="2A9888F1">
        <w:rPr>
          <w:rStyle w:val="normaltextrun"/>
          <w:rFonts w:cs="Arial"/>
        </w:rPr>
        <w:t xml:space="preserve"> y la UNODC, se diseñó un modelo para la detección de evidencias de explotación de oro de aluvión (EVOA), el cual se configura como la línea base geográfica de la explotación no autorizada e ilícita con uso de maquinaria en tierra para el territorio nacional. En consecuencia, se cuenta con información espacial con enfoque territorial que soporta el análisis de diferentes dimensiones de la explotación de oro autorizada, no autorizada y en procesos de formalización contribuyendo con la investigación e intervención en los territorios. </w:t>
      </w:r>
    </w:p>
    <w:p w:rsidRPr="00D14580" w:rsidR="00D14580" w:rsidP="00D14580" w:rsidRDefault="6C3E796C" w14:paraId="583354FC" w14:textId="4AA183EC">
      <w:pPr>
        <w:jc w:val="both"/>
        <w:rPr>
          <w:rStyle w:val="normaltextrun"/>
          <w:rFonts w:cs="Arial"/>
        </w:rPr>
      </w:pPr>
      <w:r w:rsidRPr="2A9888F1">
        <w:rPr>
          <w:rStyle w:val="normaltextrun"/>
          <w:rFonts w:cs="Arial"/>
        </w:rPr>
        <w:t xml:space="preserve">La identificación de EVOA, se realiza por medio del sistema de monitoreo SIMCI (UNODC), mediante el uso de imágenes satelitales, de sensores remotos y la aplicación de una clave de interpretación, que permite detectar alteraciones del paisaje en terrenos aluviales con potencial mineral en oro, la cual es cruzada con fuentes de información secundaria. Lo anterior permite describir el fenómeno </w:t>
      </w:r>
      <w:r w:rsidRPr="2A9888F1" w:rsidR="054023D5">
        <w:rPr>
          <w:rStyle w:val="normaltextrun"/>
          <w:rFonts w:cs="Arial"/>
        </w:rPr>
        <w:t>a través</w:t>
      </w:r>
      <w:r w:rsidRPr="2A9888F1">
        <w:rPr>
          <w:rStyle w:val="normaltextrun"/>
          <w:rFonts w:cs="Arial"/>
        </w:rPr>
        <w:t xml:space="preserve"> de tres pilares que articulan la detección de la activida</w:t>
      </w:r>
      <w:r w:rsidRPr="2A9888F1" w:rsidR="054023D5">
        <w:rPr>
          <w:rStyle w:val="normaltextrun"/>
          <w:rFonts w:cs="Arial"/>
        </w:rPr>
        <w:t>d</w:t>
      </w:r>
      <w:r w:rsidRPr="2A9888F1">
        <w:rPr>
          <w:rStyle w:val="normaltextrun"/>
          <w:rFonts w:cs="Arial"/>
        </w:rPr>
        <w:t>, información sobre su legalidad y su relación con zonas ambientalmente protegidas o de manejo especial.</w:t>
      </w:r>
    </w:p>
    <w:p w:rsidRPr="00D14580" w:rsidR="00D14580" w:rsidP="00D14580" w:rsidRDefault="6C3E796C" w14:paraId="44501F4A" w14:textId="77777777">
      <w:pPr>
        <w:jc w:val="both"/>
        <w:rPr>
          <w:rStyle w:val="normaltextrun"/>
          <w:rFonts w:cs="Arial"/>
        </w:rPr>
      </w:pPr>
      <w:r w:rsidRPr="2A9888F1">
        <w:rPr>
          <w:rStyle w:val="normaltextrun"/>
          <w:rFonts w:cs="Arial"/>
        </w:rPr>
        <w:t xml:space="preserve">El primer pilar se enfoca en la detección de EVOA mediante herramientas de percepción remota, haciendo uso de dos metodologías: i) EVOA en tierra, con uso de maquinaria pesada (maquinaria amarilla o retroexcavadoras), lo que permite calcular las hectáreas de las evidencias en el paisaje que deja la actividad minera; y </w:t>
      </w:r>
      <w:proofErr w:type="spellStart"/>
      <w:r w:rsidRPr="2A9888F1">
        <w:rPr>
          <w:rStyle w:val="normaltextrun"/>
          <w:rFonts w:cs="Arial"/>
        </w:rPr>
        <w:t>ii</w:t>
      </w:r>
      <w:proofErr w:type="spellEnd"/>
      <w:r w:rsidRPr="2A9888F1">
        <w:rPr>
          <w:rStyle w:val="normaltextrun"/>
          <w:rFonts w:cs="Arial"/>
        </w:rPr>
        <w:t xml:space="preserve">) EVOA en agua, con uso de maquinaria como barcazas, dragas o bombas, obteniendo como resultado para este caso una capa de alertas por densidad de EVOA en 12 ríos de la Amazonia y Orinoquía colombiana (ríos: Negro, </w:t>
      </w:r>
      <w:proofErr w:type="spellStart"/>
      <w:r w:rsidRPr="2A9888F1">
        <w:rPr>
          <w:rStyle w:val="normaltextrun"/>
          <w:rFonts w:cs="Arial"/>
        </w:rPr>
        <w:t>Atabapo</w:t>
      </w:r>
      <w:proofErr w:type="spellEnd"/>
      <w:r w:rsidRPr="2A9888F1">
        <w:rPr>
          <w:rStyle w:val="normaltextrun"/>
          <w:rFonts w:cs="Arial"/>
        </w:rPr>
        <w:t xml:space="preserve">, Amazonas, </w:t>
      </w:r>
      <w:proofErr w:type="spellStart"/>
      <w:r w:rsidRPr="2A9888F1">
        <w:rPr>
          <w:rStyle w:val="normaltextrun"/>
          <w:rFonts w:cs="Arial"/>
        </w:rPr>
        <w:t>Cotuhé</w:t>
      </w:r>
      <w:proofErr w:type="spellEnd"/>
      <w:r w:rsidRPr="2A9888F1">
        <w:rPr>
          <w:rStyle w:val="normaltextrun"/>
          <w:rFonts w:cs="Arial"/>
        </w:rPr>
        <w:t xml:space="preserve">, Puré, </w:t>
      </w:r>
      <w:proofErr w:type="spellStart"/>
      <w:r w:rsidRPr="2A9888F1">
        <w:rPr>
          <w:rStyle w:val="normaltextrun"/>
          <w:rFonts w:cs="Arial"/>
        </w:rPr>
        <w:t>Yarí</w:t>
      </w:r>
      <w:proofErr w:type="spellEnd"/>
      <w:r w:rsidRPr="2A9888F1">
        <w:rPr>
          <w:rStyle w:val="normaltextrun"/>
          <w:rFonts w:cs="Arial"/>
        </w:rPr>
        <w:t>, Inírida, Apaporis, Caquetá, Putumayo, Vaupés y Guaviare).</w:t>
      </w:r>
    </w:p>
    <w:p w:rsidR="00D14580" w:rsidP="00D14580" w:rsidRDefault="6C3E796C" w14:paraId="6629912B" w14:textId="64F83796">
      <w:pPr>
        <w:jc w:val="both"/>
        <w:rPr>
          <w:rStyle w:val="normaltextrun"/>
          <w:rFonts w:cs="Arial"/>
        </w:rPr>
      </w:pPr>
      <w:r w:rsidRPr="2A9888F1">
        <w:rPr>
          <w:rStyle w:val="normaltextrun"/>
          <w:rFonts w:cs="Arial"/>
        </w:rPr>
        <w:t xml:space="preserve">El segundo pilar aborda el marco de legalidad de las EVOA, integrando información oficial sobre permisos técnicos y ambientales, solicitudes de legalización, propuestas de contrato y áreas de reserva especial. </w:t>
      </w:r>
      <w:r w:rsidRPr="2A9888F1" w:rsidR="054023D5">
        <w:rPr>
          <w:rStyle w:val="normaltextrun"/>
          <w:rFonts w:cs="Arial"/>
        </w:rPr>
        <w:t xml:space="preserve">Lo anterior </w:t>
      </w:r>
      <w:r w:rsidRPr="2A9888F1">
        <w:rPr>
          <w:rStyle w:val="normaltextrun"/>
          <w:rFonts w:cs="Arial"/>
        </w:rPr>
        <w:t xml:space="preserve">se organiza en tres categorías definidas por </w:t>
      </w:r>
      <w:proofErr w:type="spellStart"/>
      <w:r w:rsidRPr="2A9888F1" w:rsidR="054023D5">
        <w:rPr>
          <w:rStyle w:val="normaltextrun"/>
          <w:rFonts w:cs="Arial"/>
        </w:rPr>
        <w:t>MinEnergía</w:t>
      </w:r>
      <w:proofErr w:type="spellEnd"/>
      <w:r w:rsidRPr="2A9888F1">
        <w:rPr>
          <w:rStyle w:val="normaltextrun"/>
          <w:rFonts w:cs="Arial"/>
        </w:rPr>
        <w:t>: i) permisos técnicos y/o ambientales</w:t>
      </w:r>
      <w:r w:rsidRPr="2A9888F1" w:rsidR="054023D5">
        <w:rPr>
          <w:rStyle w:val="normaltextrun"/>
          <w:rFonts w:cs="Arial"/>
        </w:rPr>
        <w:t>,</w:t>
      </w:r>
      <w:r w:rsidRPr="2A9888F1">
        <w:rPr>
          <w:rStyle w:val="normaltextrun"/>
          <w:rFonts w:cs="Arial"/>
        </w:rPr>
        <w:t xml:space="preserve"> </w:t>
      </w:r>
      <w:proofErr w:type="spellStart"/>
      <w:r w:rsidRPr="2A9888F1">
        <w:rPr>
          <w:rStyle w:val="normaltextrun"/>
          <w:rFonts w:cs="Arial"/>
        </w:rPr>
        <w:t>ii</w:t>
      </w:r>
      <w:proofErr w:type="spellEnd"/>
      <w:r w:rsidRPr="2A9888F1">
        <w:rPr>
          <w:rStyle w:val="normaltextrun"/>
          <w:rFonts w:cs="Arial"/>
        </w:rPr>
        <w:t xml:space="preserve">) en tránsito a la legalidad y </w:t>
      </w:r>
      <w:proofErr w:type="spellStart"/>
      <w:r w:rsidRPr="2A9888F1">
        <w:rPr>
          <w:rStyle w:val="normaltextrun"/>
          <w:rFonts w:cs="Arial"/>
        </w:rPr>
        <w:t>iii</w:t>
      </w:r>
      <w:proofErr w:type="spellEnd"/>
      <w:r w:rsidRPr="2A9888F1">
        <w:rPr>
          <w:rStyle w:val="normaltextrun"/>
          <w:rFonts w:cs="Arial"/>
        </w:rPr>
        <w:t>) explotación ilícita o no autorizada.</w:t>
      </w:r>
    </w:p>
    <w:p w:rsidRPr="00D14580" w:rsidR="00D14580" w:rsidP="00D14580" w:rsidRDefault="6C3E796C" w14:paraId="00DAF046" w14:textId="3B638E31">
      <w:pPr>
        <w:jc w:val="both"/>
        <w:rPr>
          <w:rStyle w:val="normaltextrun"/>
          <w:rFonts w:cs="Arial"/>
        </w:rPr>
      </w:pPr>
      <w:r w:rsidRPr="2A9888F1">
        <w:rPr>
          <w:rStyle w:val="normaltextrun"/>
          <w:rFonts w:cs="Arial"/>
        </w:rPr>
        <w:t>El tercer pilar se centra en el marco normativo asociado a las determinantes ambientales, especialmente lo estipulado en la Ley 685 de 2001, que contempla zonas excluibles de minería, zonas libres de restricciones y zonas de minería restringida. Estos tres pilares constituyen la base metodológica del monitoreo y permiten orientar las acciones e intervenciones en los territorios</w:t>
      </w:r>
      <w:r w:rsidRPr="2A9888F1" w:rsidR="054023D5">
        <w:rPr>
          <w:rStyle w:val="normaltextrun"/>
          <w:rFonts w:cs="Arial"/>
        </w:rPr>
        <w:t>.</w:t>
      </w:r>
    </w:p>
    <w:p w:rsidR="00D14580" w:rsidP="00D14580" w:rsidRDefault="6C3E796C" w14:paraId="35880CB5" w14:textId="6A4070B7">
      <w:pPr>
        <w:jc w:val="both"/>
        <w:rPr>
          <w:rStyle w:val="normaltextrun"/>
          <w:rFonts w:cs="Arial"/>
        </w:rPr>
      </w:pPr>
      <w:r w:rsidRPr="2A9888F1">
        <w:rPr>
          <w:rStyle w:val="normaltextrun"/>
          <w:rFonts w:cs="Arial"/>
        </w:rPr>
        <w:t>A continuación, se presentan los resultados de este monitoreo para los años 2022-2023:</w:t>
      </w:r>
    </w:p>
    <w:p w:rsidRPr="00D14580" w:rsidR="00D14580" w:rsidP="00D14580" w:rsidRDefault="6C3E796C" w14:paraId="1DB7C962" w14:textId="77777777">
      <w:pPr>
        <w:jc w:val="both"/>
        <w:rPr>
          <w:rStyle w:val="normaltextrun"/>
          <w:rFonts w:cs="Arial"/>
          <w:b/>
          <w:bCs/>
        </w:rPr>
      </w:pPr>
      <w:r w:rsidRPr="2A9888F1">
        <w:rPr>
          <w:rStyle w:val="normaltextrun"/>
          <w:rFonts w:cs="Arial"/>
          <w:b/>
          <w:bCs/>
        </w:rPr>
        <w:t>EVOA 2022</w:t>
      </w:r>
    </w:p>
    <w:p w:rsidRPr="00D14580" w:rsidR="00D14580" w:rsidP="00D14580" w:rsidRDefault="6C3E796C" w14:paraId="00DF5383" w14:textId="041B2A79">
      <w:pPr>
        <w:jc w:val="both"/>
        <w:rPr>
          <w:rStyle w:val="normaltextrun"/>
          <w:rFonts w:cs="Arial"/>
        </w:rPr>
      </w:pPr>
      <w:r w:rsidRPr="2A9888F1">
        <w:rPr>
          <w:rStyle w:val="normaltextrun"/>
          <w:rFonts w:cs="Arial"/>
        </w:rPr>
        <w:t>En 2022, se detectaron 94.733 hectáreas con evidencia de explotación de oro de aluvión, de las cuales el 73% correspondía a explotación ilícita o no autorizada. Aunque hubo una reducción del 4% respecto a 2021, la categoría de explotación ilícita o no autorizada aumentó en cerca de 5.000 hectáreas, concentrándose principalmente en los departamentos de Chocó, Antioquia y Nariño.</w:t>
      </w:r>
      <w:r w:rsidRPr="2A9888F1" w:rsidR="054023D5">
        <w:rPr>
          <w:rStyle w:val="normaltextrun"/>
          <w:rFonts w:cs="Arial"/>
        </w:rPr>
        <w:t xml:space="preserve"> </w:t>
      </w:r>
      <w:r w:rsidRPr="2A9888F1">
        <w:rPr>
          <w:rStyle w:val="normaltextrun"/>
          <w:rFonts w:cs="Arial"/>
        </w:rPr>
        <w:t>Adicionalmente, Chocó fue el departamento con m</w:t>
      </w:r>
      <w:r w:rsidRPr="2A9888F1" w:rsidR="054023D5">
        <w:rPr>
          <w:rStyle w:val="normaltextrun"/>
          <w:rFonts w:cs="Arial"/>
        </w:rPr>
        <w:t>ás</w:t>
      </w:r>
      <w:r w:rsidRPr="2A9888F1">
        <w:rPr>
          <w:rStyle w:val="normaltextrun"/>
          <w:rFonts w:cs="Arial"/>
        </w:rPr>
        <w:t xml:space="preserve"> hectáreas de EVOA</w:t>
      </w:r>
      <w:r w:rsidRPr="2A9888F1" w:rsidR="054023D5">
        <w:rPr>
          <w:rStyle w:val="normaltextrun"/>
          <w:rFonts w:cs="Arial"/>
        </w:rPr>
        <w:t xml:space="preserve"> (</w:t>
      </w:r>
      <w:r w:rsidRPr="2A9888F1">
        <w:rPr>
          <w:rStyle w:val="normaltextrun"/>
          <w:rFonts w:cs="Arial"/>
        </w:rPr>
        <w:t>37.841</w:t>
      </w:r>
      <w:r w:rsidRPr="2A9888F1" w:rsidR="054023D5">
        <w:rPr>
          <w:rStyle w:val="normaltextrun"/>
          <w:rFonts w:cs="Arial"/>
        </w:rPr>
        <w:t>)</w:t>
      </w:r>
      <w:r w:rsidRPr="2A9888F1">
        <w:rPr>
          <w:rStyle w:val="normaltextrun"/>
          <w:rFonts w:cs="Arial"/>
        </w:rPr>
        <w:t>, de las cuales 33.938 corresponden a explotación ilícita o no autorizada, seguido por los departamentos de Antioquia y Bolívar. En total, 13 de los 32 departamentos presentaron EVOA en tierra.</w:t>
      </w:r>
    </w:p>
    <w:p w:rsidRPr="00D14580" w:rsidR="00D14580" w:rsidP="00D14580" w:rsidRDefault="6C3E796C" w14:paraId="129367FD" w14:textId="0A98D7C2">
      <w:pPr>
        <w:jc w:val="both"/>
        <w:rPr>
          <w:rStyle w:val="normaltextrun"/>
          <w:rFonts w:cs="Arial"/>
        </w:rPr>
      </w:pPr>
      <w:r w:rsidRPr="2A9888F1">
        <w:rPr>
          <w:rStyle w:val="normaltextrun"/>
          <w:rFonts w:cs="Arial"/>
        </w:rPr>
        <w:t>El monitoreo correspondiente a este año indica que el 52% de las EVOA en tierra se encuentran localizadas en territorios de manejo especial,</w:t>
      </w:r>
      <w:r w:rsidRPr="2A9888F1" w:rsidR="054023D5">
        <w:rPr>
          <w:rStyle w:val="normaltextrun"/>
          <w:rFonts w:cs="Arial"/>
        </w:rPr>
        <w:t xml:space="preserve"> y</w:t>
      </w:r>
      <w:r w:rsidRPr="2A9888F1">
        <w:rPr>
          <w:rStyle w:val="normaltextrun"/>
          <w:rFonts w:cs="Arial"/>
        </w:rPr>
        <w:t xml:space="preserve"> en el 44 % de dichos territorios se identificó la presencia de cultivos de coca durante el año 2021. Es así que, de los 101 municipios con presencia de estas evidencias para el periodo estudiado, 76 registraron siembras de cultivos de coca.</w:t>
      </w:r>
    </w:p>
    <w:p w:rsidRPr="00D14580" w:rsidR="00D14580" w:rsidP="00D14580" w:rsidRDefault="6C3E796C" w14:paraId="3C090C82" w14:textId="77777777">
      <w:pPr>
        <w:jc w:val="both"/>
        <w:rPr>
          <w:rStyle w:val="normaltextrun"/>
          <w:rFonts w:cs="Arial"/>
          <w:b/>
          <w:bCs/>
        </w:rPr>
      </w:pPr>
      <w:r w:rsidRPr="2A9888F1">
        <w:rPr>
          <w:rStyle w:val="normaltextrun"/>
          <w:rFonts w:cs="Arial"/>
          <w:b/>
          <w:bCs/>
        </w:rPr>
        <w:t>EVOA 2023</w:t>
      </w:r>
    </w:p>
    <w:p w:rsidRPr="00D14580" w:rsidR="00D14580" w:rsidP="00D14580" w:rsidRDefault="6C3E796C" w14:paraId="4231B407" w14:textId="77777777">
      <w:pPr>
        <w:jc w:val="both"/>
        <w:rPr>
          <w:rStyle w:val="normaltextrun"/>
          <w:rFonts w:cs="Arial"/>
        </w:rPr>
      </w:pPr>
      <w:r w:rsidRPr="2A9888F1">
        <w:rPr>
          <w:rStyle w:val="normaltextrun"/>
          <w:rFonts w:cs="Arial"/>
        </w:rPr>
        <w:t>En 2023 se reportó un incremento del 11% en la superficie de EVOA, alcanzando un total de 105.060 hectáreas. Esta cifra revierte la tendencia a la reducción observada en los años 2021 y 2022. El departamento de Antioquia registró la mayor extensión, con 41.119 hectáreas (39 % del total), seguido por Chocó con 40.109 hectáreas (38 %).</w:t>
      </w:r>
    </w:p>
    <w:p w:rsidRPr="003A20EE" w:rsidR="00D14580" w:rsidP="00D14580" w:rsidRDefault="6C3E796C" w14:paraId="70CCB9B5" w14:textId="783621D1">
      <w:pPr>
        <w:jc w:val="both"/>
        <w:rPr>
          <w:rStyle w:val="normaltextrun"/>
          <w:rFonts w:cs="Arial"/>
        </w:rPr>
      </w:pPr>
      <w:r w:rsidRPr="2A9888F1">
        <w:rPr>
          <w:rStyle w:val="normaltextrun"/>
          <w:rFonts w:cs="Arial"/>
        </w:rPr>
        <w:t>El 76%, del total de las EVOA se encontraron en la categoría de explotación ilícita o no autorizada (79.631 hectáreas). El 81% de las áreas de EVOA permanecieron estables respecto al año anterior, mientras que el 19% correspondió a nuevos puntos de explotación, ya sea por expansión de frentes existentes (15%) o por aparición de nuevos sitios (5%), como se representa en la siguiente ilustración.</w:t>
      </w:r>
    </w:p>
    <w:p w:rsidRPr="009605AB" w:rsidR="00C443D6" w:rsidP="00C443D6" w:rsidRDefault="124C04F4" w14:paraId="610C8495" w14:textId="41C57FC9">
      <w:pPr>
        <w:pStyle w:val="Caption"/>
      </w:pPr>
      <w:bookmarkStart w:name="_Toc136366268" w:id="816"/>
      <w:bookmarkStart w:name="_Toc210292717" w:id="817"/>
      <w:r>
        <w:t xml:space="preserve">Ilustración </w:t>
      </w:r>
      <w:r w:rsidR="00C443D6">
        <w:fldChar w:fldCharType="begin"/>
      </w:r>
      <w:r w:rsidR="00C443D6">
        <w:instrText>SEQ Ilustración \* ARABIC</w:instrText>
      </w:r>
      <w:r w:rsidR="00C443D6">
        <w:fldChar w:fldCharType="separate"/>
      </w:r>
      <w:r w:rsidRPr="2A9888F1" w:rsidR="07D48ED5">
        <w:rPr>
          <w:noProof/>
        </w:rPr>
        <w:t>18</w:t>
      </w:r>
      <w:r w:rsidR="00C443D6">
        <w:fldChar w:fldCharType="end"/>
      </w:r>
      <w:r>
        <w:t>. Resultados del Informe de “Evidencias de Explotación de oro de aluvión con uso de maquinaria en tierra – EVOA”</w:t>
      </w:r>
      <w:bookmarkEnd w:id="816"/>
      <w:bookmarkEnd w:id="817"/>
    </w:p>
    <w:p w:rsidRPr="0060512D" w:rsidR="00C443D6" w:rsidP="00C443D6" w:rsidRDefault="37F2F773" w14:paraId="38473766" w14:textId="0B73CCF3">
      <w:r>
        <w:rPr>
          <w:noProof/>
        </w:rPr>
        <w:drawing>
          <wp:inline distT="0" distB="0" distL="0" distR="0" wp14:anchorId="748A2A9D" wp14:editId="4B79B365">
            <wp:extent cx="5521960" cy="3076575"/>
            <wp:effectExtent l="0" t="0" r="2540" b="9525"/>
            <wp:docPr id="155985917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859170" name="Imagen 1559859170"/>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521960" cy="3076575"/>
                    </a:xfrm>
                    <a:prstGeom prst="rect">
                      <a:avLst/>
                    </a:prstGeom>
                  </pic:spPr>
                </pic:pic>
              </a:graphicData>
            </a:graphic>
          </wp:inline>
        </w:drawing>
      </w:r>
    </w:p>
    <w:p w:rsidRPr="00B475A6" w:rsidR="00C443D6" w:rsidP="00C443D6" w:rsidRDefault="124C04F4" w14:paraId="1F2513C8" w14:textId="26DBDE24">
      <w:pPr>
        <w:pStyle w:val="Caption"/>
        <w:rPr>
          <w:b w:val="0"/>
          <w:bCs w:val="0"/>
        </w:rPr>
      </w:pPr>
      <w:r w:rsidRPr="2A9888F1">
        <w:rPr>
          <w:rStyle w:val="eop"/>
          <w:rFonts w:cs="Arial"/>
          <w:b w:val="0"/>
          <w:bCs w:val="0"/>
        </w:rPr>
        <w:t xml:space="preserve">Fuente. </w:t>
      </w:r>
      <w:r>
        <w:rPr>
          <w:b w:val="0"/>
          <w:bCs w:val="0"/>
        </w:rPr>
        <w:t xml:space="preserve">Sistema de Acceso a la Información SAI-EVOA - </w:t>
      </w:r>
      <w:r w:rsidRPr="2A9888F1">
        <w:rPr>
          <w:rStyle w:val="eop"/>
          <w:rFonts w:cs="Arial"/>
          <w:b w:val="0"/>
          <w:bCs w:val="0"/>
        </w:rPr>
        <w:t xml:space="preserve">Equipo </w:t>
      </w:r>
      <w:r w:rsidRPr="2A9888F1">
        <w:rPr>
          <w:rStyle w:val="normaltextrun"/>
          <w:rFonts w:cs="Arial"/>
          <w:b w:val="0"/>
          <w:bCs w:val="0"/>
        </w:rPr>
        <w:t>evidencias de explotación de oro de aluvión (EVOA) -202</w:t>
      </w:r>
      <w:r w:rsidRPr="2A9888F1" w:rsidR="37F2F773">
        <w:rPr>
          <w:rStyle w:val="normaltextrun"/>
          <w:rFonts w:cs="Arial"/>
          <w:b w:val="0"/>
          <w:bCs w:val="0"/>
        </w:rPr>
        <w:t>3</w:t>
      </w:r>
      <w:r w:rsidRPr="2A9888F1">
        <w:rPr>
          <w:rStyle w:val="normaltextrun"/>
          <w:rFonts w:cs="Arial"/>
          <w:b w:val="0"/>
          <w:bCs w:val="0"/>
        </w:rPr>
        <w:t>.</w:t>
      </w:r>
    </w:p>
    <w:p w:rsidRPr="00D14580" w:rsidR="00D14580" w:rsidP="00D14580" w:rsidRDefault="6C3E796C" w14:paraId="581AD011" w14:textId="2C7347AD">
      <w:pPr>
        <w:jc w:val="both"/>
        <w:rPr>
          <w:rStyle w:val="normaltextrun"/>
          <w:rFonts w:eastAsia="Times New Roman" w:cs="Arial"/>
          <w:lang w:val="es-ES" w:eastAsia="es-CO"/>
        </w:rPr>
      </w:pPr>
      <w:r w:rsidRPr="2A9888F1">
        <w:rPr>
          <w:rStyle w:val="normaltextrun"/>
          <w:rFonts w:eastAsia="Times New Roman" w:cs="Arial"/>
          <w:lang w:val="es-ES" w:eastAsia="es-CO"/>
        </w:rPr>
        <w:t>Ahora bien, de acuerdo con la información suministrada por la ANM, la producción de metales preciosos para el año 2022 en Colombia ha continuado con un dinamismo importante, siendo una de las más altas respecto a años anteriores. Concretamente, para el caso del oro se reportaron 47,6 toneladas, 34,5 toneladas de plata y 471 kilogramos de platino. Estas cifras representan una variación de -14,2 % en la producción de oro, un aumento del 28,2 % en la de plata y una disminución del 23,7 % en la de platino, en comparación con lo reportado en el año 2021.</w:t>
      </w:r>
    </w:p>
    <w:p w:rsidRPr="00D14580" w:rsidR="00D14580" w:rsidP="00D14580" w:rsidRDefault="6C3E796C" w14:paraId="17AD08D3" w14:textId="6F751836">
      <w:pPr>
        <w:jc w:val="both"/>
        <w:rPr>
          <w:rStyle w:val="normaltextrun"/>
          <w:rFonts w:eastAsia="Times New Roman" w:cs="Arial"/>
          <w:lang w:val="es-ES" w:eastAsia="es-CO"/>
        </w:rPr>
      </w:pPr>
      <w:r w:rsidRPr="2A9888F1">
        <w:rPr>
          <w:rStyle w:val="normaltextrun"/>
          <w:rFonts w:eastAsia="Times New Roman" w:cs="Arial"/>
          <w:lang w:val="es-ES" w:eastAsia="es-CO"/>
        </w:rPr>
        <w:t xml:space="preserve">A pesar del dinamismo en la jerarquía de los tipos de explotadores mineros autorizados, los títulos mineros y los barequeros son los que reportan la mayor producción de metales preciosos en el país. </w:t>
      </w:r>
      <w:r w:rsidRPr="2A9888F1" w:rsidR="3AF8F776">
        <w:rPr>
          <w:rStyle w:val="normaltextrun"/>
          <w:rFonts w:eastAsia="Times New Roman" w:cs="Arial"/>
          <w:lang w:val="es-ES" w:eastAsia="es-CO"/>
        </w:rPr>
        <w:t>Los</w:t>
      </w:r>
      <w:r w:rsidRPr="2A9888F1">
        <w:rPr>
          <w:rStyle w:val="normaltextrun"/>
          <w:rFonts w:eastAsia="Times New Roman" w:cs="Arial"/>
          <w:lang w:val="es-ES" w:eastAsia="es-CO"/>
        </w:rPr>
        <w:t xml:space="preserve"> registros del periodo 2022-III </w:t>
      </w:r>
      <w:r w:rsidRPr="2A9888F1" w:rsidR="2F858E23">
        <w:rPr>
          <w:rStyle w:val="normaltextrun"/>
          <w:rFonts w:eastAsia="Times New Roman" w:cs="Arial"/>
          <w:lang w:val="es-ES" w:eastAsia="es-CO"/>
        </w:rPr>
        <w:t>indican</w:t>
      </w:r>
      <w:r w:rsidRPr="2A9888F1">
        <w:rPr>
          <w:rStyle w:val="normaltextrun"/>
          <w:rFonts w:eastAsia="Times New Roman" w:cs="Arial"/>
          <w:lang w:val="es-ES" w:eastAsia="es-CO"/>
        </w:rPr>
        <w:t xml:space="preserve"> que estas tipologías de explotadores concentraron el 95 %, 95,7% y 84,8% de la producción nacional de oro, plata y platino, respectivamente. </w:t>
      </w:r>
    </w:p>
    <w:p w:rsidR="00D14580" w:rsidP="00D14580" w:rsidRDefault="6C3E796C" w14:paraId="34EB102E" w14:textId="15CA7EAB">
      <w:pPr>
        <w:jc w:val="both"/>
        <w:rPr>
          <w:rStyle w:val="normaltextrun"/>
          <w:rFonts w:eastAsia="Times New Roman" w:cs="Arial"/>
          <w:lang w:val="es-ES" w:eastAsia="es-CO"/>
        </w:rPr>
      </w:pPr>
      <w:r w:rsidRPr="2A9888F1">
        <w:rPr>
          <w:rStyle w:val="normaltextrun"/>
          <w:rFonts w:eastAsia="Times New Roman" w:cs="Arial"/>
          <w:lang w:val="es-ES" w:eastAsia="es-CO"/>
        </w:rPr>
        <w:t xml:space="preserve">Así mismo, para los últimos años se tiene un promedio de </w:t>
      </w:r>
      <w:r w:rsidRPr="2A9888F1" w:rsidR="7AB362D9">
        <w:rPr>
          <w:rStyle w:val="normaltextrun"/>
          <w:rFonts w:eastAsia="Times New Roman" w:cs="Arial"/>
          <w:lang w:val="es-ES" w:eastAsia="es-CO"/>
        </w:rPr>
        <w:t>17 departamentos</w:t>
      </w:r>
      <w:r w:rsidRPr="2A9888F1">
        <w:rPr>
          <w:rStyle w:val="normaltextrun"/>
          <w:rFonts w:eastAsia="Times New Roman" w:cs="Arial"/>
          <w:lang w:val="es-ES" w:eastAsia="es-CO"/>
        </w:rPr>
        <w:t xml:space="preserve"> con registros de producción de oro, 16 con registros de plata y 3 con registros de platino. Antioquia, Chocó, Bolívar y Caldas son los departamentos líderes en la producción de oro y plata a nivel nacional. Entre estos </w:t>
      </w:r>
      <w:r w:rsidRPr="2A9888F1" w:rsidR="7AB362D9">
        <w:rPr>
          <w:rStyle w:val="normaltextrun"/>
          <w:rFonts w:eastAsia="Times New Roman" w:cs="Arial"/>
          <w:lang w:val="es-ES" w:eastAsia="es-CO"/>
        </w:rPr>
        <w:t>cuatro</w:t>
      </w:r>
      <w:r w:rsidRPr="2A9888F1">
        <w:rPr>
          <w:rStyle w:val="normaltextrun"/>
          <w:rFonts w:eastAsia="Times New Roman" w:cs="Arial"/>
          <w:lang w:val="es-ES" w:eastAsia="es-CO"/>
        </w:rPr>
        <w:t xml:space="preserve"> departamentos se concentró para el 2022 – III Trimestre el 94,3% del total de oro producido (Antioquia 73,7%, Chocó 11,1%, Bolívar 5,5%, Caldas 3,9%) y el 97,1% del total de plata producida (Antioquia 84,3%, Chocó 2,0%, Caldas 3,2%, Bolívar 7,5%). Para el caso del platino, en este mismo periodo, la producción se concentró solo en 3 departamentos: Chocó con el 79,9%, Córdoba con el 17,9% y Antioquia con un 2,1%.</w:t>
      </w:r>
    </w:p>
    <w:p w:rsidRPr="00D14580" w:rsidR="00D14580" w:rsidP="00D14580" w:rsidRDefault="323046E2" w14:paraId="6DE77DA6" w14:textId="5A9BD16D">
      <w:pPr>
        <w:jc w:val="both"/>
        <w:rPr>
          <w:rStyle w:val="normaltextrun"/>
          <w:rFonts w:eastAsia="Times New Roman" w:cs="Arial"/>
          <w:lang w:val="es-ES" w:eastAsia="es-CO"/>
        </w:rPr>
      </w:pPr>
      <w:r w:rsidR="323046E2">
        <w:rPr>
          <w:rStyle w:val="normaltextrun"/>
          <w:rFonts w:eastAsia="Times New Roman" w:cs="Arial"/>
          <w:lang w:val="es-ES" w:eastAsia="es-CO"/>
        </w:rPr>
        <w:t xml:space="preserve">Por su parte, </w:t>
      </w:r>
      <w:r w:rsidRPr="00D14580" w:rsidR="323046E2">
        <w:rPr>
          <w:rStyle w:val="normaltextrun"/>
          <w:rFonts w:eastAsia="Times New Roman" w:cs="Arial"/>
          <w:lang w:val="es-ES" w:eastAsia="es-CO"/>
        </w:rPr>
        <w:t>SGC</w:t>
      </w:r>
      <w:r w:rsidR="323046E2">
        <w:rPr>
          <w:rStyle w:val="normaltextrun"/>
          <w:rFonts w:eastAsia="Times New Roman" w:cs="Arial"/>
          <w:lang w:val="es-ES" w:eastAsia="es-CO"/>
        </w:rPr>
        <w:t>,</w:t>
      </w:r>
      <w:r w:rsidRPr="00D14580" w:rsidR="323046E2">
        <w:rPr>
          <w:rStyle w:val="normaltextrun"/>
          <w:rFonts w:eastAsia="Times New Roman" w:cs="Arial"/>
          <w:lang w:val="es-ES" w:eastAsia="es-CO"/>
        </w:rPr>
        <w:t xml:space="preserve"> </w:t>
      </w:r>
      <w:r w:rsidR="323046E2">
        <w:rPr>
          <w:rStyle w:val="normaltextrun"/>
          <w:rFonts w:eastAsia="Times New Roman" w:cs="Arial"/>
          <w:lang w:val="es-ES" w:eastAsia="es-CO"/>
        </w:rPr>
        <w:t>d</w:t>
      </w:r>
      <w:r w:rsidRPr="00D14580" w:rsidR="1E76C232">
        <w:rPr>
          <w:rStyle w:val="normaltextrun"/>
          <w:rFonts w:eastAsia="Times New Roman" w:cs="Arial"/>
          <w:lang w:val="es-ES" w:eastAsia="es-CO"/>
        </w:rPr>
        <w:t>esde el año 2018 el Sistema inició el desarrollo por fases del proyecto “Huella Digital de Minerales”</w:t>
      </w:r>
      <w:r w:rsidR="00893E40">
        <w:rPr>
          <w:rStyle w:val="FootnoteReference"/>
          <w:rFonts w:eastAsia="Times New Roman" w:cs="Arial"/>
          <w:lang w:val="es-ES" w:eastAsia="es-CO"/>
        </w:rPr>
        <w:footnoteReference w:id="77"/>
      </w:r>
      <w:r w:rsidRPr="00D14580" w:rsidR="1E76C232">
        <w:rPr>
          <w:rStyle w:val="normaltextrun"/>
          <w:rFonts w:eastAsia="Times New Roman" w:cs="Arial"/>
          <w:lang w:val="es-ES" w:eastAsia="es-CO"/>
        </w:rPr>
        <w:t xml:space="preserve">, el cual tiene como propósito crear cadenas de suministro de minerales en las que sea posible conocer el origen natural de un mineral a lo largo de toda la cadena, esto es, desde la fase de explotación hasta el consumidor final. </w:t>
      </w:r>
    </w:p>
    <w:p w:rsidRPr="00D14580" w:rsidR="00D14580" w:rsidP="00D14580" w:rsidRDefault="6C3E796C" w14:paraId="64CC489B" w14:textId="233647AC">
      <w:pPr>
        <w:jc w:val="both"/>
        <w:rPr>
          <w:rStyle w:val="normaltextrun"/>
          <w:rFonts w:eastAsia="Times New Roman" w:cs="Arial"/>
          <w:lang w:val="es-ES" w:eastAsia="es-CO"/>
        </w:rPr>
      </w:pPr>
      <w:r w:rsidRPr="2A9888F1">
        <w:rPr>
          <w:rStyle w:val="normaltextrun"/>
          <w:rFonts w:eastAsia="Times New Roman" w:cs="Arial"/>
          <w:lang w:val="es-ES" w:eastAsia="es-CO"/>
        </w:rPr>
        <w:t xml:space="preserve">A partir de los datos previamente mencionados y del monitoreo realizado hasta la fecha por  </w:t>
      </w:r>
      <w:proofErr w:type="spellStart"/>
      <w:r w:rsidRPr="2A9888F1" w:rsidR="24A6088B">
        <w:rPr>
          <w:rStyle w:val="normaltextrun"/>
          <w:rFonts w:eastAsia="Times New Roman" w:cs="Arial"/>
          <w:lang w:val="es-ES" w:eastAsia="es-CO"/>
        </w:rPr>
        <w:t>Minenergía</w:t>
      </w:r>
      <w:proofErr w:type="spellEnd"/>
      <w:r w:rsidRPr="2A9888F1">
        <w:rPr>
          <w:rStyle w:val="normaltextrun"/>
          <w:rFonts w:eastAsia="Times New Roman" w:cs="Arial"/>
          <w:lang w:val="es-ES" w:eastAsia="es-CO"/>
        </w:rPr>
        <w:t xml:space="preserve">, se han identificado debilidades en el suministro de información secundaria por parte de diversas entidades competentes en los sectores involucrados en la atención del fenómeno. Estas falencias dificultan el cruce de información a lo largo del tiempo, lo cual limita el desarrollo de los análisis necesarios para la formulación de políticas públicas y la toma de decisiones orientadas a la prevención, mitigación y atención de las problemáticas asociadas con la explotación no autorizada e ilícita de minerales. También, surge la necesidad de fortalecer los mecanismos de identificación de procedencia, trazabilidad de minerales y procesos de debida diligencia en la comercialización de estos, aumentar la capacidad tecnológica para la identificación de la procedencia del mineral y ampliar el conocimiento </w:t>
      </w:r>
      <w:proofErr w:type="spellStart"/>
      <w:r w:rsidRPr="2A9888F1">
        <w:rPr>
          <w:rStyle w:val="normaltextrun"/>
          <w:rFonts w:eastAsia="Times New Roman" w:cs="Arial"/>
          <w:lang w:val="es-ES" w:eastAsia="es-CO"/>
        </w:rPr>
        <w:t>geocientífico</w:t>
      </w:r>
      <w:proofErr w:type="spellEnd"/>
      <w:r w:rsidRPr="2A9888F1">
        <w:rPr>
          <w:rStyle w:val="normaltextrun"/>
          <w:rFonts w:eastAsia="Times New Roman" w:cs="Arial"/>
          <w:lang w:val="es-ES" w:eastAsia="es-CO"/>
        </w:rPr>
        <w:t xml:space="preserve"> del subsuelo y sus recursos. </w:t>
      </w:r>
    </w:p>
    <w:p w:rsidRPr="00D14580" w:rsidR="00D14580" w:rsidP="00D14580" w:rsidRDefault="6C3E796C" w14:paraId="0C0A5387" w14:textId="77777777">
      <w:pPr>
        <w:jc w:val="both"/>
        <w:rPr>
          <w:rStyle w:val="normaltextrun"/>
          <w:rFonts w:eastAsia="Times New Roman" w:cs="Arial"/>
          <w:lang w:val="es-ES" w:eastAsia="es-CO"/>
        </w:rPr>
      </w:pPr>
      <w:r w:rsidRPr="2A9888F1">
        <w:rPr>
          <w:rStyle w:val="normaltextrun"/>
          <w:rFonts w:eastAsia="Times New Roman" w:cs="Arial"/>
          <w:lang w:val="es-ES" w:eastAsia="es-CO"/>
        </w:rPr>
        <w:t>Adicionalmente, resulta pertinente avanzar en el proceso de acreditación de laboratorios para la certificación de minerales, así como en la caracterización de los depósitos y yacimientos mineros del país. También se requiere la construcción de una base de datos de información sobre la huella digital de minerales, lo cual implica el desarrollo de un sistema de almacenamiento de datos y la adecuación de la infraestructura necesaria para el procesamiento y análisis de especies patrón utilizadas en dicha caracterización. Igualmente, es fundamental avanzar en la generación de certificaciones sobre la procedencia de los minerales, como herramienta de fiscalización dentro de la cadena minera. Para ello, se hace necesario estandarizar la metodología para la determinación de la huella digital de minerales y desarrollar protocolos rigurosos para la cadena de custodia de las muestras utilizadas en este proceso.</w:t>
      </w:r>
    </w:p>
    <w:p w:rsidRPr="00D14580" w:rsidR="00D14580" w:rsidP="00D14580" w:rsidRDefault="6C3E796C" w14:paraId="03332722" w14:textId="77777777">
      <w:pPr>
        <w:jc w:val="both"/>
        <w:rPr>
          <w:rStyle w:val="normaltextrun"/>
          <w:rFonts w:eastAsia="Times New Roman" w:cs="Arial"/>
          <w:lang w:val="es-ES" w:eastAsia="es-CO"/>
        </w:rPr>
      </w:pPr>
      <w:r w:rsidRPr="2A9888F1">
        <w:rPr>
          <w:rStyle w:val="normaltextrun"/>
          <w:rFonts w:eastAsia="Times New Roman" w:cs="Arial"/>
          <w:lang w:val="es-ES" w:eastAsia="es-CO"/>
        </w:rPr>
        <w:t>Del mismo modo, es fundamental analizar y sistematizar la información sobre conflictividad socioambiental generada por la explotación no autorizada e ilícita de minerales, pues esto permite comprender las conflictividades territoriales por el uso del suelo, su impacto sobre el ambiente y seguimiento a la explotación minera. Esta información es clave para mitigar impactos negativos y promover soluciones equilibradas, alternativas y ajustadas a los contextos regionales que concilien el desarrollo económico con la protección de derechos socioambientales, colectivos y territoriales. Paralelamente, se requiere establecer sistemas de monitoreo continuo que evalúen los impactos del fenómeno de explotación no autorizada e ilícita de minerales más relevantes, estableciendo variables críticas para detectar cambios, identificar causas de alteraciones y evaluar tendencias y patrones. La información obtenida será fundamental para ajustar políticas, optimizar prácticas, anticipar riesgos y emprender acciones preventivas, con la proyección hacia la formalización minera.</w:t>
      </w:r>
    </w:p>
    <w:p w:rsidRPr="00D14580" w:rsidR="00D14580" w:rsidP="00D14580" w:rsidRDefault="6C3E796C" w14:paraId="5C70E298" w14:textId="77777777">
      <w:pPr>
        <w:jc w:val="both"/>
        <w:rPr>
          <w:rStyle w:val="normaltextrun"/>
          <w:rFonts w:eastAsia="Times New Roman" w:cs="Arial"/>
          <w:lang w:val="es-ES" w:eastAsia="es-CO"/>
        </w:rPr>
      </w:pPr>
      <w:r w:rsidRPr="2A9888F1">
        <w:rPr>
          <w:rStyle w:val="normaltextrun"/>
          <w:rFonts w:eastAsia="Times New Roman" w:cs="Arial"/>
          <w:lang w:val="es-ES" w:eastAsia="es-CO"/>
        </w:rPr>
        <w:t>En consecuencia, es indispensable implementar metodologías participativas e interculturales que integren a las comunidades locales y valoren sus saberes ancestrales, necesidades y demandas. Este enfoque no solo enriquece los datos recopilados, sino que fortalece la confianza y la gobernanza en territorios afectados por la explotación ilícita. Asimismo, es urgente cuantificar con precisión la deforestación asociada a la actividad minera, así como analizar la incidencia y vinculación del crimen organizado en este fenómeno, así como la relación de otras actividades ilícitas asociadas.</w:t>
      </w:r>
    </w:p>
    <w:p w:rsidRPr="00D14580" w:rsidR="00D14580" w:rsidP="00D14580" w:rsidRDefault="6C3E796C" w14:paraId="71B1D79B" w14:textId="77777777">
      <w:pPr>
        <w:jc w:val="both"/>
        <w:rPr>
          <w:rStyle w:val="normaltextrun"/>
          <w:rFonts w:eastAsia="Times New Roman" w:cs="Arial"/>
          <w:lang w:val="es-ES" w:eastAsia="es-CO"/>
        </w:rPr>
      </w:pPr>
      <w:r w:rsidRPr="2A9888F1">
        <w:rPr>
          <w:rStyle w:val="normaltextrun"/>
          <w:rFonts w:eastAsia="Times New Roman" w:cs="Arial"/>
          <w:lang w:val="es-ES" w:eastAsia="es-CO"/>
        </w:rPr>
        <w:t>Además, se debe consolidar información sobre dinámicas de la actividad minera no autorizada e ilícita para una gestión territorial integral, organizando datos que orienten la planificación y el ordenamiento del suelo. Esto implica mapear zonas de influencia, evaluar impactos acumulativos e incorporar información de los diferentes sectores involucrados en atender el fenómeno de la explotación no autorizada e ilícita de minerales. Un pilar clave es fortalecer la coordinación interinstitucional, mejorando la interoperabilidad entre sectores minero, ambiental y defensa.</w:t>
      </w:r>
    </w:p>
    <w:p w:rsidR="00D14580" w:rsidP="00D14580" w:rsidRDefault="6C3E796C" w14:paraId="76421C57" w14:textId="76E47111">
      <w:pPr>
        <w:jc w:val="both"/>
        <w:rPr>
          <w:rStyle w:val="normaltextrun"/>
          <w:rFonts w:eastAsia="Times New Roman" w:cs="Arial"/>
          <w:lang w:val="es-ES" w:eastAsia="es-CO"/>
        </w:rPr>
      </w:pPr>
      <w:r w:rsidRPr="2A9888F1">
        <w:rPr>
          <w:rStyle w:val="normaltextrun"/>
          <w:rFonts w:eastAsia="Times New Roman" w:cs="Arial"/>
          <w:lang w:val="es-ES" w:eastAsia="es-CO"/>
        </w:rPr>
        <w:t xml:space="preserve">Finalmente, resulta prioritario profundizar en el análisis de la explotación ilícita de minerales y su vínculo con el crimen organizado, generando estrategias que aborden tanto sus efectos ambientales como las causas estructurales de la ilegalidad. </w:t>
      </w:r>
      <w:r w:rsidRPr="2A9888F1" w:rsidR="0E199B7C">
        <w:rPr>
          <w:rStyle w:val="normaltextrun"/>
          <w:rFonts w:eastAsia="Times New Roman" w:cs="Arial"/>
          <w:lang w:val="es-ES" w:eastAsia="es-CO"/>
        </w:rPr>
        <w:t>S</w:t>
      </w:r>
      <w:r w:rsidRPr="2A9888F1">
        <w:rPr>
          <w:rStyle w:val="normaltextrun"/>
          <w:rFonts w:eastAsia="Times New Roman" w:cs="Arial"/>
          <w:lang w:val="es-ES" w:eastAsia="es-CO"/>
        </w:rPr>
        <w:t>e deben evaluar los impactos de la minería no autorizada con un enfoque territorial adaptado, asegurando que las acciones de prevención y mitigación respondan a las demandas específicas de cada región. Solo mediante este conjunto de medidas integrales se podrá avanzar hacia una minería sostenible, justa y en armonía con las comunidades y la naturaleza.</w:t>
      </w:r>
    </w:p>
    <w:p w:rsidR="00C443D6" w:rsidP="00546CAA" w:rsidRDefault="6C3E796C" w14:paraId="04A9B161" w14:textId="09C5E163">
      <w:pPr>
        <w:jc w:val="both"/>
        <w:rPr>
          <w:rStyle w:val="normaltextrun"/>
          <w:rFonts w:eastAsia="Times New Roman" w:cs="Arial"/>
          <w:lang w:val="es-ES" w:eastAsia="es-CO"/>
        </w:rPr>
      </w:pPr>
      <w:r w:rsidRPr="2A9888F1">
        <w:rPr>
          <w:rStyle w:val="normaltextrun"/>
          <w:rFonts w:eastAsia="Times New Roman" w:cs="Arial"/>
          <w:lang w:val="es-ES" w:eastAsia="es-CO"/>
        </w:rPr>
        <w:t xml:space="preserve">En conclusión, se resaltan </w:t>
      </w:r>
      <w:r w:rsidRPr="2A9888F1" w:rsidR="1BFAE88A">
        <w:rPr>
          <w:rStyle w:val="normaltextrun"/>
          <w:rFonts w:eastAsia="Times New Roman" w:cs="Arial"/>
          <w:lang w:val="es-ES" w:eastAsia="es-CO"/>
        </w:rPr>
        <w:t>unas debilidades y deficiencias que requieren acciones articuladas</w:t>
      </w:r>
      <w:r w:rsidRPr="2A9888F1">
        <w:rPr>
          <w:rStyle w:val="normaltextrun"/>
          <w:rFonts w:eastAsia="Times New Roman" w:cs="Arial"/>
          <w:lang w:val="es-ES" w:eastAsia="es-CO"/>
        </w:rPr>
        <w:t xml:space="preserve"> lideradas desde el sector</w:t>
      </w:r>
      <w:r w:rsidRPr="2A9888F1" w:rsidR="1BFAE88A">
        <w:rPr>
          <w:rStyle w:val="normaltextrun"/>
          <w:rFonts w:eastAsia="Times New Roman" w:cs="Arial"/>
          <w:lang w:val="es-ES" w:eastAsia="es-CO"/>
        </w:rPr>
        <w:t>:</w:t>
      </w:r>
    </w:p>
    <w:p w:rsidRPr="0079314C" w:rsidR="0079314C" w:rsidP="2A9888F1" w:rsidRDefault="1BFAE88A" w14:paraId="510A44F7" w14:textId="77777777">
      <w:pPr>
        <w:pStyle w:val="ListParagraph"/>
        <w:numPr>
          <w:ilvl w:val="0"/>
          <w:numId w:val="20"/>
        </w:numPr>
        <w:jc w:val="both"/>
        <w:rPr>
          <w:rStyle w:val="normaltextrun"/>
          <w:rFonts w:cs="Arial"/>
        </w:rPr>
      </w:pPr>
      <w:bookmarkStart w:name="_Hlk199241001" w:id="818"/>
      <w:r w:rsidRPr="2A9888F1">
        <w:rPr>
          <w:rStyle w:val="normaltextrun"/>
          <w:rFonts w:cs="Arial"/>
        </w:rPr>
        <w:t xml:space="preserve">El desarrollo de la actividad de explotación de minerales por fuera de las disposiciones establecidas en la legislación y en muchos casos sin la implementación de prácticas responsables para su extracción, beneficio y comercialización, ha generado transgresión en las dimensiones ambientales, sociales, económicas, de la salud y seguridad de los territorios y sus comunidades. </w:t>
      </w:r>
    </w:p>
    <w:p w:rsidRPr="0079314C" w:rsidR="0079314C" w:rsidP="001C54B2" w:rsidRDefault="1BFAE88A" w14:paraId="68DFB37B" w14:textId="419ECD75">
      <w:pPr>
        <w:pStyle w:val="ListParagraph"/>
        <w:numPr>
          <w:ilvl w:val="0"/>
          <w:numId w:val="20"/>
        </w:numPr>
        <w:jc w:val="both"/>
        <w:rPr>
          <w:rStyle w:val="normaltextrun"/>
          <w:rFonts w:cs="Arial"/>
        </w:rPr>
      </w:pPr>
      <w:r w:rsidRPr="2A9888F1">
        <w:rPr>
          <w:rStyle w:val="normaltextrun"/>
          <w:rFonts w:cs="Arial"/>
        </w:rPr>
        <w:t xml:space="preserve">Se ha evidenciado que </w:t>
      </w:r>
      <w:r w:rsidRPr="2A9888F1">
        <w:rPr>
          <w:rStyle w:val="normaltextrun"/>
          <w:rFonts w:eastAsiaTheme="minorEastAsia"/>
        </w:rPr>
        <w:t>existen debilidades en</w:t>
      </w:r>
      <w:r w:rsidRPr="2A9888F1">
        <w:rPr>
          <w:rStyle w:val="normaltextrun"/>
          <w:rFonts w:cs="Arial"/>
        </w:rPr>
        <w:t xml:space="preserve"> las acciones de prevención, monitoreo y apoyo al control de las explotaciones no autorizadas de minerales, pues algunas instituciones realizan esfuerzos aislados en territorio en función de sus competencias, lo cual hace que su actuación resulte insuficiente para contrarrestar este fenómeno multidimensional y que se genere desgaste administrativo, operacional y de las propias comunidades. </w:t>
      </w:r>
      <w:r w:rsidRPr="2A9888F1" w:rsidR="0E199B7C">
        <w:rPr>
          <w:rStyle w:val="normaltextrun"/>
          <w:rFonts w:cs="Arial"/>
        </w:rPr>
        <w:t>Lo anterior,</w:t>
      </w:r>
      <w:r w:rsidRPr="2A9888F1">
        <w:rPr>
          <w:rStyle w:val="normaltextrun"/>
          <w:rFonts w:cs="Arial"/>
        </w:rPr>
        <w:t xml:space="preserve"> asociad</w:t>
      </w:r>
      <w:r w:rsidRPr="2A9888F1" w:rsidR="0E199B7C">
        <w:rPr>
          <w:rStyle w:val="normaltextrun"/>
          <w:rFonts w:cs="Arial"/>
        </w:rPr>
        <w:t>o</w:t>
      </w:r>
      <w:r w:rsidRPr="2A9888F1">
        <w:rPr>
          <w:rStyle w:val="normaltextrun"/>
          <w:rFonts w:cs="Arial"/>
        </w:rPr>
        <w:t xml:space="preserve"> a la ineficiencia en </w:t>
      </w:r>
      <w:r w:rsidRPr="2A9888F1" w:rsidR="0E199B7C">
        <w:rPr>
          <w:rStyle w:val="normaltextrun"/>
          <w:rFonts w:cs="Arial"/>
        </w:rPr>
        <w:t>la</w:t>
      </w:r>
      <w:r w:rsidRPr="2A9888F1">
        <w:rPr>
          <w:rStyle w:val="normaltextrun"/>
          <w:rFonts w:cs="Arial"/>
        </w:rPr>
        <w:t xml:space="preserve"> integración de información para el monitoreo, análisis del fenómeno, trazabilidad y debida diligencia en la cadena de minerales. </w:t>
      </w:r>
    </w:p>
    <w:p w:rsidRPr="006F0E8F" w:rsidR="0079314C" w:rsidP="001C54B2" w:rsidRDefault="72E5B2BD" w14:paraId="02CDF593" w14:textId="61B27619">
      <w:pPr>
        <w:pStyle w:val="ListParagraph"/>
        <w:numPr>
          <w:ilvl w:val="0"/>
          <w:numId w:val="20"/>
        </w:numPr>
        <w:jc w:val="both"/>
        <w:rPr>
          <w:rStyle w:val="normaltextrun"/>
          <w:rFonts w:eastAsia="Times New Roman" w:cs="Arial"/>
          <w:lang w:val="es-ES" w:eastAsia="es-CO"/>
        </w:rPr>
      </w:pPr>
      <w:r w:rsidRPr="2A9888F1">
        <w:rPr>
          <w:rStyle w:val="normaltextrun"/>
          <w:rFonts w:cs="Arial"/>
        </w:rPr>
        <w:t>Falta de articulación con otras instituciones para fortalecer los procedimientos actuales, promover la coordinación interinstitucional facilitar el diseño de hojas de ruta, protocolos y mecanismos de actuación.</w:t>
      </w:r>
    </w:p>
    <w:p w:rsidRPr="006C347F" w:rsidR="006C347F" w:rsidP="001C54B2" w:rsidRDefault="6614F4B6" w14:paraId="3534496E" w14:textId="77777777">
      <w:pPr>
        <w:pStyle w:val="ListParagraph"/>
        <w:numPr>
          <w:ilvl w:val="0"/>
          <w:numId w:val="20"/>
        </w:numPr>
        <w:jc w:val="both"/>
        <w:rPr>
          <w:rStyle w:val="eop"/>
          <w:rFonts w:eastAsia="Times New Roman" w:cs="Arial"/>
          <w:lang w:val="es-ES" w:eastAsia="es-CO"/>
        </w:rPr>
      </w:pPr>
      <w:r w:rsidRPr="2A9888F1">
        <w:rPr>
          <w:rStyle w:val="normaltextrun"/>
          <w:rFonts w:cs="Arial"/>
        </w:rPr>
        <w:t xml:space="preserve">Existen </w:t>
      </w:r>
      <w:r w:rsidRPr="2A9888F1" w:rsidR="72E5B2BD">
        <w:rPr>
          <w:rStyle w:val="normaltextrun"/>
          <w:rFonts w:cs="Arial"/>
        </w:rPr>
        <w:t xml:space="preserve">debilidades </w:t>
      </w:r>
      <w:r w:rsidRPr="2A9888F1">
        <w:rPr>
          <w:rStyle w:val="normaltextrun"/>
          <w:rFonts w:cs="Arial"/>
        </w:rPr>
        <w:t>en</w:t>
      </w:r>
      <w:r w:rsidRPr="2A9888F1" w:rsidR="72E5B2BD">
        <w:rPr>
          <w:rStyle w:val="normaltextrun"/>
          <w:rFonts w:cs="Arial"/>
        </w:rPr>
        <w:t xml:space="preserve"> entidades </w:t>
      </w:r>
      <w:r w:rsidRPr="2A9888F1">
        <w:rPr>
          <w:rStyle w:val="normaltextrun"/>
          <w:rFonts w:cs="Arial"/>
        </w:rPr>
        <w:t>para</w:t>
      </w:r>
      <w:r w:rsidRPr="2A9888F1" w:rsidR="72E5B2BD">
        <w:rPr>
          <w:rStyle w:val="normaltextrun"/>
          <w:rFonts w:cs="Arial"/>
        </w:rPr>
        <w:t xml:space="preserve"> el suministro de la información secundaria, lo que dificulta el desarrollo del cruce de información para desarrollar los análisis requeridos </w:t>
      </w:r>
      <w:r w:rsidRPr="2A9888F1">
        <w:rPr>
          <w:rStyle w:val="normaltextrun"/>
          <w:rFonts w:cs="Arial"/>
        </w:rPr>
        <w:t xml:space="preserve">para </w:t>
      </w:r>
      <w:r w:rsidRPr="2A9888F1" w:rsidR="72E5B2BD">
        <w:rPr>
          <w:rStyle w:val="normaltextrun"/>
          <w:rFonts w:cs="Arial"/>
        </w:rPr>
        <w:t>la toma de decisiones</w:t>
      </w:r>
      <w:r w:rsidRPr="2A9888F1">
        <w:rPr>
          <w:rStyle w:val="normaltextrun"/>
          <w:rFonts w:cs="Arial"/>
        </w:rPr>
        <w:t xml:space="preserve"> en materia de minería no autorizada</w:t>
      </w:r>
      <w:r w:rsidRPr="2A9888F1" w:rsidR="72E5B2BD">
        <w:rPr>
          <w:rStyle w:val="normaltextrun"/>
          <w:rFonts w:cs="Arial"/>
        </w:rPr>
        <w:t>.</w:t>
      </w:r>
      <w:r w:rsidRPr="2A9888F1" w:rsidR="72E5B2BD">
        <w:rPr>
          <w:rStyle w:val="eop"/>
          <w:rFonts w:cs="Arial"/>
        </w:rPr>
        <w:t> </w:t>
      </w:r>
    </w:p>
    <w:p w:rsidRPr="006C347F" w:rsidR="006F0E8F" w:rsidP="001C54B2" w:rsidRDefault="6614F4B6" w14:paraId="7F15B170" w14:textId="7F29CF3D">
      <w:pPr>
        <w:pStyle w:val="ListParagraph"/>
        <w:numPr>
          <w:ilvl w:val="0"/>
          <w:numId w:val="20"/>
        </w:numPr>
        <w:jc w:val="both"/>
        <w:rPr>
          <w:rStyle w:val="normaltextrun"/>
          <w:rFonts w:eastAsia="Times New Roman" w:cs="Arial"/>
          <w:lang w:val="es-ES" w:eastAsia="es-CO"/>
        </w:rPr>
      </w:pPr>
      <w:r w:rsidRPr="2A9888F1">
        <w:rPr>
          <w:rStyle w:val="normaltextrun"/>
          <w:rFonts w:eastAsia="Times New Roman" w:cs="Arial"/>
          <w:lang w:eastAsia="es-CO"/>
        </w:rPr>
        <w:t>L</w:t>
      </w:r>
      <w:r w:rsidRPr="2A9888F1" w:rsidR="72E5B2BD">
        <w:rPr>
          <w:rStyle w:val="normaltextrun"/>
          <w:rFonts w:eastAsia="Times New Roman" w:cs="Arial"/>
          <w:lang w:eastAsia="es-CO"/>
        </w:rPr>
        <w:t xml:space="preserve">os mecanismos de identificación de procedencia, trazabilidad de minerales y procesos de debida diligencia en la comercialización de estos, </w:t>
      </w:r>
      <w:r w:rsidRPr="2A9888F1" w:rsidR="72E5B2BD">
        <w:rPr>
          <w:rStyle w:val="normaltextrun"/>
          <w:rFonts w:eastAsia="Times New Roman" w:cs="Arial"/>
          <w:lang w:val="es-ES" w:eastAsia="es-CO"/>
        </w:rPr>
        <w:t xml:space="preserve">la capacidad tecnológica en la generación de herramientas para la identificación de la procedencia lícita del mineral y el conocimiento </w:t>
      </w:r>
      <w:proofErr w:type="spellStart"/>
      <w:r w:rsidRPr="2A9888F1" w:rsidR="72E5B2BD">
        <w:rPr>
          <w:rStyle w:val="normaltextrun"/>
          <w:rFonts w:eastAsia="Times New Roman" w:cs="Arial"/>
          <w:lang w:val="es-ES" w:eastAsia="es-CO"/>
        </w:rPr>
        <w:t>geocientífico</w:t>
      </w:r>
      <w:proofErr w:type="spellEnd"/>
      <w:r w:rsidRPr="2A9888F1" w:rsidR="72E5B2BD">
        <w:rPr>
          <w:rStyle w:val="normaltextrun"/>
          <w:rFonts w:eastAsia="Times New Roman" w:cs="Arial"/>
          <w:lang w:val="es-ES" w:eastAsia="es-CO"/>
        </w:rPr>
        <w:t xml:space="preserve"> del subsuelo </w:t>
      </w:r>
      <w:r w:rsidRPr="2A9888F1">
        <w:rPr>
          <w:rStyle w:val="normaltextrun"/>
          <w:rFonts w:eastAsia="Times New Roman" w:cs="Arial"/>
          <w:lang w:val="es-ES" w:eastAsia="es-CO"/>
        </w:rPr>
        <w:t>debe fortalecerse para un monitoreo efectivo</w:t>
      </w:r>
      <w:r w:rsidRPr="2A9888F1" w:rsidR="72E5B2BD">
        <w:rPr>
          <w:rStyle w:val="normaltextrun"/>
          <w:rFonts w:eastAsia="Times New Roman" w:cs="Arial"/>
          <w:lang w:val="es-ES" w:eastAsia="es-CO"/>
        </w:rPr>
        <w:t>.</w:t>
      </w:r>
    </w:p>
    <w:p w:rsidRPr="006C347F" w:rsidR="006C347F" w:rsidP="001C54B2" w:rsidRDefault="6614F4B6" w14:paraId="1026C05B" w14:textId="77777777">
      <w:pPr>
        <w:pStyle w:val="ListParagraph"/>
        <w:numPr>
          <w:ilvl w:val="0"/>
          <w:numId w:val="20"/>
        </w:numPr>
        <w:jc w:val="both"/>
        <w:rPr>
          <w:rStyle w:val="normaltextrun"/>
          <w:rFonts w:eastAsia="Times New Roman" w:cs="Arial"/>
          <w:lang w:val="es-ES" w:eastAsia="es-CO"/>
        </w:rPr>
      </w:pPr>
      <w:r w:rsidRPr="2A9888F1">
        <w:rPr>
          <w:rStyle w:val="normaltextrun"/>
          <w:rFonts w:eastAsia="Times New Roman" w:cs="Arial"/>
          <w:lang w:val="es-ES" w:eastAsia="es-CO"/>
        </w:rPr>
        <w:t>No existen</w:t>
      </w:r>
      <w:r w:rsidRPr="2A9888F1" w:rsidR="72E5B2BD">
        <w:rPr>
          <w:rStyle w:val="normaltextrun"/>
          <w:rFonts w:eastAsia="Times New Roman" w:cs="Arial"/>
          <w:lang w:val="es-ES" w:eastAsia="es-CO"/>
        </w:rPr>
        <w:t xml:space="preserve"> laboratorios para certificación de minerales y caracterización de los depósitos de los yacimientos mineros del país.</w:t>
      </w:r>
    </w:p>
    <w:p w:rsidRPr="006C347F" w:rsidR="006C347F" w:rsidP="001C54B2" w:rsidRDefault="6614F4B6" w14:paraId="69D3520F" w14:textId="77777777">
      <w:pPr>
        <w:pStyle w:val="ListParagraph"/>
        <w:numPr>
          <w:ilvl w:val="0"/>
          <w:numId w:val="20"/>
        </w:numPr>
        <w:jc w:val="both"/>
        <w:rPr>
          <w:rStyle w:val="normaltextrun"/>
          <w:rFonts w:eastAsia="Times New Roman" w:cs="Arial"/>
          <w:lang w:val="es-ES" w:eastAsia="es-CO"/>
        </w:rPr>
      </w:pPr>
      <w:r w:rsidRPr="2A9888F1">
        <w:rPr>
          <w:rStyle w:val="normaltextrun"/>
          <w:rFonts w:eastAsia="Times New Roman" w:cs="Arial"/>
          <w:lang w:val="es-ES" w:eastAsia="es-CO"/>
        </w:rPr>
        <w:t>No existe una</w:t>
      </w:r>
      <w:r w:rsidRPr="2A9888F1" w:rsidR="72E5B2BD">
        <w:rPr>
          <w:rStyle w:val="normaltextrun"/>
          <w:rFonts w:eastAsia="Times New Roman" w:cs="Arial"/>
          <w:lang w:val="es-ES" w:eastAsia="es-CO"/>
        </w:rPr>
        <w:t xml:space="preserve"> base de datos de información de huella digital de minerales, para lo cual se requiere el desarrollo de un sistema de almacenamiento de datos, </w:t>
      </w:r>
      <w:r w:rsidRPr="2A9888F1" w:rsidR="72E5B2BD">
        <w:rPr>
          <w:rStyle w:val="normaltextrun"/>
          <w:rFonts w:eastAsia="Times New Roman" w:cs="Arial"/>
          <w:lang w:val="es-ES"/>
        </w:rPr>
        <w:t xml:space="preserve">adecuación de infraestructura necesaria para el procesamiento y análisis de especies patrón utilizadas en el análisis de la huella digital. </w:t>
      </w:r>
    </w:p>
    <w:p w:rsidRPr="006C347F" w:rsidR="006F0E8F" w:rsidP="001C54B2" w:rsidRDefault="38144E1D" w14:paraId="6C578BEC" w14:textId="05381B0B">
      <w:pPr>
        <w:pStyle w:val="ListParagraph"/>
        <w:numPr>
          <w:ilvl w:val="0"/>
          <w:numId w:val="20"/>
        </w:numPr>
        <w:jc w:val="both"/>
        <w:rPr>
          <w:rStyle w:val="normaltextrun"/>
          <w:rFonts w:eastAsia="Times New Roman" w:cs="Arial"/>
          <w:lang w:val="es-ES" w:eastAsia="es-CO"/>
        </w:rPr>
      </w:pPr>
      <w:r w:rsidRPr="2A9888F1">
        <w:rPr>
          <w:rStyle w:val="normaltextrun"/>
          <w:rFonts w:eastAsia="Times New Roman" w:cs="Arial"/>
          <w:lang w:val="es-ES"/>
        </w:rPr>
        <w:t>Se evidencia</w:t>
      </w:r>
      <w:r w:rsidRPr="2A9888F1" w:rsidR="31160B50">
        <w:rPr>
          <w:rStyle w:val="normaltextrun"/>
          <w:rFonts w:eastAsia="Times New Roman" w:cs="Arial"/>
          <w:lang w:val="es-ES"/>
        </w:rPr>
        <w:t xml:space="preserve"> la necesidad</w:t>
      </w:r>
      <w:r w:rsidRPr="2A9888F1" w:rsidR="31160B50">
        <w:rPr>
          <w:rStyle w:val="normaltextrun"/>
          <w:rFonts w:eastAsia="Times New Roman" w:cs="Arial"/>
          <w:lang w:val="es-ES" w:eastAsia="es-CO"/>
        </w:rPr>
        <w:t xml:space="preserve"> de certificación de la procedencia de los minerales como herramienta de fiscalización en la cadena minera</w:t>
      </w:r>
      <w:r w:rsidRPr="2A9888F1">
        <w:rPr>
          <w:rStyle w:val="normaltextrun"/>
          <w:rFonts w:eastAsia="Times New Roman" w:cs="Arial"/>
          <w:lang w:val="es-ES" w:eastAsia="es-CO"/>
        </w:rPr>
        <w:t>.</w:t>
      </w:r>
    </w:p>
    <w:bookmarkEnd w:id="818"/>
    <w:p w:rsidRPr="008300BA" w:rsidR="0B1866B7" w:rsidP="2A9888F1" w:rsidRDefault="0B1866B7" w14:paraId="0B3F39B5" w14:textId="1CF47A74">
      <w:pPr>
        <w:rPr>
          <w:rFonts w:eastAsiaTheme="minorEastAsia"/>
          <w:lang w:val="es-ES"/>
        </w:rPr>
      </w:pPr>
    </w:p>
    <w:p w:rsidR="00C443D6" w:rsidP="769A4CE5" w:rsidRDefault="2924EFE2" w14:paraId="7302549B" w14:textId="204687DD">
      <w:pPr>
        <w:pStyle w:val="Heading1"/>
        <w:ind w:left="1080"/>
        <w:rPr>
          <w:rStyle w:val="normaltextrun"/>
          <w:rFonts w:eastAsia="Times New Roman" w:cs="Arial"/>
          <w:lang w:val="es-ES" w:eastAsia="es-CO"/>
        </w:rPr>
      </w:pPr>
      <w:bookmarkStart w:name="_Toc135903131" w:id="819"/>
      <w:bookmarkStart w:name="_Toc199511978" w:id="820"/>
      <w:bookmarkStart w:name="_Toc1518543117" w:id="821"/>
      <w:bookmarkStart w:name="_Toc866050738" w:id="822"/>
      <w:bookmarkStart w:name="_Toc2033638920" w:id="823"/>
      <w:bookmarkStart w:name="_Toc2040259839" w:id="824"/>
      <w:bookmarkStart w:name="_Toc44299527" w:id="825"/>
      <w:bookmarkStart w:name="_Toc134612172" w:id="826"/>
      <w:bookmarkStart w:name="_Toc354959938" w:id="827"/>
      <w:bookmarkStart w:name="_Toc584016169" w:id="828"/>
      <w:bookmarkStart w:name="_Toc2101694887" w:id="829"/>
      <w:bookmarkStart w:name="_Toc1179526419" w:id="830"/>
      <w:bookmarkStart w:name="_Toc143976112" w:id="831"/>
      <w:bookmarkStart w:name="_Toc292543184" w:id="832"/>
      <w:bookmarkStart w:name="_Toc209608822" w:id="833"/>
      <w:bookmarkStart w:name="_Toc1474868075" w:id="834"/>
      <w:bookmarkStart w:name="_Toc1944257615" w:id="835"/>
      <w:bookmarkStart w:name="_Toc450984888" w:id="836"/>
      <w:bookmarkStart w:name="_Toc1000522907" w:id="837"/>
      <w:bookmarkStart w:name="_Toc83422745" w:id="838"/>
      <w:bookmarkStart w:name="_Toc741235870" w:id="839"/>
      <w:bookmarkStart w:name="_Toc2000010310" w:id="840"/>
      <w:bookmarkStart w:name="_Toc1917988964" w:id="841"/>
      <w:bookmarkStart w:name="_Toc1295726108" w:id="842"/>
      <w:bookmarkStart w:name="_Toc1400390513" w:id="843"/>
      <w:bookmarkStart w:name="_Toc1756197575" w:id="844"/>
      <w:bookmarkStart w:name="_Toc485066464" w:id="845"/>
      <w:bookmarkStart w:name="_Toc588590101" w:id="846"/>
      <w:bookmarkStart w:name="_Toc210292986" w:id="847"/>
      <w:r>
        <w:t>Retos y acciones en el marco de una nueva visión de la política minera en Colombia</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rsidR="00C443D6" w:rsidP="00C443D6" w:rsidRDefault="00C443D6" w14:paraId="3B74ACFA" w14:textId="77777777"/>
    <w:p w:rsidR="00DF1598" w:rsidP="00DF1598" w:rsidRDefault="2FE4872F" w14:paraId="63C01016" w14:textId="62F17C71">
      <w:pPr>
        <w:jc w:val="both"/>
      </w:pPr>
      <w:r>
        <w:t xml:space="preserve">Las líneas </w:t>
      </w:r>
      <w:r w:rsidR="33ADBCAA">
        <w:t>estratégicas</w:t>
      </w:r>
      <w:r>
        <w:t xml:space="preserve"> propuestas en esta sección responden a las problemáticas identificadas en el diagnóstico de la actividad minera en Colombia. El propósito del capítulo es aportar soluciones significativas a todos los desafíos evidenciados en el marco de una nueva política minera.  </w:t>
      </w:r>
    </w:p>
    <w:p w:rsidR="00DF1598" w:rsidP="09C2734D" w:rsidRDefault="18DEDAFF" w14:paraId="43E89A61" w14:textId="55975087">
      <w:pPr>
        <w:jc w:val="both"/>
      </w:pPr>
      <w:r>
        <w:t>Entre los principales retos se encuentran</w:t>
      </w:r>
      <w:r w:rsidR="5B096A91">
        <w:t>:</w:t>
      </w:r>
      <w:r>
        <w:t xml:space="preserve"> enfrentar con estrategias y acciones los desafíos globales derivados de la transición energética justa (TEJ</w:t>
      </w:r>
      <w:r w:rsidR="6C216FF2">
        <w:t>)</w:t>
      </w:r>
      <w:r>
        <w:t xml:space="preserve"> a nivel mundial,</w:t>
      </w:r>
      <w:r w:rsidR="28C508D9">
        <w:t xml:space="preserve"> incluyendo</w:t>
      </w:r>
      <w:r>
        <w:t xml:space="preserve"> atender las</w:t>
      </w:r>
      <w:r w:rsidR="28C508D9">
        <w:t xml:space="preserve"> consecuencias en las variaciones de la</w:t>
      </w:r>
      <w:r>
        <w:t xml:space="preserve"> demanda internacional de carbón térmico</w:t>
      </w:r>
      <w:r w:rsidR="325CEF2C">
        <w:t xml:space="preserve">, </w:t>
      </w:r>
      <w:r>
        <w:t xml:space="preserve"> y la alta dependencia económica de las regiones donde se localiza la explotación de este mineral, también se busca hacer frente a los desafíos en términos normativos en la etapa del cierre integral minero y ambiental y rigurosidad en la implementación de las normas de seguridad minera a fin de promover la protección a la vida y salud de las personas. A nivel territorial, se busca la conservación </w:t>
      </w:r>
      <w:r w:rsidR="5B79DBDE">
        <w:t xml:space="preserve">del reconocimiento de la </w:t>
      </w:r>
      <w:r>
        <w:t>ancestralidad</w:t>
      </w:r>
      <w:r w:rsidR="31951EBD">
        <w:t xml:space="preserve"> minera</w:t>
      </w:r>
      <w:r>
        <w:t xml:space="preserve"> y una verdadera formalización minera; en la gestión</w:t>
      </w:r>
      <w:r w:rsidR="593ABB7C">
        <w:t xml:space="preserve"> </w:t>
      </w:r>
      <w:r w:rsidR="58879FFA">
        <w:t>la</w:t>
      </w:r>
      <w:r>
        <w:t xml:space="preserve"> implement</w:t>
      </w:r>
      <w:r w:rsidR="593ABB7C">
        <w:t>ación</w:t>
      </w:r>
      <w:r>
        <w:t xml:space="preserve"> </w:t>
      </w:r>
      <w:r w:rsidR="58879FFA">
        <w:t xml:space="preserve">de </w:t>
      </w:r>
      <w:r>
        <w:t>buenas prácticas y la economía circular en todas las etapas, así como la prevención y apoyo al control de la explotación no autorizada de los minerales.</w:t>
      </w:r>
    </w:p>
    <w:p w:rsidRPr="00152C55" w:rsidR="00DF1598" w:rsidP="00DF1598" w:rsidRDefault="2FE4872F" w14:paraId="5A5050F0" w14:textId="7D9C5125">
      <w:pPr>
        <w:jc w:val="both"/>
      </w:pPr>
      <w:r>
        <w:t>Tal como se plasmó en el objetivo general de esta política, las acciones adoptan un enfoque sistémico integral para</w:t>
      </w:r>
      <w:r w:rsidR="5E454183">
        <w:t xml:space="preserve"> el</w:t>
      </w:r>
      <w:r>
        <w:t xml:space="preserve"> desarrollo de la actividad minera a lo largo de su cadena de valor. Esta perspectiva, se fundamenta en el ordenamiento ambiental y minero, sustentado en el conocimiento, la soberanía de los recursos naturales, la protección de derechos, la participación social y respeto de los derechos humanos y de las comunidades, especialmente las étnicas.</w:t>
      </w:r>
      <w:r w:rsidR="307B5848">
        <w:t xml:space="preserve"> </w:t>
      </w:r>
      <w:r>
        <w:t>También busca promover una gobernanza minera participativa con énfasis en la planificación minero-ambiental y el desarrollo de una verdadera agenda pública de articulación institucional e intersectorial, que conlleve al logro de la transformación de los productos mineros y sea la base para la reindustrialización del país (ver ilustración 1</w:t>
      </w:r>
      <w:r w:rsidR="56A2F2C6">
        <w:t>9</w:t>
      </w:r>
      <w:r>
        <w:t>).</w:t>
      </w:r>
      <w:r w:rsidR="6D8559FA">
        <w:t xml:space="preserve"> </w:t>
      </w:r>
    </w:p>
    <w:p w:rsidR="31226965" w:rsidP="769A4CE5" w:rsidRDefault="31226965" w14:paraId="7888765C" w14:textId="47718B86">
      <w:pPr>
        <w:jc w:val="both"/>
      </w:pPr>
    </w:p>
    <w:p w:rsidRPr="00C01B40" w:rsidR="004D1361" w:rsidP="2A9888F1" w:rsidRDefault="65A9C8CC" w14:paraId="0BBA7A64" w14:textId="3D1A3BFC">
      <w:pPr>
        <w:pStyle w:val="Caption"/>
      </w:pPr>
      <w:bookmarkStart w:name="_Toc210292718" w:id="848"/>
      <w:r>
        <w:t xml:space="preserve">Ilustración </w:t>
      </w:r>
      <w:r w:rsidR="77FC60CA">
        <w:fldChar w:fldCharType="begin"/>
      </w:r>
      <w:r w:rsidR="77FC60CA">
        <w:instrText>SEQ Ilustración \* ARABIC</w:instrText>
      </w:r>
      <w:r w:rsidR="77FC60CA">
        <w:fldChar w:fldCharType="separate"/>
      </w:r>
      <w:r w:rsidRPr="02062875" w:rsidR="310BBB07">
        <w:rPr>
          <w:noProof/>
        </w:rPr>
        <w:t>19</w:t>
      </w:r>
      <w:r w:rsidR="77FC60CA">
        <w:fldChar w:fldCharType="end"/>
      </w:r>
      <w:r>
        <w:t xml:space="preserve">. </w:t>
      </w:r>
      <w:bookmarkStart w:name="_Hlk209167694" w:id="849"/>
      <w:r>
        <w:t>Enfoque sistémico integral para el desarrollo de la actividad minera</w:t>
      </w:r>
      <w:bookmarkEnd w:id="848"/>
      <w:bookmarkEnd w:id="849"/>
    </w:p>
    <w:p w:rsidR="004D1361" w:rsidP="02062875" w:rsidRDefault="725F1EAD" w14:paraId="0BF60913" w14:textId="54842B30">
      <w:pPr>
        <w:jc w:val="center"/>
      </w:pPr>
      <w:r>
        <w:rPr>
          <w:noProof/>
        </w:rPr>
        <w:drawing>
          <wp:inline distT="0" distB="0" distL="0" distR="0" wp14:anchorId="31FCF41E" wp14:editId="152D5BDB">
            <wp:extent cx="4419983" cy="3462828"/>
            <wp:effectExtent l="0" t="0" r="0" b="0"/>
            <wp:docPr id="50474352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743528" name=""/>
                    <pic:cNvPicPr/>
                  </pic:nvPicPr>
                  <pic:blipFill>
                    <a:blip r:embed="rId39">
                      <a:extLst>
                        <a:ext uri="{28A0092B-C50C-407E-A947-70E740481C1C}">
                          <a14:useLocalDpi xmlns:a14="http://schemas.microsoft.com/office/drawing/2010/main" val="0"/>
                        </a:ext>
                      </a:extLst>
                    </a:blip>
                    <a:stretch>
                      <a:fillRect/>
                    </a:stretch>
                  </pic:blipFill>
                  <pic:spPr>
                    <a:xfrm>
                      <a:off x="0" y="0"/>
                      <a:ext cx="4419983" cy="3462828"/>
                    </a:xfrm>
                    <a:prstGeom prst="rect">
                      <a:avLst/>
                    </a:prstGeom>
                  </pic:spPr>
                </pic:pic>
              </a:graphicData>
            </a:graphic>
          </wp:inline>
        </w:drawing>
      </w:r>
    </w:p>
    <w:p w:rsidR="004D1361" w:rsidP="004D1361" w:rsidRDefault="77FC60CA" w14:paraId="78C6E0F6" w14:textId="77777777">
      <w:pPr>
        <w:jc w:val="center"/>
        <w:rPr>
          <w:b/>
          <w:bCs/>
          <w:sz w:val="20"/>
          <w:szCs w:val="20"/>
        </w:rPr>
      </w:pPr>
      <w:r w:rsidRPr="2A9888F1">
        <w:rPr>
          <w:b/>
          <w:bCs/>
          <w:sz w:val="20"/>
          <w:szCs w:val="20"/>
        </w:rPr>
        <w:t xml:space="preserve">Fuente: Elaboración propia. </w:t>
      </w:r>
      <w:proofErr w:type="spellStart"/>
      <w:r w:rsidRPr="2A9888F1">
        <w:rPr>
          <w:b/>
          <w:bCs/>
          <w:sz w:val="20"/>
          <w:szCs w:val="20"/>
        </w:rPr>
        <w:t>MinEnergía</w:t>
      </w:r>
      <w:proofErr w:type="spellEnd"/>
      <w:r w:rsidRPr="2A9888F1">
        <w:rPr>
          <w:b/>
          <w:bCs/>
          <w:sz w:val="20"/>
          <w:szCs w:val="20"/>
        </w:rPr>
        <w:t xml:space="preserve"> 2023</w:t>
      </w:r>
    </w:p>
    <w:p w:rsidRPr="000B68D2" w:rsidR="00DF1598" w:rsidP="00DF1598" w:rsidRDefault="00DF1598" w14:paraId="1FEE6FB5" w14:textId="77777777">
      <w:pPr>
        <w:jc w:val="both"/>
        <w:rPr>
          <w:b/>
          <w:bCs/>
          <w:sz w:val="20"/>
          <w:szCs w:val="20"/>
        </w:rPr>
      </w:pPr>
    </w:p>
    <w:p w:rsidR="00C443D6" w:rsidRDefault="2924EFE2" w14:paraId="605C2DDD" w14:textId="4D52563B">
      <w:pPr>
        <w:pStyle w:val="Heading2"/>
        <w:numPr>
          <w:ilvl w:val="1"/>
          <w:numId w:val="8"/>
        </w:numPr>
        <w:ind w:left="426" w:hanging="426"/>
        <w:rPr>
          <w:lang w:val="es-ES"/>
        </w:rPr>
      </w:pPr>
      <w:bookmarkStart w:name="_Toc135903132" w:id="850"/>
      <w:bookmarkStart w:name="_Toc199511979" w:id="851"/>
      <w:bookmarkStart w:name="_Toc817974318" w:id="852"/>
      <w:bookmarkStart w:name="_Toc399921210" w:id="853"/>
      <w:bookmarkStart w:name="_Toc1958015458" w:id="854"/>
      <w:bookmarkStart w:name="_Toc1155874910" w:id="855"/>
      <w:bookmarkStart w:name="_Toc1779016667" w:id="856"/>
      <w:bookmarkStart w:name="_Toc622006403" w:id="857"/>
      <w:bookmarkStart w:name="_Toc85532396" w:id="858"/>
      <w:bookmarkStart w:name="_Toc760397558" w:id="859"/>
      <w:bookmarkStart w:name="_Toc292530552" w:id="860"/>
      <w:bookmarkStart w:name="_Toc441693166" w:id="861"/>
      <w:bookmarkStart w:name="_Toc1816733371" w:id="862"/>
      <w:bookmarkStart w:name="_Toc938352731" w:id="863"/>
      <w:bookmarkStart w:name="_Toc139405860" w:id="864"/>
      <w:bookmarkStart w:name="_Toc183662856" w:id="865"/>
      <w:bookmarkStart w:name="_Toc1747715528" w:id="866"/>
      <w:bookmarkStart w:name="_Toc397429305" w:id="867"/>
      <w:bookmarkStart w:name="_Toc466636302" w:id="868"/>
      <w:bookmarkStart w:name="_Toc1440368152" w:id="869"/>
      <w:bookmarkStart w:name="_Toc890265499" w:id="870"/>
      <w:bookmarkStart w:name="_Toc676607775" w:id="871"/>
      <w:bookmarkStart w:name="_Toc1490851908" w:id="872"/>
      <w:bookmarkStart w:name="_Toc503399212" w:id="873"/>
      <w:bookmarkStart w:name="_Toc1079090271" w:id="874"/>
      <w:bookmarkStart w:name="_Toc980851832" w:id="875"/>
      <w:bookmarkStart w:name="_Toc215664813" w:id="876"/>
      <w:bookmarkStart w:name="_Toc1420100854" w:id="877"/>
      <w:bookmarkStart w:name="_Toc210292987" w:id="878"/>
      <w:r w:rsidRPr="2A9888F1">
        <w:rPr>
          <w:lang w:val="es-ES"/>
        </w:rPr>
        <w:t>Minería planificada</w:t>
      </w:r>
      <w:r w:rsidRPr="2A9888F1" w:rsidR="78705547">
        <w:rPr>
          <w:lang w:val="es-ES"/>
        </w:rPr>
        <w:t>,</w:t>
      </w:r>
      <w:r w:rsidRPr="2A9888F1">
        <w:rPr>
          <w:lang w:val="es-ES"/>
        </w:rPr>
        <w:t xml:space="preserve"> </w:t>
      </w:r>
      <w:bookmarkEnd w:id="850"/>
      <w:r w:rsidRPr="2A9888F1">
        <w:rPr>
          <w:lang w:val="es-ES"/>
        </w:rPr>
        <w:t>ordenamiento minero-ambiental</w:t>
      </w:r>
      <w:bookmarkEnd w:id="851"/>
      <w:r w:rsidRPr="2A9888F1">
        <w:rPr>
          <w:lang w:val="es-ES"/>
        </w:rPr>
        <w:t xml:space="preserve"> </w:t>
      </w:r>
      <w:r w:rsidRPr="2A9888F1" w:rsidR="748400FD">
        <w:rPr>
          <w:lang w:val="es-ES"/>
        </w:rPr>
        <w:t>alrededor del agua</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rsidR="00C443D6" w:rsidP="00C443D6" w:rsidRDefault="00C443D6" w14:paraId="4B586967" w14:textId="77777777">
      <w:pPr>
        <w:rPr>
          <w:lang w:val="es-ES"/>
        </w:rPr>
      </w:pPr>
    </w:p>
    <w:p w:rsidR="00C443D6" w:rsidP="0B1866B7" w:rsidRDefault="67E53D3F" w14:paraId="68D643DE" w14:textId="2BF8628E">
      <w:pPr>
        <w:jc w:val="both"/>
        <w:rPr>
          <w:lang w:val="es-ES"/>
        </w:rPr>
      </w:pPr>
      <w:r w:rsidRPr="2A9888F1">
        <w:rPr>
          <w:lang w:val="es-ES"/>
        </w:rPr>
        <w:t>Con esta línea se busca que</w:t>
      </w:r>
      <w:r w:rsidRPr="2A9888F1" w:rsidR="490446D0">
        <w:rPr>
          <w:lang w:val="es-ES"/>
        </w:rPr>
        <w:t>,</w:t>
      </w:r>
      <w:r w:rsidRPr="2A9888F1">
        <w:rPr>
          <w:lang w:val="es-ES"/>
        </w:rPr>
        <w:t xml:space="preserve"> en el corto </w:t>
      </w:r>
      <w:r w:rsidRPr="2A9888F1" w:rsidR="1821DDF9">
        <w:rPr>
          <w:color w:val="000000" w:themeColor="text1"/>
          <w:lang w:val="es-ES"/>
        </w:rPr>
        <w:t>y mediano plazo</w:t>
      </w:r>
      <w:r w:rsidRPr="2A9888F1">
        <w:rPr>
          <w:color w:val="000000" w:themeColor="text1"/>
          <w:lang w:val="es-ES"/>
        </w:rPr>
        <w:t xml:space="preserve"> </w:t>
      </w:r>
      <w:r w:rsidRPr="2A9888F1">
        <w:rPr>
          <w:lang w:val="es-ES"/>
        </w:rPr>
        <w:t>la institucionalidad ambiental</w:t>
      </w:r>
      <w:r w:rsidRPr="2A9888F1" w:rsidR="0C62C9A9">
        <w:rPr>
          <w:lang w:val="es-ES"/>
        </w:rPr>
        <w:t xml:space="preserve"> y </w:t>
      </w:r>
      <w:r w:rsidRPr="2A9888F1">
        <w:rPr>
          <w:lang w:val="es-ES"/>
        </w:rPr>
        <w:t>minera</w:t>
      </w:r>
      <w:r w:rsidRPr="2A9888F1" w:rsidR="009E5F68">
        <w:rPr>
          <w:lang w:val="es-ES"/>
        </w:rPr>
        <w:t>,</w:t>
      </w:r>
      <w:r w:rsidRPr="2A9888F1" w:rsidR="2D8E20E3">
        <w:rPr>
          <w:lang w:val="es-ES"/>
        </w:rPr>
        <w:t xml:space="preserve"> </w:t>
      </w:r>
      <w:r w:rsidRPr="2A9888F1" w:rsidR="106EC790">
        <w:rPr>
          <w:lang w:val="es-ES"/>
        </w:rPr>
        <w:t xml:space="preserve">en articulación con </w:t>
      </w:r>
      <w:r w:rsidRPr="2A9888F1" w:rsidR="2D8E20E3">
        <w:rPr>
          <w:lang w:val="es-ES"/>
        </w:rPr>
        <w:t>los entes territoriales</w:t>
      </w:r>
      <w:r w:rsidRPr="2A9888F1" w:rsidR="009E5F68">
        <w:rPr>
          <w:lang w:val="es-ES"/>
        </w:rPr>
        <w:t>,</w:t>
      </w:r>
      <w:r w:rsidRPr="2A9888F1">
        <w:rPr>
          <w:lang w:val="es-ES"/>
        </w:rPr>
        <w:t xml:space="preserve"> avance en</w:t>
      </w:r>
      <w:r w:rsidRPr="2A9888F1" w:rsidR="69BC590F">
        <w:rPr>
          <w:lang w:val="es-ES"/>
        </w:rPr>
        <w:t xml:space="preserve"> acciones para la integración de instrumentos de planificación minero-ambiental. La institucionalidad ambiental y minera </w:t>
      </w:r>
      <w:r w:rsidRPr="2A9888F1" w:rsidR="75ED2B85">
        <w:rPr>
          <w:lang w:val="es-ES"/>
        </w:rPr>
        <w:t>promoverá</w:t>
      </w:r>
      <w:r w:rsidRPr="2A9888F1">
        <w:rPr>
          <w:lang w:val="es-ES"/>
        </w:rPr>
        <w:t xml:space="preserve"> la disponibilidad de información suficiente y de calidad sobre los componentes ambientales, socioculturales y de potencial mineral que permita su articulación e integración en los instrumentos de planificación </w:t>
      </w:r>
      <w:r w:rsidRPr="2A9888F1" w:rsidR="3374D572">
        <w:rPr>
          <w:lang w:val="es-ES"/>
        </w:rPr>
        <w:t>territorial,</w:t>
      </w:r>
      <w:r w:rsidRPr="2A9888F1">
        <w:rPr>
          <w:lang w:val="es-ES"/>
        </w:rPr>
        <w:t xml:space="preserve"> minero</w:t>
      </w:r>
      <w:r w:rsidRPr="2A9888F1" w:rsidR="5236D867">
        <w:rPr>
          <w:lang w:val="es-ES"/>
        </w:rPr>
        <w:t xml:space="preserve"> y </w:t>
      </w:r>
      <w:r w:rsidRPr="2A9888F1">
        <w:rPr>
          <w:lang w:val="es-ES"/>
        </w:rPr>
        <w:t>ambiental</w:t>
      </w:r>
      <w:r w:rsidR="3D108899">
        <w:t>.</w:t>
      </w:r>
      <w:r w:rsidRPr="2A9888F1">
        <w:rPr>
          <w:lang w:val="es-ES"/>
        </w:rPr>
        <w:t xml:space="preserve"> </w:t>
      </w:r>
      <w:r w:rsidRPr="2A9888F1" w:rsidR="3D108899">
        <w:rPr>
          <w:lang w:val="es-ES"/>
        </w:rPr>
        <w:t>A</w:t>
      </w:r>
      <w:r w:rsidRPr="2A9888F1">
        <w:rPr>
          <w:lang w:val="es-ES"/>
        </w:rPr>
        <w:t>sí mismo, estable</w:t>
      </w:r>
      <w:r w:rsidRPr="2A9888F1" w:rsidR="486575C3">
        <w:rPr>
          <w:lang w:val="es-ES"/>
        </w:rPr>
        <w:t>cerán</w:t>
      </w:r>
      <w:r w:rsidRPr="2A9888F1">
        <w:rPr>
          <w:lang w:val="es-ES"/>
        </w:rPr>
        <w:t xml:space="preserve"> criterios, metodologías e insumos para el ejercicio de la participación y el acceso a la información ambiental y minera en la gestión de los instrumentos de política referidos al ordenamiento minero</w:t>
      </w:r>
      <w:r w:rsidRPr="2A9888F1" w:rsidR="3D108899">
        <w:rPr>
          <w:lang w:val="es-ES"/>
        </w:rPr>
        <w:t>-</w:t>
      </w:r>
      <w:r w:rsidRPr="2A9888F1">
        <w:rPr>
          <w:lang w:val="es-ES"/>
        </w:rPr>
        <w:t xml:space="preserve">ambiental. Es una prioridad garantizar de manera efectiva que el otorgamiento de títulos y/o nuevas concesiones mineras, así como su licenciamiento ambiental se fundamenten en un ordenamiento </w:t>
      </w:r>
      <w:r w:rsidRPr="2A9888F1" w:rsidR="7E3F6705">
        <w:rPr>
          <w:color w:val="000000" w:themeColor="text1"/>
          <w:lang w:val="es-ES"/>
        </w:rPr>
        <w:t xml:space="preserve">minero-ambiental </w:t>
      </w:r>
      <w:r w:rsidRPr="2A9888F1">
        <w:rPr>
          <w:lang w:val="es-ES"/>
        </w:rPr>
        <w:t xml:space="preserve">actualizado, que como mínimo considere los preceptos y alcances de los artículos 34 y 36 del </w:t>
      </w:r>
      <w:r w:rsidRPr="2A9888F1" w:rsidR="3D574385">
        <w:rPr>
          <w:lang w:val="es-ES"/>
        </w:rPr>
        <w:t>C</w:t>
      </w:r>
      <w:r w:rsidRPr="2A9888F1">
        <w:rPr>
          <w:lang w:val="es-ES"/>
        </w:rPr>
        <w:t>ódigo</w:t>
      </w:r>
      <w:r w:rsidRPr="2A9888F1" w:rsidR="4D927285">
        <w:rPr>
          <w:lang w:val="es-ES"/>
        </w:rPr>
        <w:t xml:space="preserve"> </w:t>
      </w:r>
      <w:r w:rsidRPr="2A9888F1" w:rsidR="3D574385">
        <w:rPr>
          <w:lang w:val="es-ES"/>
        </w:rPr>
        <w:t>de</w:t>
      </w:r>
      <w:r w:rsidRPr="2A9888F1">
        <w:rPr>
          <w:lang w:val="es-ES"/>
        </w:rPr>
        <w:t xml:space="preserve"> </w:t>
      </w:r>
      <w:r w:rsidRPr="2A9888F1" w:rsidR="3D574385">
        <w:rPr>
          <w:lang w:val="es-ES"/>
        </w:rPr>
        <w:t>M</w:t>
      </w:r>
      <w:r w:rsidRPr="2A9888F1">
        <w:rPr>
          <w:lang w:val="es-ES"/>
        </w:rPr>
        <w:t>inas</w:t>
      </w:r>
      <w:r w:rsidRPr="2A9888F1" w:rsidR="4D927285">
        <w:rPr>
          <w:lang w:val="es-ES"/>
        </w:rPr>
        <w:t xml:space="preserve"> (Ley 685 de 2001)</w:t>
      </w:r>
      <w:r w:rsidRPr="2A9888F1">
        <w:rPr>
          <w:lang w:val="es-ES"/>
        </w:rPr>
        <w:t xml:space="preserve"> e integre las acciones de coordinación, articulación y armonización con la planificación territorial.</w:t>
      </w:r>
    </w:p>
    <w:p w:rsidR="00C443D6" w:rsidP="000B68D2" w:rsidRDefault="67E53D3F" w14:paraId="19D06066" w14:textId="059B4610">
      <w:pPr>
        <w:jc w:val="both"/>
        <w:rPr>
          <w:lang w:val="es-ES"/>
        </w:rPr>
      </w:pPr>
      <w:r w:rsidRPr="2A9888F1">
        <w:rPr>
          <w:lang w:val="es-ES"/>
        </w:rPr>
        <w:t xml:space="preserve">Para el ordenamiento </w:t>
      </w:r>
      <w:r w:rsidRPr="2A9888F1" w:rsidR="7E3F6705">
        <w:rPr>
          <w:color w:val="000000" w:themeColor="text1"/>
          <w:lang w:val="es-ES"/>
        </w:rPr>
        <w:t>minero-ambiental</w:t>
      </w:r>
      <w:r w:rsidRPr="2A9888F1" w:rsidR="4D927285">
        <w:rPr>
          <w:color w:val="000000" w:themeColor="text1"/>
          <w:lang w:val="es-ES"/>
        </w:rPr>
        <w:t xml:space="preserve">, </w:t>
      </w:r>
      <w:r w:rsidRPr="2A9888F1">
        <w:rPr>
          <w:lang w:val="es-ES"/>
        </w:rPr>
        <w:t>además de la información con la que ya dispone,</w:t>
      </w:r>
      <w:r w:rsidRPr="2A9888F1" w:rsidR="4D927285">
        <w:rPr>
          <w:lang w:val="es-ES"/>
        </w:rPr>
        <w:t xml:space="preserve"> se</w:t>
      </w:r>
      <w:r w:rsidRPr="2A9888F1">
        <w:rPr>
          <w:lang w:val="es-ES"/>
        </w:rPr>
        <w:t xml:space="preserve"> tendrá como soporte toda la información geológica </w:t>
      </w:r>
      <w:r w:rsidRPr="2A9888F1" w:rsidR="6AD56E5C">
        <w:rPr>
          <w:lang w:val="es-ES"/>
        </w:rPr>
        <w:t>d</w:t>
      </w:r>
      <w:r w:rsidRPr="2A9888F1">
        <w:rPr>
          <w:lang w:val="es-ES"/>
        </w:rPr>
        <w:t xml:space="preserve">el </w:t>
      </w:r>
      <w:r w:rsidRPr="2A9888F1" w:rsidR="77871C2C">
        <w:rPr>
          <w:lang w:val="es-ES"/>
        </w:rPr>
        <w:t>SGC</w:t>
      </w:r>
      <w:r w:rsidRPr="2A9888F1">
        <w:rPr>
          <w:lang w:val="es-ES"/>
        </w:rPr>
        <w:t xml:space="preserve"> </w:t>
      </w:r>
      <w:r w:rsidRPr="2A9888F1" w:rsidR="6AD56E5C">
        <w:rPr>
          <w:lang w:val="es-ES"/>
        </w:rPr>
        <w:t>resultado</w:t>
      </w:r>
      <w:r w:rsidRPr="2A9888F1">
        <w:rPr>
          <w:lang w:val="es-ES"/>
        </w:rPr>
        <w:t xml:space="preserve"> de los avances que se logren con el Plan </w:t>
      </w:r>
      <w:r w:rsidRPr="2A9888F1" w:rsidR="7AB88B29">
        <w:rPr>
          <w:lang w:val="es-ES"/>
        </w:rPr>
        <w:t>N</w:t>
      </w:r>
      <w:r w:rsidRPr="2A9888F1">
        <w:rPr>
          <w:lang w:val="es-ES"/>
        </w:rPr>
        <w:t xml:space="preserve">acional de Conocimiento </w:t>
      </w:r>
      <w:proofErr w:type="spellStart"/>
      <w:r w:rsidRPr="2A9888F1">
        <w:rPr>
          <w:lang w:val="es-ES"/>
        </w:rPr>
        <w:t>Geocientífico</w:t>
      </w:r>
      <w:proofErr w:type="spellEnd"/>
      <w:r w:rsidRPr="2A9888F1">
        <w:rPr>
          <w:lang w:val="es-ES"/>
        </w:rPr>
        <w:t>,</w:t>
      </w:r>
      <w:r w:rsidRPr="2A9888F1" w:rsidR="7AB88B29">
        <w:rPr>
          <w:lang w:val="es-ES"/>
        </w:rPr>
        <w:t xml:space="preserve"> y</w:t>
      </w:r>
      <w:r w:rsidRPr="2A9888F1">
        <w:rPr>
          <w:lang w:val="es-ES"/>
        </w:rPr>
        <w:t xml:space="preserve"> con la información sobre </w:t>
      </w:r>
      <w:r w:rsidRPr="2A9888F1" w:rsidR="19FAF358">
        <w:rPr>
          <w:lang w:val="es-ES"/>
        </w:rPr>
        <w:t>componentes</w:t>
      </w:r>
      <w:r w:rsidRPr="2A9888F1">
        <w:rPr>
          <w:lang w:val="es-ES"/>
        </w:rPr>
        <w:t xml:space="preserve"> socioculturales</w:t>
      </w:r>
      <w:r w:rsidRPr="2A9888F1" w:rsidR="65E37CF6">
        <w:rPr>
          <w:lang w:val="es-ES"/>
        </w:rPr>
        <w:t xml:space="preserve"> requerida.</w:t>
      </w:r>
    </w:p>
    <w:p w:rsidR="00C443D6" w:rsidP="000B68D2" w:rsidRDefault="124C04F4" w14:paraId="583D52EC" w14:textId="7320FDB7">
      <w:pPr>
        <w:jc w:val="both"/>
        <w:rPr>
          <w:lang w:val="es-ES"/>
        </w:rPr>
      </w:pPr>
      <w:r w:rsidRPr="2A9888F1">
        <w:rPr>
          <w:lang w:val="es-ES"/>
        </w:rPr>
        <w:t>Las acciones clave para lograr resultados en esta línea estratégica se concentrarán en:</w:t>
      </w:r>
    </w:p>
    <w:p w:rsidR="00490CAE" w:rsidP="00490CAE" w:rsidRDefault="12BE7477" w14:paraId="2E936030" w14:textId="6F271574">
      <w:pPr>
        <w:spacing w:after="0" w:line="240" w:lineRule="auto"/>
        <w:jc w:val="both"/>
        <w:rPr>
          <w:lang w:val="es-ES"/>
        </w:rPr>
      </w:pPr>
      <w:r w:rsidRPr="2A9888F1">
        <w:rPr>
          <w:lang w:val="es-ES"/>
        </w:rPr>
        <w:t xml:space="preserve">Avanzar en el ordenamiento ambiental del territorio como base fundamental para la debida aplicación de los </w:t>
      </w:r>
      <w:r w:rsidRPr="2A9888F1" w:rsidR="16674757">
        <w:rPr>
          <w:lang w:val="es-ES"/>
        </w:rPr>
        <w:t>artículos 34 y 36 del Código de Minas</w:t>
      </w:r>
      <w:r w:rsidRPr="2A9888F1" w:rsidR="434308F6">
        <w:rPr>
          <w:lang w:val="es-ES"/>
        </w:rPr>
        <w:t xml:space="preserve"> y lo definido en la Ley 1450</w:t>
      </w:r>
      <w:r w:rsidRPr="2A9888F1" w:rsidR="131F9529">
        <w:rPr>
          <w:lang w:val="es-ES"/>
        </w:rPr>
        <w:t xml:space="preserve"> de</w:t>
      </w:r>
      <w:r w:rsidRPr="2A9888F1" w:rsidR="434308F6">
        <w:rPr>
          <w:lang w:val="es-ES"/>
        </w:rPr>
        <w:t xml:space="preserve"> 2011 y 1753</w:t>
      </w:r>
      <w:r w:rsidRPr="2A9888F1" w:rsidR="131F9529">
        <w:rPr>
          <w:lang w:val="es-ES"/>
        </w:rPr>
        <w:t xml:space="preserve"> de</w:t>
      </w:r>
      <w:r w:rsidRPr="2A9888F1" w:rsidR="434308F6">
        <w:rPr>
          <w:lang w:val="es-ES"/>
        </w:rPr>
        <w:t xml:space="preserve"> 2014</w:t>
      </w:r>
      <w:r w:rsidRPr="2A9888F1" w:rsidR="131F9529">
        <w:rPr>
          <w:lang w:val="es-ES"/>
        </w:rPr>
        <w:t xml:space="preserve">, </w:t>
      </w:r>
      <w:r w:rsidRPr="2A9888F1" w:rsidR="16674757">
        <w:rPr>
          <w:lang w:val="es-ES"/>
        </w:rPr>
        <w:t>conforme</w:t>
      </w:r>
      <w:r w:rsidRPr="2A9888F1" w:rsidR="558954DB">
        <w:rPr>
          <w:lang w:val="es-ES"/>
        </w:rPr>
        <w:t xml:space="preserve"> a</w:t>
      </w:r>
      <w:r w:rsidRPr="2A9888F1" w:rsidR="16674757">
        <w:rPr>
          <w:lang w:val="es-ES"/>
        </w:rPr>
        <w:t xml:space="preserve"> la jurisprudencia de la Corte Constitucional en las sentencias C-339</w:t>
      </w:r>
      <w:r w:rsidRPr="2A9888F1" w:rsidR="073B8396">
        <w:rPr>
          <w:lang w:val="es-ES"/>
        </w:rPr>
        <w:t xml:space="preserve"> de</w:t>
      </w:r>
      <w:r w:rsidRPr="2A9888F1" w:rsidR="16674757">
        <w:rPr>
          <w:lang w:val="es-ES"/>
        </w:rPr>
        <w:t>2002, C-443</w:t>
      </w:r>
      <w:r w:rsidRPr="2A9888F1" w:rsidR="3E945B00">
        <w:rPr>
          <w:lang w:val="es-ES"/>
        </w:rPr>
        <w:t xml:space="preserve"> de </w:t>
      </w:r>
      <w:r w:rsidRPr="2A9888F1" w:rsidR="16674757">
        <w:rPr>
          <w:lang w:val="es-ES"/>
        </w:rPr>
        <w:t>2009 y C-389</w:t>
      </w:r>
      <w:r w:rsidRPr="2A9888F1" w:rsidR="2C14F79D">
        <w:rPr>
          <w:lang w:val="es-ES"/>
        </w:rPr>
        <w:t xml:space="preserve"> de </w:t>
      </w:r>
      <w:r w:rsidRPr="2A9888F1" w:rsidR="16674757">
        <w:rPr>
          <w:lang w:val="es-ES"/>
        </w:rPr>
        <w:t>2016</w:t>
      </w:r>
      <w:r w:rsidRPr="2A9888F1" w:rsidR="20A832A6">
        <w:rPr>
          <w:lang w:val="es-ES"/>
        </w:rPr>
        <w:t>:</w:t>
      </w:r>
    </w:p>
    <w:p w:rsidR="00933157" w:rsidP="00490CAE" w:rsidRDefault="00933157" w14:paraId="0BDE391B" w14:textId="77777777">
      <w:pPr>
        <w:spacing w:after="0" w:line="240" w:lineRule="auto"/>
        <w:jc w:val="both"/>
        <w:rPr>
          <w:lang w:val="es-ES"/>
        </w:rPr>
      </w:pPr>
    </w:p>
    <w:p w:rsidR="00CA31A2" w:rsidP="001C54B2" w:rsidRDefault="2A752EDF" w14:paraId="77237F16" w14:textId="7513362D">
      <w:pPr>
        <w:pStyle w:val="ListParagraph"/>
        <w:numPr>
          <w:ilvl w:val="0"/>
          <w:numId w:val="35"/>
        </w:numPr>
        <w:jc w:val="both"/>
        <w:rPr>
          <w:lang w:val="es-ES"/>
        </w:rPr>
      </w:pPr>
      <w:r w:rsidRPr="2A9888F1">
        <w:rPr>
          <w:lang w:val="es-ES"/>
        </w:rPr>
        <w:t>Hacer s</w:t>
      </w:r>
      <w:r w:rsidRPr="2A9888F1" w:rsidR="7799666C">
        <w:rPr>
          <w:lang w:val="es-ES"/>
        </w:rPr>
        <w:t xml:space="preserve">eguimiento a la definición y actualización de las determinantes ambientales en el ordenamiento territorial, en especial las nuevas zonas de exclusión de la actividad minera y las bases de datos de las autoridades ambientales regionales que las contengan. </w:t>
      </w:r>
    </w:p>
    <w:p w:rsidRPr="00CA31A2" w:rsidR="00CA31A2" w:rsidP="00CA31A2" w:rsidRDefault="00CA31A2" w14:paraId="303A952D" w14:textId="77777777">
      <w:pPr>
        <w:pStyle w:val="ListParagraph"/>
        <w:jc w:val="both"/>
        <w:rPr>
          <w:lang w:val="es-ES"/>
        </w:rPr>
      </w:pPr>
    </w:p>
    <w:p w:rsidRPr="00CA31A2" w:rsidR="00CA31A2" w:rsidP="001C54B2" w:rsidRDefault="7799666C" w14:paraId="53A38568" w14:textId="775B2777">
      <w:pPr>
        <w:pStyle w:val="ListParagraph"/>
        <w:numPr>
          <w:ilvl w:val="0"/>
          <w:numId w:val="35"/>
        </w:numPr>
        <w:spacing w:after="0"/>
        <w:jc w:val="both"/>
        <w:rPr>
          <w:lang w:val="es-ES"/>
        </w:rPr>
      </w:pPr>
      <w:r w:rsidRPr="2A9888F1">
        <w:rPr>
          <w:lang w:val="es-ES"/>
        </w:rPr>
        <w:t>Actualizar periódicamente el Catastro Minero Colombiano conforme con la información de las áreas protegidas con registro en el RUNAP y los ecosistemas estratégicos de las autoridades ambientales regionales, para tener la identificación oportuna de las áreas en las cuales está excluida o restringida la actividad minera.</w:t>
      </w:r>
    </w:p>
    <w:p w:rsidRPr="00CA31A2" w:rsidR="00CA31A2" w:rsidP="00CA31A2" w:rsidRDefault="00CA31A2" w14:paraId="1E418BF9" w14:textId="77777777">
      <w:pPr>
        <w:pStyle w:val="ListParagraph"/>
        <w:jc w:val="both"/>
        <w:rPr>
          <w:lang w:val="es-ES"/>
        </w:rPr>
      </w:pPr>
    </w:p>
    <w:p w:rsidR="00CA31A2" w:rsidP="001C54B2" w:rsidRDefault="7799666C" w14:paraId="72D34C99" w14:textId="77777777">
      <w:pPr>
        <w:pStyle w:val="ListParagraph"/>
        <w:numPr>
          <w:ilvl w:val="0"/>
          <w:numId w:val="35"/>
        </w:numPr>
        <w:spacing w:after="0"/>
        <w:jc w:val="both"/>
        <w:rPr>
          <w:lang w:val="es-ES"/>
        </w:rPr>
      </w:pPr>
      <w:r w:rsidRPr="2A9888F1">
        <w:rPr>
          <w:lang w:val="es-ES"/>
        </w:rPr>
        <w:t>Participar activamente en los procesos de formulación de los planes de manejo para las áreas protegidas que permitan la actividad minera de manera condicionada, con el fin de gestionar las áreas y los impactos que se puedan generar.</w:t>
      </w:r>
    </w:p>
    <w:p w:rsidRPr="00CA31A2" w:rsidR="00CA31A2" w:rsidP="00CA31A2" w:rsidRDefault="00CA31A2" w14:paraId="2F2E7AA6" w14:textId="77777777">
      <w:pPr>
        <w:pStyle w:val="ListParagraph"/>
        <w:rPr>
          <w:lang w:val="es-ES"/>
        </w:rPr>
      </w:pPr>
    </w:p>
    <w:p w:rsidR="00CA31A2" w:rsidP="001C54B2" w:rsidRDefault="0F932904" w14:paraId="35102B07" w14:textId="66649882">
      <w:pPr>
        <w:pStyle w:val="ListParagraph"/>
        <w:numPr>
          <w:ilvl w:val="0"/>
          <w:numId w:val="35"/>
        </w:numPr>
        <w:spacing w:after="0"/>
        <w:jc w:val="both"/>
        <w:rPr>
          <w:lang w:val="es-ES"/>
        </w:rPr>
      </w:pPr>
      <w:r w:rsidRPr="3845A57C">
        <w:rPr>
          <w:lang w:val="es-ES"/>
        </w:rPr>
        <w:t xml:space="preserve">Formular el Plan de Ordenamiento Minero Ambiental del país, </w:t>
      </w:r>
      <w:r w:rsidRPr="3845A57C" w:rsidR="0F3E5210">
        <w:rPr>
          <w:lang w:val="es-ES"/>
        </w:rPr>
        <w:t>con vigencia de 10 años</w:t>
      </w:r>
      <w:r w:rsidRPr="3845A57C">
        <w:rPr>
          <w:lang w:val="es-ES"/>
        </w:rPr>
        <w:t>, que integre variables del ordenamiento minero-ambiental, que tenga en cuenta el potencial mineral, la situación sociocultural y económica de las regiones tradicionalmente mineras. Este ordenamiento soportaría las decisiones del otorgamiento de nuevas concesiones respetando determinantes ambientales, componentes socioculturales, además de las pautas para realizar una gestión responsable, una minería productiva en el territorio y la inclusión de lineamientos de eficiencia energética y estrategias de autogeneración eléctrica. Asimismo, el Plan integraría la planeación previa en consideración a la soberanía del Estado sobre el recurso minero.</w:t>
      </w:r>
    </w:p>
    <w:p w:rsidRPr="00CA31A2" w:rsidR="00CA31A2" w:rsidP="00CA31A2" w:rsidRDefault="00CA31A2" w14:paraId="484F7D11" w14:textId="77777777">
      <w:pPr>
        <w:pStyle w:val="ListParagraph"/>
        <w:rPr>
          <w:lang w:val="es-ES"/>
        </w:rPr>
      </w:pPr>
    </w:p>
    <w:p w:rsidR="00CA31A2" w:rsidP="001C54B2" w:rsidRDefault="7799666C" w14:paraId="4CC55D4D" w14:textId="77777777">
      <w:pPr>
        <w:pStyle w:val="ListParagraph"/>
        <w:numPr>
          <w:ilvl w:val="0"/>
          <w:numId w:val="35"/>
        </w:numPr>
        <w:spacing w:after="0"/>
        <w:jc w:val="both"/>
        <w:rPr>
          <w:lang w:val="es-ES"/>
        </w:rPr>
      </w:pPr>
      <w:r w:rsidRPr="2A9888F1">
        <w:rPr>
          <w:lang w:val="es-ES"/>
        </w:rPr>
        <w:t>Adoptar el Plan Nacional de Desarrollo Minero (PNDM) con horizonte al año 2035.</w:t>
      </w:r>
    </w:p>
    <w:p w:rsidRPr="00CA31A2" w:rsidR="00CA31A2" w:rsidP="00CA31A2" w:rsidRDefault="00CA31A2" w14:paraId="4A9936ED" w14:textId="77777777">
      <w:pPr>
        <w:pStyle w:val="ListParagraph"/>
        <w:rPr>
          <w:lang w:val="es-ES"/>
        </w:rPr>
      </w:pPr>
    </w:p>
    <w:p w:rsidR="00CA31A2" w:rsidP="001C54B2" w:rsidRDefault="7799666C" w14:paraId="25EAF378" w14:textId="77777777">
      <w:pPr>
        <w:pStyle w:val="ListParagraph"/>
        <w:numPr>
          <w:ilvl w:val="0"/>
          <w:numId w:val="35"/>
        </w:numPr>
        <w:spacing w:after="0"/>
        <w:jc w:val="both"/>
        <w:rPr>
          <w:lang w:val="es-ES"/>
        </w:rPr>
      </w:pPr>
      <w:r w:rsidRPr="2A9888F1">
        <w:rPr>
          <w:lang w:val="es-ES"/>
        </w:rPr>
        <w:t xml:space="preserve">Promover Evaluaciones Ambientales Estratégicas-EAE del sector en articulación con </w:t>
      </w:r>
      <w:proofErr w:type="spellStart"/>
      <w:r w:rsidRPr="2A9888F1">
        <w:rPr>
          <w:lang w:val="es-ES"/>
        </w:rPr>
        <w:t>MinAmbiente</w:t>
      </w:r>
      <w:proofErr w:type="spellEnd"/>
      <w:r w:rsidRPr="2A9888F1">
        <w:rPr>
          <w:lang w:val="es-ES"/>
        </w:rPr>
        <w:t>, en los casos en que se considere pertinente, para mejorar la toma de decisiones estratégicas.</w:t>
      </w:r>
    </w:p>
    <w:p w:rsidRPr="00CA31A2" w:rsidR="00CA31A2" w:rsidP="00CA31A2" w:rsidRDefault="00CA31A2" w14:paraId="418B1012" w14:textId="77777777">
      <w:pPr>
        <w:pStyle w:val="ListParagraph"/>
        <w:rPr>
          <w:lang w:val="es-ES"/>
        </w:rPr>
      </w:pPr>
    </w:p>
    <w:p w:rsidR="00CA31A2" w:rsidP="001C54B2" w:rsidRDefault="7799666C" w14:paraId="160060F1" w14:textId="77777777">
      <w:pPr>
        <w:pStyle w:val="ListParagraph"/>
        <w:numPr>
          <w:ilvl w:val="0"/>
          <w:numId w:val="35"/>
        </w:numPr>
        <w:spacing w:after="0"/>
        <w:jc w:val="both"/>
        <w:rPr>
          <w:lang w:val="es-ES"/>
        </w:rPr>
      </w:pPr>
      <w:r w:rsidRPr="2A9888F1">
        <w:rPr>
          <w:lang w:val="es-ES"/>
        </w:rPr>
        <w:t>Implementar un protocolo unificado para el ejercicio de la participación interinstitucional, comunitaria y de la sociedad civil en el ordenamiento minero ambiental, evaluación, fiscalización, seguimiento y control de las actividades mineras, garantizando el acceso a la información de ambos sectores y la participación de mujeres, personas LGBTIQ+ y comunidades étnico-raciales.</w:t>
      </w:r>
    </w:p>
    <w:p w:rsidRPr="00CA31A2" w:rsidR="00CA31A2" w:rsidP="00CA31A2" w:rsidRDefault="00CA31A2" w14:paraId="2793CAE1" w14:textId="77777777">
      <w:pPr>
        <w:pStyle w:val="ListParagraph"/>
        <w:rPr>
          <w:lang w:val="es-ES"/>
        </w:rPr>
      </w:pPr>
    </w:p>
    <w:p w:rsidR="00CA31A2" w:rsidP="001C54B2" w:rsidRDefault="7799666C" w14:paraId="1E0663AB" w14:textId="77777777">
      <w:pPr>
        <w:pStyle w:val="ListParagraph"/>
        <w:numPr>
          <w:ilvl w:val="0"/>
          <w:numId w:val="35"/>
        </w:numPr>
        <w:spacing w:after="0"/>
        <w:jc w:val="both"/>
        <w:rPr>
          <w:lang w:val="es-ES"/>
        </w:rPr>
      </w:pPr>
      <w:r w:rsidRPr="2A9888F1">
        <w:rPr>
          <w:lang w:val="es-ES"/>
        </w:rPr>
        <w:t>Crear un mecanismo de armonización entre las figuras de utilidad pública e interés social en lo ambiental y minero.</w:t>
      </w:r>
    </w:p>
    <w:p w:rsidRPr="00CA31A2" w:rsidR="00CA31A2" w:rsidP="00CA31A2" w:rsidRDefault="00CA31A2" w14:paraId="762A4F77" w14:textId="77777777">
      <w:pPr>
        <w:pStyle w:val="ListParagraph"/>
        <w:rPr>
          <w:lang w:val="es-ES"/>
        </w:rPr>
      </w:pPr>
    </w:p>
    <w:p w:rsidR="00CA31A2" w:rsidP="001C54B2" w:rsidRDefault="7799666C" w14:paraId="14259745" w14:textId="36C0D05D">
      <w:pPr>
        <w:pStyle w:val="ListParagraph"/>
        <w:numPr>
          <w:ilvl w:val="0"/>
          <w:numId w:val="35"/>
        </w:numPr>
        <w:spacing w:after="0"/>
        <w:jc w:val="both"/>
        <w:rPr>
          <w:lang w:val="es-ES"/>
        </w:rPr>
      </w:pPr>
      <w:r w:rsidRPr="2A9888F1">
        <w:rPr>
          <w:lang w:val="es-ES"/>
        </w:rPr>
        <w:t xml:space="preserve">Apoyar la creación de un inventario de pasivos ambientales o áreas de sospecha de pasivos generados por minería, según lo defina </w:t>
      </w:r>
      <w:proofErr w:type="spellStart"/>
      <w:r w:rsidRPr="2A9888F1">
        <w:rPr>
          <w:lang w:val="es-ES"/>
        </w:rPr>
        <w:t>MinAmbiente</w:t>
      </w:r>
      <w:proofErr w:type="spellEnd"/>
      <w:r w:rsidRPr="2A9888F1">
        <w:rPr>
          <w:lang w:val="es-ES"/>
        </w:rPr>
        <w:t xml:space="preserve"> así como apoyar el desarrollo de la normativa para la gestión y la prevención de dichas áreas, de acuerdo con lo previsto en la Ley 2327 de 2023.</w:t>
      </w:r>
    </w:p>
    <w:p w:rsidRPr="00933157" w:rsidR="00933157" w:rsidP="00933157" w:rsidRDefault="00933157" w14:paraId="1418D22A" w14:textId="77777777">
      <w:pPr>
        <w:pStyle w:val="ListParagraph"/>
        <w:rPr>
          <w:lang w:val="es-ES"/>
        </w:rPr>
      </w:pPr>
    </w:p>
    <w:p w:rsidRPr="00933157" w:rsidR="00933157" w:rsidP="001C54B2" w:rsidRDefault="0943CE32" w14:paraId="38084354" w14:textId="77777777">
      <w:pPr>
        <w:pStyle w:val="ListParagraph"/>
        <w:numPr>
          <w:ilvl w:val="0"/>
          <w:numId w:val="35"/>
        </w:numPr>
        <w:spacing w:after="0" w:line="240" w:lineRule="auto"/>
        <w:jc w:val="both"/>
        <w:rPr>
          <w:rFonts w:eastAsia="Arial" w:cs="Arial"/>
          <w:lang w:val="es-ES"/>
        </w:rPr>
      </w:pPr>
      <w:r w:rsidRPr="2A9888F1">
        <w:rPr>
          <w:rFonts w:eastAsia="Arial" w:cs="Arial"/>
          <w:lang w:val="es"/>
        </w:rPr>
        <w:t>Declarar y delimitar las áreas que presenten alto potencial minero como AREM en el territorio nacional que se encuentren libres. Una vez se efectúe evaluación sobre su potencial minero, las A</w:t>
      </w:r>
      <w:r w:rsidRPr="2A9888F1">
        <w:rPr>
          <w:rFonts w:eastAsia="Arial" w:cs="Arial"/>
          <w:color w:val="000000" w:themeColor="text1"/>
          <w:lang w:val="es"/>
        </w:rPr>
        <w:t>REM</w:t>
      </w:r>
      <w:r w:rsidRPr="2A9888F1">
        <w:rPr>
          <w:rFonts w:eastAsia="Arial" w:cs="Arial"/>
          <w:lang w:val="es"/>
        </w:rPr>
        <w:t xml:space="preserve"> podrán ser otorgadas mediante un proceso de selección objetiva, de conformidad con los requisitos mínimos de participación, los factores de calificación, las obligaciones especiales del contratista y las contraprestaciones económicas mínimas adicionales a las regalías, definidos por la ANM.</w:t>
      </w:r>
    </w:p>
    <w:p w:rsidRPr="00933157" w:rsidR="00933157" w:rsidP="00933157" w:rsidRDefault="00933157" w14:paraId="17D447C7" w14:textId="77777777">
      <w:pPr>
        <w:spacing w:after="0" w:line="240" w:lineRule="auto"/>
        <w:jc w:val="both"/>
        <w:rPr>
          <w:rFonts w:eastAsia="Arial" w:cs="Arial"/>
          <w:lang w:val="es-ES"/>
        </w:rPr>
      </w:pPr>
    </w:p>
    <w:p w:rsidRPr="00933157" w:rsidR="00933157" w:rsidP="2A9888F1" w:rsidRDefault="0943CE32" w14:paraId="300BBAB1" w14:textId="77777777">
      <w:pPr>
        <w:pStyle w:val="ListParagraph"/>
        <w:numPr>
          <w:ilvl w:val="0"/>
          <w:numId w:val="35"/>
        </w:numPr>
        <w:spacing w:after="0" w:line="240" w:lineRule="auto"/>
        <w:jc w:val="both"/>
        <w:rPr>
          <w:lang w:val="es"/>
        </w:rPr>
      </w:pPr>
      <w:r w:rsidRPr="2A9888F1">
        <w:rPr>
          <w:rFonts w:eastAsia="Aptos"/>
          <w:color w:val="000000" w:themeColor="text1"/>
        </w:rPr>
        <w:t>Crear un Sistema Nacional de Planificación Minero Ambiental, como instancia técnica intersectorial encargada de coordinar y armonizar la toma de decisiones entre el sector minero y el sector ambiental. El Sistema estará conformado por el Ministerio de Minas y Energía, el Ministerio de Ambiente y Desarrollo Sostenible, la Agencia Nacional de Minería, la ANLA, el SGC, la UPME y representantes de autoridades ambientales regionales.</w:t>
      </w:r>
    </w:p>
    <w:p w:rsidRPr="00933157" w:rsidR="00933157" w:rsidP="00933157" w:rsidRDefault="00933157" w14:paraId="6FEA8C64" w14:textId="77777777">
      <w:pPr>
        <w:spacing w:after="0"/>
        <w:ind w:left="360"/>
        <w:jc w:val="both"/>
        <w:rPr>
          <w:lang w:val="es-ES"/>
        </w:rPr>
      </w:pPr>
    </w:p>
    <w:p w:rsidR="00AE5849" w:rsidP="00C443D6" w:rsidRDefault="00AE5849" w14:paraId="0CACAEF6" w14:textId="77777777">
      <w:pPr>
        <w:rPr>
          <w:lang w:val="es-ES"/>
        </w:rPr>
      </w:pPr>
    </w:p>
    <w:p w:rsidR="00C443D6" w:rsidRDefault="2924EFE2" w14:paraId="0E5D5F83" w14:textId="5AC5FB1C">
      <w:pPr>
        <w:pStyle w:val="Heading2"/>
        <w:numPr>
          <w:ilvl w:val="1"/>
          <w:numId w:val="8"/>
        </w:numPr>
        <w:ind w:left="284" w:hanging="284"/>
        <w:rPr>
          <w:lang w:val="es-ES"/>
        </w:rPr>
      </w:pPr>
      <w:bookmarkStart w:name="_Toc135903133" w:id="879"/>
      <w:bookmarkStart w:name="_Toc199511980" w:id="880"/>
      <w:bookmarkStart w:name="_Toc1312755481" w:id="881"/>
      <w:bookmarkStart w:name="_Toc1300535395" w:id="882"/>
      <w:bookmarkStart w:name="_Toc367709262" w:id="883"/>
      <w:bookmarkStart w:name="_Toc1823429874" w:id="884"/>
      <w:bookmarkStart w:name="_Toc632289124" w:id="885"/>
      <w:bookmarkStart w:name="_Toc567671952" w:id="886"/>
      <w:bookmarkStart w:name="_Toc1489175778" w:id="887"/>
      <w:bookmarkStart w:name="_Toc900840031" w:id="888"/>
      <w:bookmarkStart w:name="_Toc1987711361" w:id="889"/>
      <w:bookmarkStart w:name="_Toc1673988490" w:id="890"/>
      <w:bookmarkStart w:name="_Toc1906558108" w:id="891"/>
      <w:bookmarkStart w:name="_Toc271673226" w:id="892"/>
      <w:bookmarkStart w:name="_Toc1934373134" w:id="893"/>
      <w:bookmarkStart w:name="_Toc756879745" w:id="894"/>
      <w:bookmarkStart w:name="_Toc1928134503" w:id="895"/>
      <w:bookmarkStart w:name="_Toc64950171" w:id="896"/>
      <w:bookmarkStart w:name="_Toc2132246521" w:id="897"/>
      <w:bookmarkStart w:name="_Toc1362799811" w:id="898"/>
      <w:bookmarkStart w:name="_Toc1411924586" w:id="899"/>
      <w:bookmarkStart w:name="_Toc1301030606" w:id="900"/>
      <w:bookmarkStart w:name="_Toc1918516658" w:id="901"/>
      <w:bookmarkStart w:name="_Toc1703286753" w:id="902"/>
      <w:bookmarkStart w:name="_Toc2023673087" w:id="903"/>
      <w:bookmarkStart w:name="_Toc1391983011" w:id="904"/>
      <w:bookmarkStart w:name="_Toc1224072968" w:id="905"/>
      <w:bookmarkStart w:name="_Toc610548468" w:id="906"/>
      <w:bookmarkStart w:name="_Toc210292988" w:id="907"/>
      <w:r w:rsidRPr="2A9888F1">
        <w:rPr>
          <w:lang w:val="es-ES"/>
        </w:rPr>
        <w:t>Institucionalidad articulada y coordinada para la toma de decisiones e implementación de políticas públicas.</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rsidR="003E0E73" w:rsidP="00FF525D" w:rsidRDefault="003E0E73" w14:paraId="5442DB3A" w14:textId="3D38AB7B">
      <w:pPr>
        <w:jc w:val="both"/>
        <w:rPr>
          <w:lang w:eastAsia="es-CO"/>
        </w:rPr>
      </w:pPr>
    </w:p>
    <w:p w:rsidR="00EC1C7F" w:rsidP="2A9888F1" w:rsidRDefault="45949D6A" w14:paraId="4C0DA578" w14:textId="4C473823">
      <w:pPr>
        <w:jc w:val="both"/>
        <w:rPr>
          <w:lang w:val="es-ES"/>
        </w:rPr>
      </w:pPr>
      <w:r>
        <w:t xml:space="preserve">La actividad minera requiere de una institucionalidad minera y ambiental sólida y articulada, que garantice procesos eficaces de ordenamiento territorial y coherencia en la toma de decisiones. Para ello, es fundamental que los marcos normativos, los instrumentos técnicos y las políticas públicas se apliquen de manera efectiva. La coordinación entre autoridades ambientales y mineras debe mantenerse en todas las etapas del ciclo de vida del proyecto: planeación, exploración, construcción, explotación, beneficio y cierre. </w:t>
      </w:r>
      <w:r w:rsidRPr="2A9888F1" w:rsidR="43FB0376">
        <w:rPr>
          <w:lang w:val="es-ES"/>
        </w:rPr>
        <w:t>Para este eje, se impulsarán las siguientes acciones:</w:t>
      </w:r>
    </w:p>
    <w:p w:rsidR="0017047D" w:rsidP="2A9888F1" w:rsidRDefault="7B216784" w14:paraId="6EDD58D4" w14:textId="3894BFE8">
      <w:pPr>
        <w:numPr>
          <w:ilvl w:val="0"/>
          <w:numId w:val="47"/>
        </w:numPr>
        <w:spacing w:after="0" w:line="240" w:lineRule="auto"/>
        <w:jc w:val="both"/>
      </w:pPr>
      <w:r w:rsidRPr="2A9888F1">
        <w:t>Diseñar una hoja de ruta para evaluación y fortalecimiento de instancias de coordinación existentes en los sectores minero y ambiental, así como sus competencias. Abordando los lineamientos estratégicos mineros y ambientales, con prospectiva a la minería para la reindustrialización, infraestructura, transición energética justa y seguridad alimentaria.</w:t>
      </w:r>
    </w:p>
    <w:p w:rsidRPr="0017047D" w:rsidR="0017047D" w:rsidP="2A9888F1" w:rsidRDefault="0017047D" w14:paraId="4909E864" w14:textId="77777777">
      <w:pPr>
        <w:spacing w:after="0" w:line="240" w:lineRule="auto"/>
        <w:ind w:left="720"/>
        <w:jc w:val="both"/>
      </w:pPr>
    </w:p>
    <w:p w:rsidR="0017047D" w:rsidP="2A9888F1" w:rsidRDefault="7B216784" w14:paraId="29F819C3" w14:textId="77777777">
      <w:pPr>
        <w:numPr>
          <w:ilvl w:val="0"/>
          <w:numId w:val="47"/>
        </w:numPr>
        <w:spacing w:after="0" w:line="240" w:lineRule="auto"/>
        <w:jc w:val="both"/>
      </w:pPr>
      <w:r w:rsidRPr="2A9888F1">
        <w:t>Implementar una estrategia de articulación intersectorial con una agenda pública que conlleve a mejorar de manera integral la coordinación y planeación para el desarrollo de la actividad minera en el país. Se evaluarán y fortalecerán las instancias de coordinación existentes, como el Comité de Coordinación y Planeación Minera (COCPMI).</w:t>
      </w:r>
    </w:p>
    <w:p w:rsidR="0017047D" w:rsidP="2A9888F1" w:rsidRDefault="0017047D" w14:paraId="72D8F5AF" w14:textId="77777777">
      <w:pPr>
        <w:spacing w:after="0" w:line="240" w:lineRule="auto"/>
        <w:ind w:left="720"/>
        <w:jc w:val="both"/>
      </w:pPr>
    </w:p>
    <w:p w:rsidR="0017047D" w:rsidP="2A9888F1" w:rsidRDefault="7B216784" w14:paraId="58C188A7" w14:textId="685542FF">
      <w:pPr>
        <w:numPr>
          <w:ilvl w:val="0"/>
          <w:numId w:val="47"/>
        </w:numPr>
        <w:spacing w:after="0" w:line="240" w:lineRule="auto"/>
        <w:jc w:val="both"/>
      </w:pPr>
      <w:r w:rsidRPr="2A9888F1">
        <w:t>Diseñar un mecanismo de articulación interinstitucional con autoridades locales para el seguimiento y control al desarrollo de actividades mineras, garantizando condiciones mínimas de seguridad en cumplimiento de la normatividad vigente.</w:t>
      </w:r>
    </w:p>
    <w:p w:rsidRPr="0017047D" w:rsidR="0017047D" w:rsidP="2A9888F1" w:rsidRDefault="0017047D" w14:paraId="49968B57" w14:textId="77777777">
      <w:pPr>
        <w:spacing w:after="0" w:line="240" w:lineRule="auto"/>
        <w:jc w:val="both"/>
      </w:pPr>
    </w:p>
    <w:p w:rsidR="0017047D" w:rsidP="2A9888F1" w:rsidRDefault="7B216784" w14:paraId="4B1432A2" w14:textId="280860C7">
      <w:pPr>
        <w:numPr>
          <w:ilvl w:val="0"/>
          <w:numId w:val="47"/>
        </w:numPr>
        <w:spacing w:after="0" w:line="240" w:lineRule="auto"/>
        <w:jc w:val="both"/>
      </w:pPr>
      <w:r w:rsidRPr="2A9888F1">
        <w:t xml:space="preserve">Crear la Unidad de Inteligencia Minera - UIM para la consolidación del conocimiento del sector a través de herramientas como </w:t>
      </w:r>
      <w:proofErr w:type="spellStart"/>
      <w:r w:rsidRPr="2A9888F1">
        <w:t>blockchain</w:t>
      </w:r>
      <w:proofErr w:type="spellEnd"/>
      <w:r w:rsidRPr="2A9888F1">
        <w:t xml:space="preserve"> para información estadística, análisis y pronósticos de mercados locales, nacionales e internacionales, entre otros, para el sector minero ambiental.</w:t>
      </w:r>
    </w:p>
    <w:p w:rsidRPr="0017047D" w:rsidR="0017047D" w:rsidP="2A9888F1" w:rsidRDefault="0017047D" w14:paraId="0AB65B3D" w14:textId="77777777">
      <w:pPr>
        <w:spacing w:after="0" w:line="240" w:lineRule="auto"/>
        <w:jc w:val="both"/>
      </w:pPr>
    </w:p>
    <w:p w:rsidR="0017047D" w:rsidP="2A9888F1" w:rsidRDefault="7B216784" w14:paraId="22DCF99D" w14:textId="77777777">
      <w:pPr>
        <w:numPr>
          <w:ilvl w:val="0"/>
          <w:numId w:val="47"/>
        </w:numPr>
        <w:spacing w:after="0" w:line="240" w:lineRule="auto"/>
        <w:jc w:val="both"/>
      </w:pPr>
      <w:r w:rsidRPr="2A9888F1">
        <w:t>Gestionar con los diferentes sectores las acciones necesarias para la planificación e implementación de los Distritos Mineros especiales para la diversificación productiva, con el Ministerio de Agricultura y Desarrollo Rural, Ministerio de Comercio, Industria y Turismo, Ministerio de Trabajo, ente otros.</w:t>
      </w:r>
    </w:p>
    <w:p w:rsidRPr="0017047D" w:rsidR="00A3233F" w:rsidP="2A9888F1" w:rsidRDefault="00A3233F" w14:paraId="37941FE5" w14:textId="77777777">
      <w:pPr>
        <w:spacing w:after="0" w:line="240" w:lineRule="auto"/>
        <w:jc w:val="both"/>
      </w:pPr>
    </w:p>
    <w:p w:rsidR="0017047D" w:rsidP="2A9888F1" w:rsidRDefault="7B216784" w14:paraId="30B0CBD4" w14:textId="16C222D5">
      <w:pPr>
        <w:numPr>
          <w:ilvl w:val="0"/>
          <w:numId w:val="46"/>
        </w:numPr>
        <w:spacing w:after="0" w:line="240" w:lineRule="auto"/>
        <w:jc w:val="both"/>
      </w:pPr>
      <w:r w:rsidRPr="2A9888F1">
        <w:t>Establecer instancias permanentes de participación diferencial y control social en la toma de decisiones de ordenamiento minero-ambiental.</w:t>
      </w:r>
    </w:p>
    <w:p w:rsidRPr="0017047D" w:rsidR="0017047D" w:rsidP="2A9888F1" w:rsidRDefault="0017047D" w14:paraId="28AE631F" w14:textId="77777777">
      <w:pPr>
        <w:spacing w:after="0" w:line="240" w:lineRule="auto"/>
        <w:ind w:left="720"/>
        <w:jc w:val="both"/>
      </w:pPr>
    </w:p>
    <w:p w:rsidR="0017047D" w:rsidP="2A9888F1" w:rsidRDefault="7B216784" w14:paraId="241450ED" w14:textId="77777777">
      <w:pPr>
        <w:numPr>
          <w:ilvl w:val="0"/>
          <w:numId w:val="46"/>
        </w:numPr>
        <w:spacing w:after="0" w:line="240" w:lineRule="auto"/>
        <w:jc w:val="both"/>
      </w:pPr>
      <w:r w:rsidRPr="2A9888F1">
        <w:t>Formular e implementar una estrategia nacional de armonización normativa minera y ambiental, que revise, depure y unifique los marcos regulatorios contradictorios, en especial los relacionados con uso del suelo, reservas estratégicas, áreas protegidas, titulación y licenciamiento.</w:t>
      </w:r>
    </w:p>
    <w:p w:rsidRPr="0017047D" w:rsidR="0017047D" w:rsidP="2A9888F1" w:rsidRDefault="0017047D" w14:paraId="13A51383" w14:textId="77777777">
      <w:pPr>
        <w:spacing w:after="0" w:line="240" w:lineRule="auto"/>
        <w:jc w:val="both"/>
      </w:pPr>
    </w:p>
    <w:p w:rsidR="0017047D" w:rsidP="2A9888F1" w:rsidRDefault="7B216784" w14:paraId="3A7151B0" w14:textId="3C653A75">
      <w:pPr>
        <w:numPr>
          <w:ilvl w:val="0"/>
          <w:numId w:val="46"/>
        </w:numPr>
        <w:spacing w:after="0" w:line="240" w:lineRule="auto"/>
        <w:jc w:val="both"/>
      </w:pPr>
      <w:r w:rsidRPr="2A9888F1">
        <w:t>Alinear los instrumentos de planificación minera con compromisos y orientaciones internacionales en materia de cambio climático, biodiversidad, gobernanza extractiva y Objetivos de Desarrollo Sostenible, a través de guías técnicas y protocolos intersectoriales.</w:t>
      </w:r>
    </w:p>
    <w:p w:rsidRPr="0017047D" w:rsidR="0017047D" w:rsidP="2A9888F1" w:rsidRDefault="0017047D" w14:paraId="6629F80F" w14:textId="77777777">
      <w:pPr>
        <w:spacing w:after="0" w:line="240" w:lineRule="auto"/>
        <w:jc w:val="both"/>
      </w:pPr>
    </w:p>
    <w:p w:rsidR="00C443D6" w:rsidRDefault="2924EFE2" w14:paraId="28646945" w14:textId="4B9C4D4A">
      <w:pPr>
        <w:pStyle w:val="Heading2"/>
        <w:numPr>
          <w:ilvl w:val="1"/>
          <w:numId w:val="8"/>
        </w:numPr>
        <w:ind w:left="284" w:hanging="284"/>
        <w:rPr>
          <w:lang w:val="es-ES"/>
        </w:rPr>
      </w:pPr>
      <w:bookmarkStart w:name="_Toc135903134" w:id="908"/>
      <w:bookmarkStart w:name="_Toc199511981" w:id="909"/>
      <w:bookmarkStart w:name="_Toc1495243050" w:id="910"/>
      <w:bookmarkStart w:name="_Toc1779449145" w:id="911"/>
      <w:bookmarkStart w:name="_Toc1902890649" w:id="912"/>
      <w:bookmarkStart w:name="_Toc974481858" w:id="913"/>
      <w:bookmarkStart w:name="_Toc2088882226" w:id="914"/>
      <w:bookmarkStart w:name="_Toc691155413" w:id="915"/>
      <w:bookmarkStart w:name="_Toc17228762" w:id="916"/>
      <w:bookmarkStart w:name="_Toc760173878" w:id="917"/>
      <w:bookmarkStart w:name="_Toc120871799" w:id="918"/>
      <w:bookmarkStart w:name="_Toc389175966" w:id="919"/>
      <w:bookmarkStart w:name="_Toc281624368" w:id="920"/>
      <w:bookmarkStart w:name="_Toc57355578" w:id="921"/>
      <w:bookmarkStart w:name="_Toc1436063516" w:id="922"/>
      <w:bookmarkStart w:name="_Toc1654530310" w:id="923"/>
      <w:bookmarkStart w:name="_Toc1804955522" w:id="924"/>
      <w:bookmarkStart w:name="_Toc748812258" w:id="925"/>
      <w:bookmarkStart w:name="_Toc1859988434" w:id="926"/>
      <w:bookmarkStart w:name="_Toc1950577844" w:id="927"/>
      <w:bookmarkStart w:name="_Toc2105045446" w:id="928"/>
      <w:bookmarkStart w:name="_Toc1257272649" w:id="929"/>
      <w:bookmarkStart w:name="_Toc817819783" w:id="930"/>
      <w:bookmarkStart w:name="_Toc283679239" w:id="931"/>
      <w:bookmarkStart w:name="_Toc212942156" w:id="932"/>
      <w:bookmarkStart w:name="_Toc1996413977" w:id="933"/>
      <w:bookmarkStart w:name="_Toc308264894" w:id="934"/>
      <w:bookmarkStart w:name="_Toc210292989" w:id="935"/>
      <w:r w:rsidRPr="2A9888F1">
        <w:rPr>
          <w:lang w:val="es-ES"/>
        </w:rPr>
        <w:t>Administración del recurso minero. Uso y aprovechamiento de los recursos mineros con responsabilidad</w:t>
      </w:r>
      <w:bookmarkEnd w:id="908"/>
      <w:r w:rsidRPr="2A9888F1">
        <w:rPr>
          <w:lang w:val="es-ES"/>
        </w:rPr>
        <w:t>.</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p>
    <w:p w:rsidR="00C443D6" w:rsidP="00C443D6" w:rsidRDefault="00C443D6" w14:paraId="2F273CF5" w14:textId="77777777">
      <w:pPr>
        <w:rPr>
          <w:lang w:val="es-ES"/>
        </w:rPr>
      </w:pPr>
    </w:p>
    <w:p w:rsidRPr="005C741E" w:rsidR="00C443D6" w:rsidP="009C1541" w:rsidRDefault="124C04F4" w14:paraId="14A38A71" w14:textId="2EF49065">
      <w:pPr>
        <w:spacing w:line="276" w:lineRule="auto"/>
        <w:jc w:val="both"/>
        <w:rPr>
          <w:lang w:val="es-ES"/>
        </w:rPr>
      </w:pPr>
      <w:r w:rsidRPr="2A9888F1">
        <w:rPr>
          <w:lang w:val="es-ES"/>
        </w:rPr>
        <w:t xml:space="preserve">Los contratos de concesión minera de la </w:t>
      </w:r>
      <w:r w:rsidRPr="2A9888F1" w:rsidR="7A9D8BD4">
        <w:rPr>
          <w:lang w:val="es-ES"/>
        </w:rPr>
        <w:t>L</w:t>
      </w:r>
      <w:r w:rsidRPr="2A9888F1">
        <w:rPr>
          <w:lang w:val="es-ES"/>
        </w:rPr>
        <w:t xml:space="preserve">ey 685 de 2001 no garantizan la soberanía nacional de los Recursos Naturales No Renovables (RNNR), ni su disposición al servicio de los programas económicos del gobierno, además de que con ellos se entrega los RNNR a cambio de una regalía, cuyas tarifas no se revisan desde la </w:t>
      </w:r>
      <w:r w:rsidRPr="2A9888F1" w:rsidR="04D64A52">
        <w:rPr>
          <w:lang w:val="es-ES"/>
        </w:rPr>
        <w:t>L</w:t>
      </w:r>
      <w:r w:rsidRPr="2A9888F1">
        <w:rPr>
          <w:lang w:val="es-ES"/>
        </w:rPr>
        <w:t>ey 141 de 1994. Una nueva política minera debe</w:t>
      </w:r>
      <w:r w:rsidRPr="2A9888F1" w:rsidR="0D3C1C86">
        <w:rPr>
          <w:lang w:val="es-ES"/>
        </w:rPr>
        <w:t>,</w:t>
      </w:r>
      <w:r w:rsidRPr="2A9888F1">
        <w:rPr>
          <w:lang w:val="es-ES"/>
        </w:rPr>
        <w:t xml:space="preserve"> en consecuencia</w:t>
      </w:r>
      <w:r w:rsidRPr="2A9888F1" w:rsidR="0D3C1C86">
        <w:rPr>
          <w:lang w:val="es-ES"/>
        </w:rPr>
        <w:t>,</w:t>
      </w:r>
      <w:r w:rsidRPr="2A9888F1">
        <w:rPr>
          <w:lang w:val="es-ES"/>
        </w:rPr>
        <w:t xml:space="preserve"> establecer los nuevos instrumentos mediante los cuales el Estado pueda garantizar la disposición de sus RNNR al mercado local, en primera instancia</w:t>
      </w:r>
      <w:r w:rsidRPr="2A9888F1" w:rsidR="428972CD">
        <w:rPr>
          <w:lang w:val="es-ES"/>
        </w:rPr>
        <w:t xml:space="preserve">. </w:t>
      </w:r>
      <w:r w:rsidRPr="2A9888F1" w:rsidR="5ADBF9C5">
        <w:rPr>
          <w:lang w:val="es-ES"/>
        </w:rPr>
        <w:t>Los c</w:t>
      </w:r>
      <w:r w:rsidRPr="2A9888F1">
        <w:rPr>
          <w:lang w:val="es-ES"/>
        </w:rPr>
        <w:t xml:space="preserve">ontratos de operación, de asociación y los procesos de selección objetiva hacen parte del portafolio de opciones que </w:t>
      </w:r>
      <w:r w:rsidRPr="2A9888F1" w:rsidR="4314BE1E">
        <w:rPr>
          <w:lang w:val="es-ES"/>
        </w:rPr>
        <w:t>se deben contemplar</w:t>
      </w:r>
      <w:r w:rsidRPr="2A9888F1">
        <w:rPr>
          <w:lang w:val="es-ES"/>
        </w:rPr>
        <w:t>.</w:t>
      </w:r>
    </w:p>
    <w:p w:rsidRPr="0048354D" w:rsidR="00C443D6" w:rsidP="00C71DD5" w:rsidRDefault="124C04F4" w14:paraId="44C9A33B" w14:textId="63AAC7F6">
      <w:pPr>
        <w:jc w:val="both"/>
        <w:rPr>
          <w:lang w:val="es-ES"/>
        </w:rPr>
      </w:pPr>
      <w:r w:rsidRPr="2A9888F1">
        <w:rPr>
          <w:lang w:val="es-ES"/>
        </w:rPr>
        <w:t>En la administración del recurso minero, será una prioridad promover la adopción de mecanismos que permitan actualizar los</w:t>
      </w:r>
      <w:r w:rsidRPr="2A9888F1">
        <w:rPr>
          <w:b/>
          <w:bCs/>
          <w:lang w:val="es-ES"/>
        </w:rPr>
        <w:t xml:space="preserve"> </w:t>
      </w:r>
      <w:r w:rsidRPr="2A9888F1">
        <w:rPr>
          <w:lang w:val="es-ES"/>
        </w:rPr>
        <w:t xml:space="preserve">procedimientos de otorgamiento de títulos mineros, o las figuras que hagan sus veces, que garanticen y materialicen los derechos e intereses colectivos de las comunidades en el territorio, y el manejo </w:t>
      </w:r>
      <w:r w:rsidRPr="2A9888F1" w:rsidR="4E3E8E07">
        <w:rPr>
          <w:lang w:val="es-ES"/>
        </w:rPr>
        <w:t xml:space="preserve">sustentable </w:t>
      </w:r>
      <w:r w:rsidRPr="2A9888F1">
        <w:rPr>
          <w:lang w:val="es-ES"/>
        </w:rPr>
        <w:t>de sus recursos naturales, mediante la implementación de las siguientes acciones:</w:t>
      </w:r>
    </w:p>
    <w:p w:rsidRPr="00933157" w:rsidR="00933157" w:rsidP="001C54B2" w:rsidRDefault="0943CE32" w14:paraId="122475DA" w14:textId="77777777">
      <w:pPr>
        <w:pStyle w:val="ListParagraph"/>
        <w:numPr>
          <w:ilvl w:val="0"/>
          <w:numId w:val="36"/>
        </w:numPr>
        <w:jc w:val="both"/>
        <w:rPr>
          <w:lang w:val="es-ES"/>
        </w:rPr>
      </w:pPr>
      <w:r>
        <w:t>Formular proyectos de ley, resoluciones y decretos que promuevan un aprovechamiento minero sustentable y que esté al servicio de la protección de los derechos humanos, la soberanía alimentaria, la preservación de los territorios y de la naturaleza.</w:t>
      </w:r>
    </w:p>
    <w:p w:rsidR="7B1DC8DE" w:rsidP="7B1DC8DE" w:rsidRDefault="7B1DC8DE" w14:paraId="00AAB291" w14:textId="320E55B0">
      <w:pPr>
        <w:pStyle w:val="ListParagraph"/>
        <w:jc w:val="both"/>
        <w:rPr>
          <w:lang w:val="es-ES"/>
        </w:rPr>
      </w:pPr>
    </w:p>
    <w:p w:rsidR="1E2ED8F5" w:rsidP="001C54B2" w:rsidRDefault="75909B58" w14:paraId="15434F12" w14:textId="40520FD7">
      <w:pPr>
        <w:pStyle w:val="ListParagraph"/>
        <w:numPr>
          <w:ilvl w:val="0"/>
          <w:numId w:val="36"/>
        </w:numPr>
        <w:jc w:val="both"/>
        <w:rPr>
          <w:lang w:val="es-ES"/>
        </w:rPr>
      </w:pPr>
      <w:r w:rsidRPr="2A9888F1">
        <w:rPr>
          <w:lang w:val="es-ES"/>
        </w:rPr>
        <w:t>Crear un mecanismo de articulación entre la autoridad minera y la autoridad ambiental para la aprobación de instrumentos técnicos (Programa de Trabajos y Obras-PTO y Estudio de Impacto Ambiental-EIA y otros instrumentos aplicables).</w:t>
      </w:r>
    </w:p>
    <w:p w:rsidR="7B1DC8DE" w:rsidP="7B1DC8DE" w:rsidRDefault="7B1DC8DE" w14:paraId="1CAE7929" w14:textId="7EA23428">
      <w:pPr>
        <w:pStyle w:val="ListParagraph"/>
        <w:jc w:val="both"/>
        <w:rPr>
          <w:lang w:val="es-ES"/>
        </w:rPr>
      </w:pPr>
    </w:p>
    <w:p w:rsidR="4A2E0CC3" w:rsidP="001C54B2" w:rsidRDefault="7450C245" w14:paraId="3D8A0F7C" w14:textId="1D2A5952">
      <w:pPr>
        <w:pStyle w:val="ListParagraph"/>
        <w:numPr>
          <w:ilvl w:val="0"/>
          <w:numId w:val="36"/>
        </w:numPr>
        <w:jc w:val="both"/>
        <w:rPr>
          <w:lang w:val="es-ES"/>
        </w:rPr>
      </w:pPr>
      <w:r w:rsidRPr="2A9888F1">
        <w:rPr>
          <w:lang w:val="es-ES"/>
        </w:rPr>
        <w:t>Actualizar el procedimiento para la realización de la fiscalización en todos los tipos de actividades mineras.</w:t>
      </w:r>
    </w:p>
    <w:p w:rsidR="7B1DC8DE" w:rsidP="7B1DC8DE" w:rsidRDefault="7B1DC8DE" w14:paraId="0E487F35" w14:textId="4F25B110">
      <w:pPr>
        <w:pStyle w:val="ListParagraph"/>
        <w:jc w:val="both"/>
        <w:rPr>
          <w:lang w:val="es-ES"/>
        </w:rPr>
      </w:pPr>
    </w:p>
    <w:p w:rsidRPr="00933157" w:rsidR="00933157" w:rsidP="2A9888F1" w:rsidRDefault="00933157" w14:paraId="4CB88BCC" w14:textId="77777777">
      <w:pPr>
        <w:pStyle w:val="ListParagraph"/>
        <w:jc w:val="both"/>
        <w:rPr>
          <w:lang w:val="es-ES"/>
        </w:rPr>
      </w:pPr>
    </w:p>
    <w:p w:rsidR="00933157" w:rsidP="001C54B2" w:rsidRDefault="0943CE32" w14:paraId="15785D5B" w14:textId="77777777">
      <w:pPr>
        <w:pStyle w:val="ListParagraph"/>
        <w:numPr>
          <w:ilvl w:val="0"/>
          <w:numId w:val="36"/>
        </w:numPr>
        <w:spacing w:after="0"/>
        <w:jc w:val="both"/>
        <w:rPr>
          <w:lang w:val="es-ES"/>
        </w:rPr>
      </w:pPr>
      <w:r w:rsidRPr="2A9888F1">
        <w:rPr>
          <w:lang w:val="es-ES"/>
        </w:rPr>
        <w:t>Implementar un mecanismo que permita a la autoridad minera validar la información aportada por los proponentes mineros para identificar posible riesgo de lavado de activos.</w:t>
      </w:r>
    </w:p>
    <w:p w:rsidRPr="00933157" w:rsidR="00933157" w:rsidP="2A9888F1" w:rsidRDefault="0943CE32" w14:paraId="1B5A8997" w14:textId="7368C5C7">
      <w:pPr>
        <w:spacing w:after="0"/>
        <w:jc w:val="both"/>
        <w:rPr>
          <w:lang w:val="es-ES"/>
        </w:rPr>
      </w:pPr>
      <w:r w:rsidRPr="2A9888F1">
        <w:rPr>
          <w:lang w:val="es-ES"/>
        </w:rPr>
        <w:t xml:space="preserve"> </w:t>
      </w:r>
    </w:p>
    <w:p w:rsidR="00933157" w:rsidP="001C54B2" w:rsidRDefault="0943CE32" w14:paraId="2CCA01CF" w14:textId="77777777">
      <w:pPr>
        <w:pStyle w:val="ListParagraph"/>
        <w:numPr>
          <w:ilvl w:val="0"/>
          <w:numId w:val="36"/>
        </w:numPr>
        <w:spacing w:after="0"/>
        <w:jc w:val="both"/>
        <w:rPr>
          <w:lang w:val="es-ES"/>
        </w:rPr>
      </w:pPr>
      <w:r w:rsidRPr="2A9888F1">
        <w:rPr>
          <w:lang w:val="es-ES"/>
        </w:rPr>
        <w:t xml:space="preserve">Adoptar un protocolo riguroso para que en el proceso de otorgamiento de títulos o concesiones mineras se consulten y consideren las determinantes ambientales y del ordenamiento territorial, dentro de un marco de planeación previa en consideración a la soberanía del Estado sobre el recurso minero. </w:t>
      </w:r>
    </w:p>
    <w:p w:rsidR="7B1DC8DE" w:rsidP="7B1DC8DE" w:rsidRDefault="7B1DC8DE" w14:paraId="01734313" w14:textId="2E0AD44F">
      <w:pPr>
        <w:pStyle w:val="ListParagraph"/>
        <w:spacing w:after="0"/>
        <w:jc w:val="both"/>
        <w:rPr>
          <w:lang w:val="es-ES"/>
        </w:rPr>
      </w:pPr>
    </w:p>
    <w:p w:rsidR="498C51BE" w:rsidP="001C54B2" w:rsidRDefault="306E49A3" w14:paraId="6CE0B90D" w14:textId="0FACEDCC">
      <w:pPr>
        <w:pStyle w:val="ListParagraph"/>
        <w:numPr>
          <w:ilvl w:val="0"/>
          <w:numId w:val="36"/>
        </w:numPr>
        <w:spacing w:after="0"/>
        <w:jc w:val="both"/>
        <w:rPr>
          <w:lang w:val="es-ES"/>
        </w:rPr>
      </w:pPr>
      <w:r w:rsidRPr="2A9888F1">
        <w:rPr>
          <w:rFonts w:eastAsia="Calibri"/>
          <w:lang w:val="es-ES"/>
        </w:rPr>
        <w:t xml:space="preserve">Construir el marco legal para la obligatoriedad de la obtención de la licencia ambiental en la etapa de exploración de los proyectos mineros, que atienda </w:t>
      </w:r>
      <w:r>
        <w:t>a criterios diferenciales de acuerdo con el tipo de minería</w:t>
      </w:r>
      <w:r w:rsidRPr="2A9888F1">
        <w:rPr>
          <w:rFonts w:eastAsia="Calibri"/>
          <w:lang w:val="es-ES"/>
        </w:rPr>
        <w:t>. Lo anterior, sin perjuicio del licenciamiento ambiental que actualmente es exigible para otras etapas de la actividad minera.</w:t>
      </w:r>
    </w:p>
    <w:p w:rsidR="7B1DC8DE" w:rsidP="7B1DC8DE" w:rsidRDefault="7B1DC8DE" w14:paraId="1217B1D9" w14:textId="2B46D3F7">
      <w:pPr>
        <w:pStyle w:val="ListParagraph"/>
        <w:spacing w:after="0"/>
        <w:jc w:val="both"/>
        <w:rPr>
          <w:lang w:val="es-ES"/>
        </w:rPr>
      </w:pPr>
    </w:p>
    <w:p w:rsidR="498C51BE" w:rsidP="001C54B2" w:rsidRDefault="306E49A3" w14:paraId="3886A81E" w14:textId="47002A65">
      <w:pPr>
        <w:pStyle w:val="ListParagraph"/>
        <w:numPr>
          <w:ilvl w:val="0"/>
          <w:numId w:val="36"/>
        </w:numPr>
        <w:spacing w:after="0"/>
        <w:jc w:val="both"/>
        <w:rPr>
          <w:rFonts w:eastAsia="Times New Roman"/>
          <w:color w:val="000000" w:themeColor="text1"/>
          <w:lang w:eastAsia="es-CO"/>
        </w:rPr>
      </w:pPr>
      <w:r w:rsidRPr="2A9888F1">
        <w:rPr>
          <w:rFonts w:eastAsia="Times New Roman"/>
          <w:color w:val="000000" w:themeColor="text1"/>
          <w:lang w:eastAsia="es-CO"/>
        </w:rPr>
        <w:t>Actualizar y adoptar los lineamientos de fiscalización de acuerdo con la normatividad vigente y aplicable para el sector minas</w:t>
      </w:r>
      <w:r w:rsidRPr="2A9888F1" w:rsidR="3AC6EF39">
        <w:rPr>
          <w:rFonts w:eastAsia="Times New Roman"/>
          <w:color w:val="000000" w:themeColor="text1"/>
          <w:lang w:eastAsia="es-CO"/>
        </w:rPr>
        <w:t>.</w:t>
      </w:r>
    </w:p>
    <w:p w:rsidR="7B1DC8DE" w:rsidP="7B1DC8DE" w:rsidRDefault="7B1DC8DE" w14:paraId="5C36EFFD" w14:textId="75B9C8B4">
      <w:pPr>
        <w:spacing w:after="0"/>
        <w:ind w:left="708"/>
        <w:jc w:val="both"/>
        <w:rPr>
          <w:rFonts w:eastAsia="Times New Roman"/>
          <w:color w:val="000000" w:themeColor="text1"/>
          <w:lang w:eastAsia="es-CO"/>
        </w:rPr>
      </w:pPr>
    </w:p>
    <w:p w:rsidR="5E8F7B72" w:rsidP="001C54B2" w:rsidRDefault="17755E67" w14:paraId="49F75EA2" w14:textId="4C522640">
      <w:pPr>
        <w:pStyle w:val="ListParagraph"/>
        <w:numPr>
          <w:ilvl w:val="0"/>
          <w:numId w:val="36"/>
        </w:numPr>
        <w:spacing w:after="0"/>
        <w:jc w:val="both"/>
        <w:rPr>
          <w:rFonts w:eastAsia="Times New Roman"/>
          <w:color w:val="000000" w:themeColor="text1"/>
          <w:lang w:eastAsia="es-CO"/>
        </w:rPr>
      </w:pPr>
      <w:r w:rsidRPr="2A9888F1">
        <w:rPr>
          <w:lang w:val="es-ES"/>
        </w:rPr>
        <w:t>Construir una estrategia para la interoperabilidad de sistemas entre la autoridad minera y las autoridades ambientales que permita optimizar y hacer más eficiente y rigurosa la fiscalización y el control y seguimiento a los títulos mineros.</w:t>
      </w:r>
    </w:p>
    <w:p w:rsidR="7B1DC8DE" w:rsidP="7B1DC8DE" w:rsidRDefault="7B1DC8DE" w14:paraId="4AD98A49" w14:textId="193E89E5">
      <w:pPr>
        <w:pStyle w:val="ListParagraph"/>
        <w:spacing w:after="0"/>
        <w:jc w:val="both"/>
        <w:rPr>
          <w:rFonts w:eastAsia="Times New Roman"/>
          <w:color w:val="000000" w:themeColor="text1"/>
          <w:lang w:eastAsia="es-CO"/>
        </w:rPr>
      </w:pPr>
    </w:p>
    <w:p w:rsidR="0FDBC3BE" w:rsidP="7B1DC8DE" w:rsidRDefault="72FFFC65" w14:paraId="24B26C36" w14:textId="196BC54B">
      <w:pPr>
        <w:pStyle w:val="ListParagraph"/>
        <w:numPr>
          <w:ilvl w:val="0"/>
          <w:numId w:val="2"/>
        </w:numPr>
        <w:spacing w:after="0" w:line="240" w:lineRule="auto"/>
        <w:jc w:val="both"/>
        <w:rPr>
          <w:lang w:val="es-ES"/>
        </w:rPr>
      </w:pPr>
      <w:r w:rsidRPr="2A9888F1">
        <w:rPr>
          <w:lang w:val="es-ES"/>
        </w:rPr>
        <w:t xml:space="preserve">Implementar sistemas informáticos que permitan estructurar y disponer de manera ágil información técnica (regalías, Formato Básico Minero - FBM, instrumento técnico - reservas), como soporte al control de la producción y pago de las regalías, así como para monitorear el ciclo de la fiscalización, promoviendo la generación de requerimientos oportunos mediante la automatización.  </w:t>
      </w:r>
    </w:p>
    <w:p w:rsidR="7B1DC8DE" w:rsidP="7B1DC8DE" w:rsidRDefault="7B1DC8DE" w14:paraId="0B08F778" w14:textId="183E70BF">
      <w:pPr>
        <w:pStyle w:val="ListParagraph"/>
        <w:spacing w:after="0" w:line="240" w:lineRule="auto"/>
        <w:jc w:val="both"/>
        <w:rPr>
          <w:lang w:val="es-ES"/>
        </w:rPr>
      </w:pPr>
    </w:p>
    <w:p w:rsidR="01572878" w:rsidP="7B1DC8DE" w:rsidRDefault="424C7B1B" w14:paraId="408858F0" w14:textId="1FC4E521">
      <w:pPr>
        <w:pStyle w:val="ListParagraph"/>
        <w:numPr>
          <w:ilvl w:val="0"/>
          <w:numId w:val="2"/>
        </w:numPr>
        <w:spacing w:after="0" w:line="240" w:lineRule="auto"/>
        <w:jc w:val="both"/>
        <w:rPr>
          <w:lang w:val="es-ES"/>
        </w:rPr>
      </w:pPr>
      <w:r w:rsidRPr="2A9888F1">
        <w:rPr>
          <w:lang w:val="es-ES"/>
        </w:rPr>
        <w:t>Actualizar y adoptar las guías minero-ambientales con enfoque a la pequeña y mediana minería como instrumentos orientadores para la gestión ambiental y minera por parte de los titulares en las etapas de exploración, explotación y de beneficio-transformación de minerales, incorporando, entre otros, lineamientos para conceptualizar las determinantes ambientales y su relación con la actividad.</w:t>
      </w:r>
    </w:p>
    <w:p w:rsidR="7B1DC8DE" w:rsidP="7B1DC8DE" w:rsidRDefault="7B1DC8DE" w14:paraId="4D75D093" w14:textId="77777777">
      <w:pPr>
        <w:pStyle w:val="ListParagraph"/>
        <w:spacing w:after="0" w:line="240" w:lineRule="auto"/>
        <w:jc w:val="both"/>
        <w:rPr>
          <w:lang w:val="es-ES"/>
        </w:rPr>
      </w:pPr>
    </w:p>
    <w:p w:rsidR="4EE29C0C" w:rsidP="7B1DC8DE" w:rsidRDefault="631BB4A3" w14:paraId="0CF49CC3" w14:textId="0931491C">
      <w:pPr>
        <w:pStyle w:val="ListParagraph"/>
        <w:numPr>
          <w:ilvl w:val="0"/>
          <w:numId w:val="2"/>
        </w:numPr>
        <w:spacing w:after="0" w:line="240" w:lineRule="auto"/>
        <w:jc w:val="both"/>
        <w:rPr>
          <w:lang w:val="es-ES"/>
        </w:rPr>
      </w:pPr>
      <w:r w:rsidRPr="2A9888F1">
        <w:rPr>
          <w:lang w:val="es-ES"/>
        </w:rPr>
        <w:t>Actualizar los Términos de Referencia para la realización de trabajos de exploración, construcción y montaje, explotación y beneficio ajustados al tipo de mineral, sistema de explotación, cantidad de área a intervenir, entre otros aspectos.</w:t>
      </w:r>
    </w:p>
    <w:p w:rsidR="7B1DC8DE" w:rsidP="7B1DC8DE" w:rsidRDefault="7B1DC8DE" w14:paraId="1EF2EB8D" w14:textId="6B3CB528">
      <w:pPr>
        <w:pStyle w:val="ListParagraph"/>
        <w:spacing w:after="0" w:line="240" w:lineRule="auto"/>
        <w:jc w:val="both"/>
        <w:rPr>
          <w:lang w:val="es-ES"/>
        </w:rPr>
      </w:pPr>
    </w:p>
    <w:p w:rsidR="18860CF4" w:rsidP="7B1DC8DE" w:rsidRDefault="0155616D" w14:paraId="4957F8A0" w14:textId="1BB2185A">
      <w:pPr>
        <w:pStyle w:val="ListParagraph"/>
        <w:numPr>
          <w:ilvl w:val="0"/>
          <w:numId w:val="2"/>
        </w:numPr>
        <w:spacing w:after="0" w:line="240" w:lineRule="auto"/>
        <w:jc w:val="both"/>
        <w:rPr>
          <w:lang w:val="es-ES"/>
        </w:rPr>
      </w:pPr>
      <w:r w:rsidRPr="2A9888F1">
        <w:rPr>
          <w:lang w:val="es-ES"/>
        </w:rPr>
        <w:t>Establecer una medida obligatoria de carácter normativo que definan la implementación de sistemas tecnológicos verificables y confiables para la medición y trazabilidad de los volúmenes de producción, diferenciales atendiendo a la clasificación minera.</w:t>
      </w:r>
    </w:p>
    <w:p w:rsidR="7B1DC8DE" w:rsidP="7B1DC8DE" w:rsidRDefault="7B1DC8DE" w14:paraId="1712DADB" w14:textId="77777777">
      <w:pPr>
        <w:pStyle w:val="ListParagraph"/>
        <w:spacing w:after="0" w:line="240" w:lineRule="auto"/>
        <w:jc w:val="both"/>
        <w:rPr>
          <w:lang w:val="es-ES"/>
        </w:rPr>
      </w:pPr>
    </w:p>
    <w:p w:rsidR="354BD35E" w:rsidP="7B1DC8DE" w:rsidRDefault="493C04E5" w14:paraId="467691D7" w14:textId="0F6976E1">
      <w:pPr>
        <w:pStyle w:val="ListParagraph"/>
        <w:numPr>
          <w:ilvl w:val="0"/>
          <w:numId w:val="2"/>
        </w:numPr>
        <w:spacing w:after="0" w:line="240" w:lineRule="auto"/>
        <w:jc w:val="both"/>
        <w:rPr>
          <w:lang w:val="es-ES"/>
        </w:rPr>
      </w:pPr>
      <w:r w:rsidRPr="2A9888F1">
        <w:rPr>
          <w:lang w:val="es-ES"/>
        </w:rPr>
        <w:t>Implementar mejoras en los mecanismos de expedición de certificados de origen como insumo de verificación respecto de los reportes de producción realizados por el titular minero.</w:t>
      </w:r>
    </w:p>
    <w:p w:rsidR="7B1DC8DE" w:rsidP="7B1DC8DE" w:rsidRDefault="7B1DC8DE" w14:paraId="1CCB2667" w14:textId="3242AC8A">
      <w:pPr>
        <w:pStyle w:val="ListParagraph"/>
        <w:spacing w:after="0" w:line="240" w:lineRule="auto"/>
        <w:jc w:val="both"/>
        <w:rPr>
          <w:lang w:val="es-ES"/>
        </w:rPr>
      </w:pPr>
    </w:p>
    <w:p w:rsidR="373305C1" w:rsidP="7B1DC8DE" w:rsidRDefault="6E4FCA5E" w14:paraId="1500D231" w14:textId="0096ED4E">
      <w:pPr>
        <w:pStyle w:val="ListParagraph"/>
        <w:numPr>
          <w:ilvl w:val="0"/>
          <w:numId w:val="2"/>
        </w:numPr>
        <w:spacing w:after="0" w:line="240" w:lineRule="auto"/>
        <w:jc w:val="both"/>
        <w:rPr>
          <w:lang w:val="es-ES"/>
        </w:rPr>
      </w:pPr>
      <w:r w:rsidRPr="2A9888F1">
        <w:rPr>
          <w:lang w:val="es-ES"/>
        </w:rPr>
        <w:t>Implementar el Sistema Nacional de Seguridad minera, creado en el artículo 24 de la ley 2250 de 2022.</w:t>
      </w:r>
    </w:p>
    <w:p w:rsidR="7B1DC8DE" w:rsidP="7B1DC8DE" w:rsidRDefault="7B1DC8DE" w14:paraId="4911D681" w14:textId="0C0E2263">
      <w:pPr>
        <w:pStyle w:val="ListParagraph"/>
        <w:spacing w:after="0" w:line="240" w:lineRule="auto"/>
        <w:jc w:val="both"/>
        <w:rPr>
          <w:lang w:val="es-ES"/>
        </w:rPr>
      </w:pPr>
    </w:p>
    <w:p w:rsidR="27034C18" w:rsidP="7B1DC8DE" w:rsidRDefault="51589064" w14:paraId="5545BC66" w14:textId="00F80FB9">
      <w:pPr>
        <w:pStyle w:val="ListParagraph"/>
        <w:numPr>
          <w:ilvl w:val="0"/>
          <w:numId w:val="2"/>
        </w:numPr>
        <w:spacing w:after="0" w:line="240" w:lineRule="auto"/>
        <w:jc w:val="both"/>
        <w:rPr>
          <w:lang w:val="es-ES"/>
        </w:rPr>
      </w:pPr>
      <w:r w:rsidRPr="2A9888F1">
        <w:rPr>
          <w:lang w:val="es-ES"/>
        </w:rPr>
        <w:t>Implementar mecanismos de fortalecimiento en los procesos de sensibilización, capacitación, certificación, entrenamiento y seguimiento en temas de prevención, seguridad y gestión de control de riesgos mineros, con el fin de garantizar un cambio de cultura y disciplina en el desarrollo de la actividad minera.</w:t>
      </w:r>
    </w:p>
    <w:p w:rsidR="7B1DC8DE" w:rsidP="7B1DC8DE" w:rsidRDefault="7B1DC8DE" w14:paraId="2A0A7E46" w14:textId="36C05040">
      <w:pPr>
        <w:pStyle w:val="ListParagraph"/>
        <w:spacing w:after="0" w:line="240" w:lineRule="auto"/>
        <w:jc w:val="both"/>
        <w:rPr>
          <w:lang w:val="es-ES"/>
        </w:rPr>
      </w:pPr>
    </w:p>
    <w:p w:rsidR="27034C18" w:rsidP="001C54B2" w:rsidRDefault="51589064" w14:paraId="0CD14535" w14:textId="77777777">
      <w:pPr>
        <w:pStyle w:val="ListParagraph"/>
        <w:numPr>
          <w:ilvl w:val="0"/>
          <w:numId w:val="36"/>
        </w:numPr>
        <w:spacing w:after="0" w:line="240" w:lineRule="auto"/>
        <w:jc w:val="both"/>
        <w:rPr>
          <w:lang w:val="es-ES"/>
        </w:rPr>
      </w:pPr>
      <w:r w:rsidRPr="2A9888F1">
        <w:rPr>
          <w:lang w:val="es-ES"/>
        </w:rPr>
        <w:t>Implementar una estrategia de capacitación y entrenamiento en ambientes de minería fuera del país, para fortalecer el conocimiento en temas como mecanización minera, seguridad, fiscalización, gestión ambiental, economía circular, gestión de colas y drenajes de mina, uso de energías no convencionales en la actividad minera, cierre y post cierre minero, entre otros. Transferencia de conocimiento con expertos en materia de seguridad que conozcan la geología, recursos y reservas de los yacimientos en Colombia.</w:t>
      </w:r>
    </w:p>
    <w:p w:rsidR="7B1DC8DE" w:rsidP="7B1DC8DE" w:rsidRDefault="7B1DC8DE" w14:paraId="023D1064" w14:textId="53C4409B">
      <w:pPr>
        <w:pStyle w:val="ListParagraph"/>
        <w:spacing w:after="0" w:line="240" w:lineRule="auto"/>
        <w:jc w:val="both"/>
        <w:rPr>
          <w:rFonts w:eastAsia="Times New Roman"/>
          <w:color w:val="000000" w:themeColor="text1"/>
          <w:lang w:eastAsia="es-CO"/>
        </w:rPr>
      </w:pPr>
    </w:p>
    <w:p w:rsidR="5F23CBA5" w:rsidP="001C54B2" w:rsidRDefault="7B2BEC07" w14:paraId="35FE7B3D" w14:textId="379B66B9">
      <w:pPr>
        <w:pStyle w:val="ListParagraph"/>
        <w:numPr>
          <w:ilvl w:val="0"/>
          <w:numId w:val="36"/>
        </w:numPr>
        <w:spacing w:after="0" w:line="240" w:lineRule="auto"/>
        <w:jc w:val="both"/>
        <w:rPr>
          <w:rFonts w:eastAsia="Times New Roman"/>
          <w:color w:val="000000" w:themeColor="text1"/>
          <w:lang w:eastAsia="es-CO"/>
        </w:rPr>
      </w:pPr>
      <w:r w:rsidRPr="2A9888F1">
        <w:rPr>
          <w:lang w:val="es-ES"/>
        </w:rPr>
        <w:t>Implementar acciones de fortalecimiento del Sistema Integral de Gestión Minera - SIGM como herramienta tecnológica</w:t>
      </w:r>
      <w:r w:rsidRPr="2A9888F1" w:rsidR="2BD67C16">
        <w:rPr>
          <w:lang w:val="es-ES"/>
        </w:rPr>
        <w:t>, que procure la soberanía de la información y del código fuente de la solución, en beneficio del Estado Colombiano.</w:t>
      </w:r>
    </w:p>
    <w:p w:rsidR="7B1DC8DE" w:rsidP="7B1DC8DE" w:rsidRDefault="7B1DC8DE" w14:paraId="447D4E8D" w14:textId="106BC4AC">
      <w:pPr>
        <w:pStyle w:val="ListParagraph"/>
        <w:spacing w:after="0" w:line="240" w:lineRule="auto"/>
        <w:jc w:val="both"/>
        <w:rPr>
          <w:rFonts w:eastAsia="Times New Roman"/>
          <w:color w:val="000000" w:themeColor="text1"/>
          <w:lang w:eastAsia="es-CO"/>
        </w:rPr>
      </w:pPr>
    </w:p>
    <w:p w:rsidR="2C397E9B" w:rsidP="001C54B2" w:rsidRDefault="5669731E" w14:paraId="0FAFCB05" w14:textId="78EFA69F">
      <w:pPr>
        <w:pStyle w:val="ListParagraph"/>
        <w:numPr>
          <w:ilvl w:val="0"/>
          <w:numId w:val="36"/>
        </w:numPr>
        <w:spacing w:after="0" w:line="240" w:lineRule="auto"/>
        <w:jc w:val="both"/>
        <w:rPr>
          <w:lang w:val="es-ES"/>
        </w:rPr>
      </w:pPr>
      <w:r>
        <w:t>Desarrollar una estrategia de seguimiento a las sanciones aplicadas en los casos de incumplimiento normativo evidenciadas en el ejercicio de fiscalización.</w:t>
      </w:r>
    </w:p>
    <w:p w:rsidR="7B1DC8DE" w:rsidP="7B1DC8DE" w:rsidRDefault="7B1DC8DE" w14:paraId="1FB7EDBB" w14:textId="0567478E">
      <w:pPr>
        <w:pStyle w:val="ListParagraph"/>
        <w:spacing w:after="0" w:line="240" w:lineRule="auto"/>
        <w:jc w:val="both"/>
        <w:rPr>
          <w:lang w:val="es-ES"/>
        </w:rPr>
      </w:pPr>
    </w:p>
    <w:p w:rsidR="6961C8B0" w:rsidP="001C54B2" w:rsidRDefault="52AD55E4" w14:paraId="7865CF7A" w14:textId="512F59E6">
      <w:pPr>
        <w:pStyle w:val="ListParagraph"/>
        <w:numPr>
          <w:ilvl w:val="0"/>
          <w:numId w:val="36"/>
        </w:numPr>
        <w:spacing w:after="0" w:line="240" w:lineRule="auto"/>
        <w:jc w:val="both"/>
        <w:rPr>
          <w:lang w:val="es-ES"/>
        </w:rPr>
      </w:pPr>
      <w:r w:rsidRPr="2A9888F1">
        <w:rPr>
          <w:rFonts w:eastAsia="Times New Roman"/>
          <w:color w:val="000000" w:themeColor="text1"/>
          <w:lang w:eastAsia="es-CO"/>
        </w:rPr>
        <w:t xml:space="preserve">Participar en espacios de articulación sobre la estrategia para la gestión de Pasivos Ambientales de </w:t>
      </w:r>
      <w:proofErr w:type="spellStart"/>
      <w:r w:rsidRPr="2A9888F1">
        <w:rPr>
          <w:rFonts w:eastAsia="Times New Roman"/>
          <w:color w:val="000000" w:themeColor="text1"/>
          <w:lang w:eastAsia="es-CO"/>
        </w:rPr>
        <w:t>MinAmbiente</w:t>
      </w:r>
      <w:proofErr w:type="spellEnd"/>
      <w:r w:rsidRPr="2A9888F1">
        <w:rPr>
          <w:rFonts w:eastAsia="Times New Roman"/>
          <w:color w:val="000000" w:themeColor="text1"/>
          <w:lang w:eastAsia="es-CO"/>
        </w:rPr>
        <w:t>.</w:t>
      </w:r>
    </w:p>
    <w:p w:rsidR="7B1DC8DE" w:rsidP="7B1DC8DE" w:rsidRDefault="7B1DC8DE" w14:paraId="6B90A5FA" w14:textId="0FFE859E">
      <w:pPr>
        <w:spacing w:after="0"/>
        <w:jc w:val="both"/>
        <w:rPr>
          <w:lang w:val="es-ES"/>
        </w:rPr>
      </w:pPr>
    </w:p>
    <w:p w:rsidRPr="00933157" w:rsidR="00933157" w:rsidP="001C54B2" w:rsidRDefault="0943CE32" w14:paraId="5CB4397D" w14:textId="77777777">
      <w:pPr>
        <w:pStyle w:val="ListParagraph"/>
        <w:numPr>
          <w:ilvl w:val="0"/>
          <w:numId w:val="36"/>
        </w:numPr>
        <w:spacing w:after="0"/>
        <w:jc w:val="both"/>
        <w:rPr>
          <w:lang w:val="es-ES"/>
        </w:rPr>
      </w:pPr>
      <w:r>
        <w:t xml:space="preserve">Diseñar un estudio entre el </w:t>
      </w:r>
      <w:proofErr w:type="spellStart"/>
      <w:r>
        <w:t>MinEnergía</w:t>
      </w:r>
      <w:proofErr w:type="spellEnd"/>
      <w:r>
        <w:t xml:space="preserve"> y la ANM para la identificación de los riesgos asociados a las afectaciones derivadas de actividades mineras con el fin de atender las condiciones particulares para el cubrimiento de las pólizas minero-ambientales.</w:t>
      </w:r>
    </w:p>
    <w:p w:rsidR="00933157" w:rsidP="7B1DC8DE" w:rsidRDefault="00933157" w14:paraId="2B74FFDF" w14:textId="13972183">
      <w:pPr>
        <w:pStyle w:val="ListParagraph"/>
        <w:spacing w:after="0" w:line="240" w:lineRule="auto"/>
        <w:jc w:val="both"/>
        <w:rPr>
          <w:lang w:val="es-ES"/>
        </w:rPr>
      </w:pPr>
    </w:p>
    <w:p w:rsidR="00933157" w:rsidP="001C54B2" w:rsidRDefault="578A1191" w14:paraId="181B36C0" w14:textId="7C212945">
      <w:pPr>
        <w:pStyle w:val="ListParagraph"/>
        <w:numPr>
          <w:ilvl w:val="0"/>
          <w:numId w:val="36"/>
        </w:numPr>
        <w:spacing w:after="0" w:line="240" w:lineRule="auto"/>
        <w:jc w:val="both"/>
        <w:rPr>
          <w:lang w:val="es-ES"/>
        </w:rPr>
      </w:pPr>
      <w:r w:rsidRPr="2A9888F1">
        <w:rPr>
          <w:rFonts w:eastAsia="Times New Roman"/>
          <w:color w:val="000000" w:themeColor="text1"/>
          <w:lang w:eastAsia="es-CO"/>
        </w:rPr>
        <w:t xml:space="preserve">Avanzar en la implementación y apropiación de la </w:t>
      </w:r>
      <w:proofErr w:type="spellStart"/>
      <w:r w:rsidRPr="2A9888F1">
        <w:rPr>
          <w:rFonts w:eastAsia="Times New Roman"/>
          <w:color w:val="000000" w:themeColor="text1"/>
          <w:lang w:eastAsia="es-CO"/>
        </w:rPr>
        <w:t>Politica</w:t>
      </w:r>
      <w:proofErr w:type="spellEnd"/>
      <w:r w:rsidRPr="2A9888F1">
        <w:rPr>
          <w:rFonts w:eastAsia="Times New Roman"/>
          <w:color w:val="000000" w:themeColor="text1"/>
          <w:lang w:eastAsia="es-CO"/>
        </w:rPr>
        <w:t xml:space="preserve"> de Gestión del Riesgo de Desastres del Sector Minero </w:t>
      </w:r>
      <w:proofErr w:type="spellStart"/>
      <w:r w:rsidRPr="2A9888F1">
        <w:rPr>
          <w:rFonts w:eastAsia="Times New Roman"/>
          <w:color w:val="000000" w:themeColor="text1"/>
          <w:lang w:eastAsia="es-CO"/>
        </w:rPr>
        <w:t>Energetico</w:t>
      </w:r>
      <w:proofErr w:type="spellEnd"/>
      <w:r w:rsidRPr="2A9888F1">
        <w:rPr>
          <w:rFonts w:eastAsia="Times New Roman"/>
          <w:color w:val="000000" w:themeColor="text1"/>
          <w:lang w:eastAsia="es-CO"/>
        </w:rPr>
        <w:t xml:space="preserve"> (Resolución 40411 de 2021).</w:t>
      </w:r>
    </w:p>
    <w:p w:rsidR="00933157" w:rsidP="7B1DC8DE" w:rsidRDefault="00933157" w14:paraId="6EA3B292" w14:textId="33FC5C16">
      <w:pPr>
        <w:pStyle w:val="ListParagraph"/>
        <w:spacing w:after="0" w:line="240" w:lineRule="auto"/>
        <w:jc w:val="both"/>
        <w:rPr>
          <w:lang w:val="es-ES"/>
        </w:rPr>
      </w:pPr>
    </w:p>
    <w:p w:rsidR="00933157" w:rsidP="001C54B2" w:rsidRDefault="384D07D3" w14:paraId="2A1A366C" w14:textId="50810586">
      <w:pPr>
        <w:pStyle w:val="ListParagraph"/>
        <w:numPr>
          <w:ilvl w:val="0"/>
          <w:numId w:val="36"/>
        </w:numPr>
        <w:spacing w:after="0" w:line="240" w:lineRule="auto"/>
        <w:jc w:val="both"/>
        <w:rPr>
          <w:lang w:val="es-ES"/>
        </w:rPr>
      </w:pPr>
      <w:r>
        <w:t>Actualizar el glosario técnico minero, donde se validen las definiciones que deben mantenerse, se actualicen e incluyan algunos aspectos en el marco de las nuevas dinámicas del sector minero- ambiental. </w:t>
      </w:r>
    </w:p>
    <w:p w:rsidRPr="00933157" w:rsidR="00933157" w:rsidP="2A9888F1" w:rsidRDefault="00933157" w14:paraId="345A1DAF" w14:textId="77777777">
      <w:pPr>
        <w:spacing w:after="0" w:line="240" w:lineRule="auto"/>
        <w:jc w:val="both"/>
        <w:rPr>
          <w:lang w:val="es-ES"/>
        </w:rPr>
      </w:pPr>
    </w:p>
    <w:p w:rsidRPr="00933157" w:rsidR="00933157" w:rsidP="2A9888F1" w:rsidRDefault="00933157" w14:paraId="6B611106" w14:textId="77777777">
      <w:pPr>
        <w:pStyle w:val="ListParagraph"/>
        <w:spacing w:after="0"/>
        <w:rPr>
          <w:lang w:val="es-ES"/>
        </w:rPr>
      </w:pPr>
    </w:p>
    <w:p w:rsidRPr="00933157" w:rsidR="00933157" w:rsidP="2A9888F1" w:rsidRDefault="00933157" w14:paraId="7FF8F7C5" w14:textId="77777777">
      <w:pPr>
        <w:spacing w:after="0" w:line="240" w:lineRule="auto"/>
        <w:jc w:val="both"/>
        <w:rPr>
          <w:lang w:val="es-ES"/>
        </w:rPr>
      </w:pPr>
    </w:p>
    <w:p w:rsidRPr="00933157" w:rsidR="00933157" w:rsidP="2A9888F1" w:rsidRDefault="00933157" w14:paraId="77E1950B" w14:textId="77777777">
      <w:pPr>
        <w:spacing w:after="0" w:line="240" w:lineRule="auto"/>
        <w:jc w:val="both"/>
        <w:rPr>
          <w:lang w:val="es-ES"/>
        </w:rPr>
      </w:pPr>
    </w:p>
    <w:p w:rsidRPr="006D0E24" w:rsidR="00933157" w:rsidP="00933157" w:rsidRDefault="00933157" w14:paraId="7AA85FD7" w14:textId="163EC741">
      <w:pPr>
        <w:pStyle w:val="ListParagraph"/>
        <w:spacing w:after="0" w:line="240" w:lineRule="auto"/>
        <w:jc w:val="both"/>
        <w:rPr>
          <w:sz w:val="16"/>
          <w:szCs w:val="16"/>
          <w:lang w:val="es-ES"/>
        </w:rPr>
      </w:pPr>
    </w:p>
    <w:p w:rsidRPr="00500743" w:rsidR="00C443D6" w:rsidP="5734DBB2" w:rsidRDefault="00C443D6" w14:paraId="605CE1F8" w14:textId="26401C56">
      <w:pPr>
        <w:spacing w:after="0" w:line="240" w:lineRule="auto"/>
        <w:jc w:val="both"/>
        <w:rPr>
          <w:lang w:val="es-ES"/>
        </w:rPr>
      </w:pPr>
    </w:p>
    <w:p w:rsidR="00C443D6" w:rsidRDefault="2924EFE2" w14:paraId="7E6E0E82" w14:textId="0E393433">
      <w:pPr>
        <w:pStyle w:val="Heading2"/>
        <w:numPr>
          <w:ilvl w:val="1"/>
          <w:numId w:val="8"/>
        </w:numPr>
        <w:ind w:left="284"/>
        <w:rPr>
          <w:lang w:val="es-ES"/>
        </w:rPr>
      </w:pPr>
      <w:bookmarkStart w:name="_Toc135903135" w:id="936"/>
      <w:bookmarkStart w:name="_Toc199511982" w:id="937"/>
      <w:bookmarkStart w:name="_Toc2082092095" w:id="938"/>
      <w:bookmarkStart w:name="_Toc364400395" w:id="939"/>
      <w:bookmarkStart w:name="_Toc77088787" w:id="940"/>
      <w:bookmarkStart w:name="_Toc1029968346" w:id="941"/>
      <w:bookmarkStart w:name="_Toc2014334756" w:id="942"/>
      <w:bookmarkStart w:name="_Toc334147922" w:id="943"/>
      <w:bookmarkStart w:name="_Toc1246783310" w:id="944"/>
      <w:bookmarkStart w:name="_Toc1173068004" w:id="945"/>
      <w:bookmarkStart w:name="_Toc1640832568" w:id="946"/>
      <w:bookmarkStart w:name="_Toc1467297007" w:id="947"/>
      <w:bookmarkStart w:name="_Toc745391557" w:id="948"/>
      <w:bookmarkStart w:name="_Toc1787567200" w:id="949"/>
      <w:bookmarkStart w:name="_Toc736980825" w:id="950"/>
      <w:bookmarkStart w:name="_Toc811351250" w:id="951"/>
      <w:bookmarkStart w:name="_Toc71757163" w:id="952"/>
      <w:bookmarkStart w:name="_Toc2112417650" w:id="953"/>
      <w:bookmarkStart w:name="_Toc1557851836" w:id="954"/>
      <w:bookmarkStart w:name="_Toc1740439524" w:id="955"/>
      <w:bookmarkStart w:name="_Toc1212090910" w:id="956"/>
      <w:bookmarkStart w:name="_Toc1969939636" w:id="957"/>
      <w:bookmarkStart w:name="_Toc959824463" w:id="958"/>
      <w:bookmarkStart w:name="_Toc138989887" w:id="959"/>
      <w:bookmarkStart w:name="_Toc2084695658" w:id="960"/>
      <w:bookmarkStart w:name="_Toc357031757" w:id="961"/>
      <w:bookmarkStart w:name="_Toc1961478907" w:id="962"/>
      <w:bookmarkStart w:name="_Toc708227701" w:id="963"/>
      <w:bookmarkStart w:name="_Toc210292990" w:id="964"/>
      <w:r w:rsidRPr="2A9888F1">
        <w:rPr>
          <w:lang w:val="es-ES"/>
        </w:rPr>
        <w:t>Participación social efectiva e inclusión de los territorios</w:t>
      </w:r>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r w:rsidRPr="2A9888F1">
        <w:rPr>
          <w:lang w:val="es-ES"/>
        </w:rPr>
        <w:t xml:space="preserve"> </w:t>
      </w:r>
    </w:p>
    <w:p w:rsidRPr="002A1E0E" w:rsidR="00C443D6" w:rsidP="00C443D6" w:rsidRDefault="00C443D6" w14:paraId="5F2F81EB" w14:textId="77777777">
      <w:pPr>
        <w:rPr>
          <w:lang w:val="es-ES"/>
        </w:rPr>
      </w:pPr>
    </w:p>
    <w:p w:rsidRPr="00677C07" w:rsidR="00677C07" w:rsidP="2A9888F1" w:rsidRDefault="6A88A45C" w14:paraId="1738E1FC" w14:textId="77777777">
      <w:pPr>
        <w:pStyle w:val="paragraph"/>
        <w:rPr>
          <w:rFonts w:ascii="Calibri" w:hAnsi="Calibri" w:cs="Calibri" w:eastAsiaTheme="minorEastAsia"/>
          <w:sz w:val="22"/>
          <w:szCs w:val="22"/>
          <w:lang w:val="es-ES"/>
        </w:rPr>
      </w:pPr>
      <w:r w:rsidRPr="2A9888F1">
        <w:rPr>
          <w:rFonts w:ascii="Calibri" w:hAnsi="Calibri" w:cs="Calibri" w:eastAsiaTheme="minorEastAsia"/>
          <w:sz w:val="22"/>
          <w:szCs w:val="22"/>
          <w:lang w:val="es-ES"/>
        </w:rPr>
        <w:t xml:space="preserve">La nueva política minera tiene como desafío integrar un enfoque que comprenda la diversidad étnica, territorial, social y cultural del país. El objetivo principal es poder establecer mecanismos que aseguren el derecho a la participación y faciliten el ejercicio efectivo de las veedurías de la ciudadanía en todas las etapas y ciclo de vida de los proyectos mineros en sus territorios. Asumir este reto implica reconocer la deuda histórica en la garantía de derechos a las comunidades más afectadas. Por ende, este eje requiere de acciones inmediatas que apunten a la transformación de esta realidad. </w:t>
      </w:r>
    </w:p>
    <w:p w:rsidR="7B1DC8DE" w:rsidP="2A9888F1" w:rsidRDefault="7B1DC8DE" w14:paraId="4B6606E5" w14:textId="1E972AE7">
      <w:pPr>
        <w:pStyle w:val="paragraph"/>
        <w:rPr>
          <w:rFonts w:ascii="Calibri" w:hAnsi="Calibri" w:cs="Calibri" w:eastAsiaTheme="minorEastAsia"/>
          <w:sz w:val="22"/>
          <w:szCs w:val="22"/>
          <w:lang w:val="es-ES"/>
        </w:rPr>
      </w:pPr>
    </w:p>
    <w:p w:rsidRPr="00677C07" w:rsidR="00677C07" w:rsidP="2A9888F1" w:rsidRDefault="7AAB49DA" w14:paraId="11E9C654" w14:textId="7DE50C40">
      <w:pPr>
        <w:pStyle w:val="paragraph"/>
        <w:textAlignment w:val="baseline"/>
        <w:rPr>
          <w:rFonts w:ascii="Calibri" w:hAnsi="Calibri" w:cs="Calibri" w:eastAsiaTheme="minorEastAsia"/>
          <w:sz w:val="22"/>
          <w:szCs w:val="22"/>
          <w:lang w:val="es-ES"/>
        </w:rPr>
      </w:pPr>
      <w:r w:rsidRPr="3D2173F3" w:rsidR="7AAB49DA">
        <w:rPr>
          <w:rFonts w:ascii="Calibri" w:hAnsi="Calibri" w:eastAsia="游明朝" w:cs="Calibri" w:eastAsiaTheme="minorEastAsia"/>
          <w:sz w:val="22"/>
          <w:szCs w:val="22"/>
          <w:lang w:val="es-ES"/>
        </w:rPr>
        <w:t>El acceso a la información, la participación en la toma de decisiones, el acceso a la justicia, el fortalecimiento de las capacidades y la cooperación, son elementos indispensables para que las comunidades puedan proteger e incidir en todas las decisiones que puedan impactar negativamente la naturaleza o la salud de las poblaciones. Así lo señaló el Acuerdo Regional sobre el Acceso a la Información, la Participación Pública y el Acceso a la Justicia en Asuntos Ambientales en América Latina y el Caribe, más conocido como Acuerdo de Escazú</w:t>
      </w:r>
      <w:sdt>
        <w:sdtPr>
          <w:id w:val="1901334019"/>
          <w:citation/>
          <w:placeholder>
            <w:docPart w:val="DefaultPlaceholder_1081868574"/>
          </w:placeholder>
          <w:rPr>
            <w:rFonts w:ascii="Calibri" w:hAnsi="Calibri" w:eastAsia="游明朝" w:cs="Calibri" w:eastAsiaTheme="minorEastAsia"/>
            <w:sz w:val="22"/>
            <w:szCs w:val="22"/>
            <w:lang w:val="es-ES"/>
          </w:rPr>
        </w:sdtPr>
        <w:sdtEndPr>
          <w:rPr>
            <w:rFonts w:ascii="Calibri" w:hAnsi="Calibri" w:eastAsia="游明朝" w:cs="Calibri" w:eastAsiaTheme="minorEastAsia"/>
            <w:sz w:val="22"/>
            <w:szCs w:val="22"/>
            <w:lang w:val="es-ES"/>
          </w:rPr>
        </w:sdtEndPr>
        <w:sdtContent>
          <w:r w:rsidRPr="3D2173F3" w:rsidR="00677C07">
            <w:rPr>
              <w:rFonts w:ascii="Calibri" w:hAnsi="Calibri" w:eastAsia="游明朝" w:cs="Calibri" w:eastAsiaTheme="minorEastAsia"/>
              <w:sz w:val="22"/>
              <w:szCs w:val="22"/>
              <w:lang w:val="es-ES"/>
            </w:rPr>
            <w:fldChar w:fldCharType="begin"/>
          </w:r>
          <w:r w:rsidRPr="3D2173F3" w:rsidR="00F1294E">
            <w:rPr>
              <w:rFonts w:ascii="Calibri" w:hAnsi="Calibri" w:eastAsia="游明朝" w:cs="Calibri" w:eastAsiaTheme="minorEastAsia"/>
              <w:sz w:val="22"/>
              <w:szCs w:val="22"/>
              <w:lang w:val="es-ES"/>
            </w:rPr>
            <w:instrText xml:space="preserve">CITATION ONU18 \l 3082 </w:instrText>
          </w:r>
          <w:r w:rsidRPr="3D2173F3" w:rsidR="00677C07">
            <w:rPr>
              <w:rFonts w:ascii="Calibri" w:hAnsi="Calibri" w:eastAsia="游明朝" w:cs="Calibri" w:eastAsiaTheme="minorEastAsia"/>
              <w:sz w:val="22"/>
              <w:szCs w:val="22"/>
              <w:lang w:val="es-ES"/>
            </w:rPr>
            <w:fldChar w:fldCharType="separate"/>
          </w:r>
          <w:r w:rsidRPr="3D2173F3" w:rsidR="00104221">
            <w:rPr>
              <w:rFonts w:ascii="Calibri" w:hAnsi="Calibri" w:eastAsia="游明朝" w:cs="Calibri" w:eastAsiaTheme="minorEastAsia"/>
              <w:noProof/>
              <w:sz w:val="22"/>
              <w:szCs w:val="22"/>
              <w:lang w:val="es-ES"/>
            </w:rPr>
            <w:t xml:space="preserve"> </w:t>
          </w:r>
          <w:r w:rsidRPr="3D2173F3" w:rsidR="00104221">
            <w:rPr>
              <w:rFonts w:ascii="Calibri" w:hAnsi="Calibri" w:eastAsia="游明朝" w:cs="Calibri" w:eastAsiaTheme="minorEastAsia"/>
              <w:noProof/>
              <w:sz w:val="22"/>
              <w:szCs w:val="22"/>
              <w:lang w:val="es-ES"/>
            </w:rPr>
            <w:t>(ONU, 2018)</w:t>
          </w:r>
          <w:r w:rsidRPr="3D2173F3" w:rsidR="00677C07">
            <w:rPr>
              <w:rFonts w:ascii="Calibri" w:hAnsi="Calibri" w:eastAsia="游明朝" w:cs="Calibri" w:eastAsiaTheme="minorEastAsia"/>
              <w:sz w:val="22"/>
              <w:szCs w:val="22"/>
              <w:lang w:val="es-ES"/>
            </w:rPr>
            <w:fldChar w:fldCharType="end"/>
          </w:r>
        </w:sdtContent>
      </w:sdt>
      <w:r w:rsidRPr="3D2173F3" w:rsidR="00677C07">
        <w:rPr>
          <w:rFonts w:ascii="Calibri" w:hAnsi="Calibri" w:eastAsia="游明朝" w:cs="Calibri" w:eastAsiaTheme="minorEastAsia"/>
          <w:sz w:val="22"/>
          <w:szCs w:val="22"/>
          <w:vertAlign w:val="superscript"/>
          <w:lang w:val="es-ES"/>
        </w:rPr>
        <w:footnoteReference w:id="78"/>
      </w:r>
      <w:r w:rsidRPr="3D2173F3" w:rsidR="7AAB49DA">
        <w:rPr>
          <w:rFonts w:ascii="Calibri" w:hAnsi="Calibri" w:eastAsia="游明朝" w:cs="Calibri" w:eastAsiaTheme="minorEastAsia"/>
          <w:sz w:val="22"/>
          <w:szCs w:val="22"/>
          <w:lang w:val="es-ES"/>
        </w:rPr>
        <w:t>.</w:t>
      </w:r>
    </w:p>
    <w:p w:rsidRPr="00677C07" w:rsidR="00677C07" w:rsidP="2A9888F1" w:rsidRDefault="6A88A45C" w14:paraId="19EC6F2B" w14:textId="16613581">
      <w:pPr>
        <w:pStyle w:val="paragraph"/>
        <w:rPr>
          <w:rFonts w:ascii="Calibri" w:hAnsi="Calibri" w:cs="Calibri" w:eastAsiaTheme="minorEastAsia"/>
          <w:sz w:val="22"/>
          <w:szCs w:val="22"/>
          <w:lang w:val="es-ES"/>
        </w:rPr>
      </w:pPr>
      <w:r w:rsidRPr="2A9888F1">
        <w:rPr>
          <w:rFonts w:ascii="Calibri" w:hAnsi="Calibri" w:cs="Calibri" w:eastAsiaTheme="minorEastAsia"/>
          <w:sz w:val="22"/>
          <w:szCs w:val="22"/>
          <w:lang w:val="es-ES"/>
        </w:rPr>
        <w:t xml:space="preserve">Este acuerdo definió lineamientos para establecer una estrategia efectiva para la promoción, protección y garantía del derecho fundamental a la participación, indicando que: </w:t>
      </w:r>
    </w:p>
    <w:p w:rsidRPr="00677C07" w:rsidR="00677C07" w:rsidP="2A9888F1" w:rsidRDefault="6A88A45C" w14:paraId="01DFAB58" w14:textId="77777777">
      <w:pPr>
        <w:pStyle w:val="paragraph"/>
        <w:numPr>
          <w:ilvl w:val="0"/>
          <w:numId w:val="37"/>
        </w:numPr>
        <w:textAlignment w:val="baseline"/>
        <w:rPr>
          <w:rFonts w:ascii="Calibri" w:hAnsi="Calibri" w:cs="Calibri" w:eastAsiaTheme="minorEastAsia"/>
          <w:sz w:val="22"/>
          <w:szCs w:val="22"/>
        </w:rPr>
      </w:pPr>
      <w:r w:rsidRPr="2A9888F1">
        <w:rPr>
          <w:rFonts w:ascii="Calibri" w:hAnsi="Calibri" w:cs="Calibri" w:eastAsiaTheme="minorEastAsia"/>
          <w:sz w:val="22"/>
          <w:szCs w:val="22"/>
        </w:rPr>
        <w:t xml:space="preserve">La participación no es una actividad puntal limitada en el tiempo y en el espacio. </w:t>
      </w:r>
    </w:p>
    <w:p w:rsidRPr="00677C07" w:rsidR="00677C07" w:rsidP="2A9888F1" w:rsidRDefault="6A88A45C" w14:paraId="7CBD07B0" w14:textId="77777777">
      <w:pPr>
        <w:pStyle w:val="paragraph"/>
        <w:numPr>
          <w:ilvl w:val="0"/>
          <w:numId w:val="37"/>
        </w:numPr>
        <w:textAlignment w:val="baseline"/>
        <w:rPr>
          <w:rFonts w:ascii="Calibri" w:hAnsi="Calibri" w:cs="Calibri" w:eastAsiaTheme="minorEastAsia"/>
          <w:sz w:val="22"/>
          <w:szCs w:val="22"/>
        </w:rPr>
      </w:pPr>
      <w:r w:rsidRPr="2A9888F1">
        <w:rPr>
          <w:rFonts w:ascii="Calibri" w:hAnsi="Calibri" w:cs="Calibri" w:eastAsiaTheme="minorEastAsia"/>
          <w:sz w:val="22"/>
          <w:szCs w:val="22"/>
        </w:rPr>
        <w:t>La participación se trata del ejercicio pleno de la ciudadanía en tanto permite el acceso a todos los derechos fundamentales.</w:t>
      </w:r>
    </w:p>
    <w:p w:rsidRPr="00677C07" w:rsidR="00677C07" w:rsidP="2A9888F1" w:rsidRDefault="6A88A45C" w14:paraId="7ADCD808" w14:textId="77777777">
      <w:pPr>
        <w:pStyle w:val="paragraph"/>
        <w:numPr>
          <w:ilvl w:val="0"/>
          <w:numId w:val="37"/>
        </w:numPr>
        <w:textAlignment w:val="baseline"/>
        <w:rPr>
          <w:rFonts w:ascii="Calibri" w:hAnsi="Calibri" w:cs="Calibri" w:eastAsiaTheme="minorEastAsia"/>
          <w:sz w:val="22"/>
          <w:szCs w:val="22"/>
        </w:rPr>
      </w:pPr>
      <w:r w:rsidRPr="2A9888F1">
        <w:rPr>
          <w:rFonts w:ascii="Calibri" w:hAnsi="Calibri" w:cs="Calibri" w:eastAsiaTheme="minorEastAsia"/>
          <w:sz w:val="22"/>
          <w:szCs w:val="22"/>
        </w:rPr>
        <w:t xml:space="preserve">La participación no se da de manera espontánea, requiere de la existencia de entornos favorables para su ejercicio. Dichos entornos deben responder a las particularidades sociales, culturales y económicas de las poblaciones y sus territorios. </w:t>
      </w:r>
    </w:p>
    <w:p w:rsidRPr="00677C07" w:rsidR="00677C07" w:rsidP="2A9888F1" w:rsidRDefault="6A88A45C" w14:paraId="0558ADCF" w14:textId="77777777">
      <w:pPr>
        <w:pStyle w:val="paragraph"/>
        <w:numPr>
          <w:ilvl w:val="0"/>
          <w:numId w:val="37"/>
        </w:numPr>
        <w:textAlignment w:val="baseline"/>
        <w:rPr>
          <w:rFonts w:ascii="Calibri" w:hAnsi="Calibri" w:cs="Calibri" w:eastAsiaTheme="minorEastAsia"/>
          <w:sz w:val="22"/>
          <w:szCs w:val="22"/>
        </w:rPr>
      </w:pPr>
      <w:r w:rsidRPr="2A9888F1">
        <w:rPr>
          <w:rFonts w:ascii="Calibri" w:hAnsi="Calibri" w:cs="Calibri" w:eastAsiaTheme="minorEastAsia"/>
          <w:sz w:val="22"/>
          <w:szCs w:val="22"/>
        </w:rPr>
        <w:t xml:space="preserve">La participación solo es efectiva en la medida que de allí emanen decisiones de las comunidades dirigidas a la gestión de su propio desarrollo. </w:t>
      </w:r>
    </w:p>
    <w:p w:rsidR="7B1DC8DE" w:rsidP="2A9888F1" w:rsidRDefault="7B1DC8DE" w14:paraId="1ADEDC10" w14:textId="078E9A59">
      <w:pPr>
        <w:pStyle w:val="paragraph"/>
        <w:ind w:left="720"/>
        <w:rPr>
          <w:rFonts w:ascii="Calibri" w:hAnsi="Calibri" w:cs="Calibri" w:eastAsiaTheme="minorEastAsia"/>
          <w:sz w:val="22"/>
          <w:szCs w:val="22"/>
        </w:rPr>
      </w:pPr>
    </w:p>
    <w:p w:rsidRPr="00677C07" w:rsidR="00677C07" w:rsidP="2A9888F1" w:rsidRDefault="6A88A45C" w14:paraId="369455CB" w14:textId="77777777">
      <w:pPr>
        <w:pStyle w:val="paragraph"/>
        <w:rPr>
          <w:rFonts w:ascii="Calibri" w:hAnsi="Calibri" w:cs="Calibri" w:eastAsiaTheme="minorEastAsia"/>
          <w:sz w:val="22"/>
          <w:szCs w:val="22"/>
          <w:lang w:val="es-ES"/>
        </w:rPr>
      </w:pPr>
      <w:r w:rsidRPr="2A9888F1">
        <w:rPr>
          <w:rFonts w:ascii="Calibri" w:hAnsi="Calibri" w:cs="Calibri" w:eastAsiaTheme="minorEastAsia"/>
          <w:sz w:val="22"/>
          <w:szCs w:val="22"/>
          <w:lang w:val="es-ES"/>
        </w:rPr>
        <w:t xml:space="preserve">La ausencia de estas consideraciones genera procesos de participación limitados y poco eficaces con las comunidades. Por el contrario, el acceso a la información, la participación e incidencia en la toma de decisiones, el fortalecimiento de las capacidades locales y la cooperación, son elementos indispensables para propiciar un mecanismo de gobernanza minera incluyente y legítimo. </w:t>
      </w:r>
    </w:p>
    <w:p w:rsidR="7B1DC8DE" w:rsidP="2A9888F1" w:rsidRDefault="7B1DC8DE" w14:paraId="6C1E556A" w14:textId="1BAA4E4F">
      <w:pPr>
        <w:pStyle w:val="paragraph"/>
        <w:rPr>
          <w:rFonts w:ascii="Calibri" w:hAnsi="Calibri" w:cs="Calibri" w:eastAsiaTheme="minorEastAsia"/>
          <w:sz w:val="22"/>
          <w:szCs w:val="22"/>
          <w:lang w:val="es-ES"/>
        </w:rPr>
      </w:pPr>
    </w:p>
    <w:p w:rsidRPr="00677C07" w:rsidR="00677C07" w:rsidP="2A9888F1" w:rsidRDefault="6A88A45C" w14:paraId="73AC2456" w14:textId="1D872D9C">
      <w:pPr>
        <w:pStyle w:val="paragraph"/>
        <w:rPr>
          <w:rFonts w:ascii="Calibri" w:hAnsi="Calibri" w:cs="Calibri" w:eastAsiaTheme="minorEastAsia"/>
          <w:sz w:val="22"/>
          <w:szCs w:val="22"/>
        </w:rPr>
      </w:pPr>
      <w:r w:rsidRPr="2A9888F1">
        <w:rPr>
          <w:rFonts w:ascii="Calibri" w:hAnsi="Calibri" w:cs="Calibri" w:eastAsiaTheme="minorEastAsia"/>
          <w:sz w:val="22"/>
          <w:szCs w:val="22"/>
          <w:lang w:val="es-ES"/>
        </w:rPr>
        <w:t>En respuesta a las falencias para la garantía del derecho a la participación y con el objetivo de consolidar y ampliar lo ya existente, la nueva política minera propone una serie de acciones orientadas a: (i) Establecer escenarios de coordinación interinstitucional para la garantía de los derechos a la consulta previa y la participación ciudadana efectiva, (</w:t>
      </w:r>
      <w:proofErr w:type="spellStart"/>
      <w:r w:rsidRPr="2A9888F1">
        <w:rPr>
          <w:rFonts w:ascii="Calibri" w:hAnsi="Calibri" w:cs="Calibri" w:eastAsiaTheme="minorEastAsia"/>
          <w:sz w:val="22"/>
          <w:szCs w:val="22"/>
          <w:lang w:val="es-ES"/>
        </w:rPr>
        <w:t>ii</w:t>
      </w:r>
      <w:proofErr w:type="spellEnd"/>
      <w:r w:rsidRPr="2A9888F1">
        <w:rPr>
          <w:rFonts w:ascii="Calibri" w:hAnsi="Calibri" w:cs="Calibri" w:eastAsiaTheme="minorEastAsia"/>
          <w:sz w:val="22"/>
          <w:szCs w:val="22"/>
          <w:lang w:val="es-ES"/>
        </w:rPr>
        <w:t>) Desarrollar estrategias de gestión y manejo de la conflictividad socioambiental, (</w:t>
      </w:r>
      <w:proofErr w:type="spellStart"/>
      <w:r w:rsidRPr="2A9888F1">
        <w:rPr>
          <w:rFonts w:ascii="Calibri" w:hAnsi="Calibri" w:cs="Calibri" w:eastAsiaTheme="minorEastAsia"/>
          <w:sz w:val="22"/>
          <w:szCs w:val="22"/>
          <w:lang w:val="es-ES"/>
        </w:rPr>
        <w:t>iii</w:t>
      </w:r>
      <w:proofErr w:type="spellEnd"/>
      <w:r w:rsidRPr="2A9888F1">
        <w:rPr>
          <w:rFonts w:ascii="Calibri" w:hAnsi="Calibri" w:cs="Calibri" w:eastAsiaTheme="minorEastAsia"/>
          <w:sz w:val="22"/>
          <w:szCs w:val="22"/>
          <w:lang w:val="es-ES"/>
        </w:rPr>
        <w:t>) Fortalecer los instrumentos de coordinación y concurrencia entre la instituciones y (</w:t>
      </w:r>
      <w:proofErr w:type="spellStart"/>
      <w:r w:rsidRPr="2A9888F1">
        <w:rPr>
          <w:rFonts w:ascii="Calibri" w:hAnsi="Calibri" w:cs="Calibri" w:eastAsiaTheme="minorEastAsia"/>
          <w:sz w:val="22"/>
          <w:szCs w:val="22"/>
          <w:lang w:val="es-ES"/>
        </w:rPr>
        <w:t>iv</w:t>
      </w:r>
      <w:proofErr w:type="spellEnd"/>
      <w:r w:rsidRPr="2A9888F1">
        <w:rPr>
          <w:rFonts w:ascii="Calibri" w:hAnsi="Calibri" w:cs="Calibri" w:eastAsiaTheme="minorEastAsia"/>
          <w:sz w:val="22"/>
          <w:szCs w:val="22"/>
          <w:lang w:val="es-ES"/>
        </w:rPr>
        <w:t>) promover la generación de espacios y dinámicas que faciliten el intercambio de saberes y el acceso a la información. Para todo lo anterior, se propone avanzar en las siguientes acciones para r</w:t>
      </w:r>
      <w:r w:rsidRPr="2A9888F1" w:rsidR="1434F8EF">
        <w:rPr>
          <w:rFonts w:ascii="Calibri" w:hAnsi="Calibri" w:cs="Calibri" w:eastAsiaTheme="minorEastAsia"/>
          <w:sz w:val="22"/>
          <w:szCs w:val="22"/>
        </w:rPr>
        <w:t>robustecer</w:t>
      </w:r>
      <w:r w:rsidRPr="2A9888F1">
        <w:rPr>
          <w:rFonts w:ascii="Calibri" w:hAnsi="Calibri" w:cs="Calibri" w:eastAsiaTheme="minorEastAsia"/>
          <w:sz w:val="22"/>
          <w:szCs w:val="22"/>
        </w:rPr>
        <w:t xml:space="preserve"> escenarios de participación de las comunidades en cuanto a: procedimientos y mecanismos de participación ciudadana existentes, en el otorgamiento de títulos mineros y en licenciamiento ambiental; para lo cual se deberá: </w:t>
      </w:r>
    </w:p>
    <w:p w:rsidR="7B1DC8DE" w:rsidP="2A9888F1" w:rsidRDefault="7B1DC8DE" w14:paraId="2E5C2563" w14:textId="00007763">
      <w:pPr>
        <w:pStyle w:val="paragraph"/>
        <w:rPr>
          <w:rFonts w:ascii="Calibri" w:hAnsi="Calibri" w:cs="Calibri" w:eastAsiaTheme="minorEastAsia"/>
          <w:sz w:val="22"/>
          <w:szCs w:val="22"/>
        </w:rPr>
      </w:pPr>
    </w:p>
    <w:p w:rsidR="00677C07" w:rsidP="2A9888F1" w:rsidRDefault="6A88A45C" w14:paraId="0468C8B7" w14:textId="55351704">
      <w:pPr>
        <w:pStyle w:val="paragraph"/>
        <w:numPr>
          <w:ilvl w:val="0"/>
          <w:numId w:val="38"/>
        </w:numPr>
        <w:spacing w:before="0" w:beforeAutospacing="0" w:after="240" w:afterAutospacing="0"/>
        <w:textAlignment w:val="baseline"/>
        <w:rPr>
          <w:rFonts w:ascii="Calibri" w:hAnsi="Calibri" w:cs="Calibri" w:eastAsiaTheme="minorEastAsia"/>
          <w:sz w:val="22"/>
          <w:szCs w:val="22"/>
          <w:lang w:val="es-ES"/>
        </w:rPr>
      </w:pPr>
      <w:r w:rsidRPr="2A9888F1">
        <w:rPr>
          <w:rFonts w:ascii="Calibri" w:hAnsi="Calibri" w:cs="Calibri" w:eastAsiaTheme="minorEastAsia"/>
          <w:sz w:val="22"/>
          <w:szCs w:val="22"/>
        </w:rPr>
        <w:t>Implementar una estrategia institucional para operacionalizar las recomendaciones producto del documento diagnóstico que refleja la situación de la participación ciudadana en el sector minero en todas las etapas integrando acciones de fortalecimiento normativo y territorial con mecanismos de seguimiento y evaluación, según las órdenes dictadas en la sentencia SU-095 de 2018.</w:t>
      </w:r>
    </w:p>
    <w:p w:rsidRPr="00677C07" w:rsidR="00677C07" w:rsidP="2A9888F1" w:rsidRDefault="7BB8DE06" w14:paraId="29A43373" w14:textId="2F4D6590">
      <w:pPr>
        <w:pStyle w:val="paragraph"/>
        <w:numPr>
          <w:ilvl w:val="0"/>
          <w:numId w:val="38"/>
        </w:numPr>
        <w:spacing w:before="0" w:beforeAutospacing="0" w:after="240" w:afterAutospacing="0"/>
        <w:textAlignment w:val="baseline"/>
        <w:rPr>
          <w:rFonts w:ascii="Calibri" w:hAnsi="Calibri" w:cs="Calibri" w:eastAsiaTheme="minorEastAsia"/>
          <w:sz w:val="22"/>
          <w:szCs w:val="22"/>
        </w:rPr>
      </w:pPr>
      <w:r w:rsidRPr="2A9888F1">
        <w:rPr>
          <w:rFonts w:ascii="Calibri" w:hAnsi="Calibri" w:cs="Calibri" w:eastAsiaTheme="minorEastAsia"/>
          <w:sz w:val="22"/>
          <w:szCs w:val="22"/>
        </w:rPr>
        <w:t>Fortalecer</w:t>
      </w:r>
      <w:r w:rsidRPr="2A9888F1" w:rsidR="6A88A45C">
        <w:rPr>
          <w:rFonts w:ascii="Calibri" w:hAnsi="Calibri" w:cs="Calibri" w:eastAsiaTheme="minorEastAsia"/>
          <w:sz w:val="22"/>
          <w:szCs w:val="22"/>
        </w:rPr>
        <w:t xml:space="preserve"> los mecanismos de participación ciudadana desde </w:t>
      </w:r>
      <w:r w:rsidRPr="2A9888F1" w:rsidR="1D1CB301">
        <w:rPr>
          <w:rFonts w:ascii="Calibri" w:hAnsi="Calibri" w:cs="Calibri" w:eastAsiaTheme="minorEastAsia"/>
          <w:sz w:val="22"/>
          <w:szCs w:val="22"/>
        </w:rPr>
        <w:t>el sector</w:t>
      </w:r>
      <w:r w:rsidRPr="2A9888F1" w:rsidR="6A88A45C">
        <w:rPr>
          <w:rFonts w:ascii="Calibri" w:hAnsi="Calibri" w:cs="Calibri" w:eastAsiaTheme="minorEastAsia"/>
          <w:sz w:val="22"/>
          <w:szCs w:val="22"/>
        </w:rPr>
        <w:t xml:space="preserve"> minero en cada una de las etapas del ciclo minero, incluido el licenciamiento ambiental. </w:t>
      </w:r>
    </w:p>
    <w:p w:rsidR="2ED71CB7" w:rsidP="2A9888F1" w:rsidRDefault="34F7E793" w14:paraId="6BFC0649" w14:textId="6DAC9B0B">
      <w:pPr>
        <w:pStyle w:val="paragraph"/>
        <w:numPr>
          <w:ilvl w:val="0"/>
          <w:numId w:val="38"/>
        </w:numPr>
        <w:spacing w:before="0" w:beforeAutospacing="0" w:after="0"/>
        <w:rPr>
          <w:rFonts w:ascii="Calibri" w:hAnsi="Calibri" w:cs="Calibri" w:eastAsiaTheme="minorEastAsia"/>
          <w:sz w:val="22"/>
          <w:szCs w:val="22"/>
        </w:rPr>
      </w:pPr>
      <w:r w:rsidRPr="2A9888F1">
        <w:rPr>
          <w:rFonts w:ascii="Calibri" w:hAnsi="Calibri" w:cs="Calibri" w:eastAsiaTheme="minorEastAsia"/>
          <w:sz w:val="22"/>
          <w:szCs w:val="22"/>
        </w:rPr>
        <w:t>Implementar espacio</w:t>
      </w:r>
      <w:r w:rsidRPr="2A9888F1" w:rsidR="7FF69E63">
        <w:rPr>
          <w:rFonts w:ascii="Calibri" w:hAnsi="Calibri" w:cs="Calibri" w:eastAsiaTheme="minorEastAsia"/>
          <w:sz w:val="22"/>
          <w:szCs w:val="22"/>
        </w:rPr>
        <w:t>s</w:t>
      </w:r>
      <w:r w:rsidRPr="2A9888F1">
        <w:rPr>
          <w:rFonts w:ascii="Calibri" w:hAnsi="Calibri" w:cs="Calibri" w:eastAsiaTheme="minorEastAsia"/>
          <w:sz w:val="22"/>
          <w:szCs w:val="22"/>
        </w:rPr>
        <w:t xml:space="preserve"> de diálogo y apropiación de los instrumentos técnicos minero-ambientales con enfoque de: derechos, género, diferencial, étnico y sistémico con actores de interés tomando como referentes los manuales de funcionamiento y directrices de las Naciones Unidas y de la OCDE.</w:t>
      </w:r>
    </w:p>
    <w:p w:rsidRPr="00677C07" w:rsidR="00677C07" w:rsidP="2A9888F1" w:rsidRDefault="6A88A45C" w14:paraId="3409FEAE" w14:textId="77777777">
      <w:pPr>
        <w:pStyle w:val="paragraph"/>
        <w:rPr>
          <w:rFonts w:ascii="Calibri" w:hAnsi="Calibri" w:cs="Calibri" w:eastAsiaTheme="minorEastAsia"/>
          <w:sz w:val="22"/>
          <w:szCs w:val="22"/>
        </w:rPr>
      </w:pPr>
      <w:r w:rsidRPr="2A9888F1">
        <w:rPr>
          <w:rFonts w:ascii="Calibri" w:hAnsi="Calibri" w:cs="Calibri" w:eastAsiaTheme="minorEastAsia"/>
          <w:sz w:val="22"/>
          <w:szCs w:val="22"/>
        </w:rPr>
        <w:t xml:space="preserve">Para la gestión y el manejo de la conflictividad generada por la actividad minera en los territorios, es necesario el impulso estrategias encaminadas a: </w:t>
      </w:r>
    </w:p>
    <w:p w:rsidRPr="00677C07" w:rsidR="00677C07" w:rsidP="2A9888F1" w:rsidRDefault="6A88A45C" w14:paraId="36F0D988" w14:textId="119149AC">
      <w:pPr>
        <w:pStyle w:val="paragraph"/>
        <w:numPr>
          <w:ilvl w:val="0"/>
          <w:numId w:val="39"/>
        </w:numPr>
        <w:spacing w:after="240" w:afterAutospacing="0"/>
        <w:textAlignment w:val="baseline"/>
        <w:rPr>
          <w:rFonts w:ascii="Calibri" w:hAnsi="Calibri" w:cs="Calibri" w:eastAsiaTheme="minorEastAsia"/>
          <w:sz w:val="22"/>
          <w:szCs w:val="22"/>
        </w:rPr>
      </w:pPr>
      <w:r w:rsidRPr="2A9888F1">
        <w:rPr>
          <w:rFonts w:ascii="Calibri" w:hAnsi="Calibri" w:cs="Calibri" w:eastAsiaTheme="minorEastAsia"/>
          <w:sz w:val="22"/>
          <w:szCs w:val="22"/>
        </w:rPr>
        <w:t>Realizar un diagnóstico participativo que refleje la situación de la participación ciudadana en el sector minero en todas las etapas del ciclo minero y desde la perspectiva diferencial.</w:t>
      </w:r>
    </w:p>
    <w:p w:rsidRPr="00677C07" w:rsidR="00677C07" w:rsidP="2A9888F1" w:rsidRDefault="6A88A45C" w14:paraId="715717B3" w14:textId="193117D8">
      <w:pPr>
        <w:pStyle w:val="paragraph"/>
        <w:numPr>
          <w:ilvl w:val="0"/>
          <w:numId w:val="39"/>
        </w:numPr>
        <w:spacing w:after="240" w:afterAutospacing="0"/>
        <w:textAlignment w:val="baseline"/>
        <w:rPr>
          <w:rFonts w:ascii="Calibri" w:hAnsi="Calibri" w:cs="Calibri" w:eastAsiaTheme="minorEastAsia"/>
          <w:sz w:val="22"/>
          <w:szCs w:val="22"/>
        </w:rPr>
      </w:pPr>
      <w:r w:rsidRPr="2A9888F1">
        <w:rPr>
          <w:rFonts w:ascii="Calibri" w:hAnsi="Calibri" w:cs="Calibri" w:eastAsiaTheme="minorEastAsia"/>
          <w:sz w:val="22"/>
          <w:szCs w:val="22"/>
        </w:rPr>
        <w:t>Actualizar e Implementar una estrategia de relacionamiento territorial del sector minero con programas y proyectos, que fortalezca el diálogo, la comunicación, la resolución de conflictos y la información con las entidades territoriales; autoridades locales y autoridades ambientales</w:t>
      </w:r>
      <w:r w:rsidRPr="2A9888F1" w:rsidR="3F728428">
        <w:rPr>
          <w:rFonts w:ascii="Calibri" w:hAnsi="Calibri" w:cs="Calibri" w:eastAsiaTheme="minorEastAsia"/>
          <w:sz w:val="22"/>
          <w:szCs w:val="22"/>
        </w:rPr>
        <w:t>.</w:t>
      </w:r>
    </w:p>
    <w:p w:rsidRPr="00535777" w:rsidR="00535777" w:rsidP="006423E6" w:rsidRDefault="096E2C04" w14:paraId="32AD4E6F" w14:textId="13994E8D">
      <w:pPr>
        <w:pStyle w:val="paragraph"/>
        <w:numPr>
          <w:ilvl w:val="0"/>
          <w:numId w:val="39"/>
        </w:numPr>
        <w:spacing w:before="0" w:beforeAutospacing="0" w:after="0"/>
        <w:rPr>
          <w:rFonts w:ascii="Calibri" w:hAnsi="Calibri" w:cs="Calibri" w:eastAsiaTheme="minorEastAsia"/>
          <w:sz w:val="22"/>
          <w:szCs w:val="22"/>
        </w:rPr>
      </w:pPr>
      <w:r w:rsidRPr="00535777">
        <w:rPr>
          <w:rFonts w:ascii="Calibri" w:hAnsi="Calibri" w:cs="Calibri" w:eastAsiaTheme="minorEastAsia"/>
          <w:sz w:val="22"/>
          <w:szCs w:val="22"/>
        </w:rPr>
        <w:t xml:space="preserve">Integrar los enfoques diferenciales de género, étnico y de derechos humanos en los mecanismos de participación, transparencia y acceso a la información del sector minero, </w:t>
      </w:r>
      <w:r w:rsidRPr="00535777" w:rsidR="18701AC2">
        <w:rPr>
          <w:rFonts w:ascii="Calibri" w:hAnsi="Calibri" w:cs="Calibri" w:eastAsiaTheme="minorEastAsia"/>
          <w:sz w:val="22"/>
          <w:szCs w:val="22"/>
        </w:rPr>
        <w:t>para que</w:t>
      </w:r>
      <w:r w:rsidRPr="00535777">
        <w:rPr>
          <w:rFonts w:ascii="Calibri" w:hAnsi="Calibri" w:cs="Calibri" w:eastAsiaTheme="minorEastAsia"/>
          <w:sz w:val="22"/>
          <w:szCs w:val="22"/>
        </w:rPr>
        <w:t xml:space="preserve"> en cada etapa del ciclo minero (exploración, explotación, cierre y licenciamiento ambiental) se garantice la participación incidente de comunidades, mujeres, pueblos étnicos y otros grupos poblacionales, en cumplimiento del Acuerdo de Escazú.</w:t>
      </w:r>
    </w:p>
    <w:p w:rsidRPr="00535777" w:rsidR="60B64B7F" w:rsidP="00535777" w:rsidRDefault="60B64B7F" w14:paraId="1C623A2F" w14:textId="6AF8ACB9">
      <w:pPr>
        <w:pStyle w:val="paragraph"/>
        <w:numPr>
          <w:ilvl w:val="0"/>
          <w:numId w:val="39"/>
        </w:numPr>
        <w:spacing w:before="240" w:beforeAutospacing="0" w:after="0"/>
        <w:rPr>
          <w:rFonts w:ascii="Calibri" w:hAnsi="Calibri" w:cs="Calibri" w:eastAsiaTheme="minorEastAsia"/>
          <w:sz w:val="22"/>
          <w:szCs w:val="22"/>
        </w:rPr>
      </w:pPr>
      <w:r w:rsidRPr="00535777">
        <w:rPr>
          <w:rFonts w:ascii="Calibri" w:hAnsi="Calibri" w:cs="Calibri" w:eastAsiaTheme="minorEastAsia"/>
          <w:sz w:val="22"/>
          <w:szCs w:val="22"/>
        </w:rPr>
        <w:t>Presentar a la Jurisdicción Especial para la Paz un protocolo forense que garantice la integridad de las áreas de influencia de proyectos minero</w:t>
      </w:r>
      <w:r w:rsidRPr="00535777" w:rsidR="5257BCC1">
        <w:rPr>
          <w:rFonts w:ascii="Calibri" w:hAnsi="Calibri" w:cs="Calibri" w:eastAsiaTheme="minorEastAsia"/>
          <w:sz w:val="22"/>
          <w:szCs w:val="22"/>
        </w:rPr>
        <w:t xml:space="preserve"> </w:t>
      </w:r>
      <w:r w:rsidRPr="00535777">
        <w:rPr>
          <w:rFonts w:ascii="Calibri" w:hAnsi="Calibri" w:cs="Calibri" w:eastAsiaTheme="minorEastAsia"/>
          <w:sz w:val="22"/>
          <w:szCs w:val="22"/>
        </w:rPr>
        <w:t>energéticos por la posible presencia de restos de personas dadas por desaparecidas.</w:t>
      </w:r>
    </w:p>
    <w:p w:rsidRPr="00677C07" w:rsidR="00677C07" w:rsidP="00535777" w:rsidRDefault="6A88A45C" w14:paraId="26117D37" w14:textId="3226A03F">
      <w:pPr>
        <w:pStyle w:val="paragraph"/>
        <w:spacing w:after="0"/>
        <w:rPr>
          <w:rFonts w:ascii="Calibri" w:hAnsi="Calibri" w:cs="Calibri" w:eastAsiaTheme="minorEastAsia"/>
          <w:sz w:val="22"/>
          <w:szCs w:val="22"/>
        </w:rPr>
      </w:pPr>
      <w:r w:rsidRPr="2A9888F1">
        <w:rPr>
          <w:rFonts w:ascii="Calibri" w:hAnsi="Calibri" w:cs="Calibri" w:eastAsiaTheme="minorEastAsia"/>
          <w:sz w:val="22"/>
          <w:szCs w:val="22"/>
          <w:lang w:val="es-ES"/>
        </w:rPr>
        <w:t xml:space="preserve">Para </w:t>
      </w:r>
      <w:r w:rsidRPr="2A9888F1">
        <w:rPr>
          <w:rFonts w:ascii="Calibri" w:hAnsi="Calibri" w:cs="Calibri" w:eastAsiaTheme="minorEastAsia"/>
          <w:sz w:val="22"/>
          <w:szCs w:val="22"/>
        </w:rPr>
        <w:t>fortalecer los mecanismos de participación ciudadana e instrumentos de coordinación y concurrencia entre las autoridades minera, ambiental y las entidades del orden nacional y territorial, se deben encaminar las siguientes acciones:</w:t>
      </w:r>
    </w:p>
    <w:p w:rsidRPr="00677C07" w:rsidR="00677C07" w:rsidP="2A9888F1" w:rsidRDefault="6A88A45C" w14:paraId="07FD78BB" w14:textId="77777777">
      <w:pPr>
        <w:pStyle w:val="paragraph"/>
        <w:numPr>
          <w:ilvl w:val="0"/>
          <w:numId w:val="40"/>
        </w:numPr>
        <w:spacing w:after="240" w:afterAutospacing="0"/>
        <w:textAlignment w:val="baseline"/>
        <w:rPr>
          <w:rFonts w:ascii="Calibri" w:hAnsi="Calibri" w:cs="Calibri" w:eastAsiaTheme="minorEastAsia"/>
          <w:sz w:val="22"/>
          <w:szCs w:val="22"/>
        </w:rPr>
      </w:pPr>
      <w:r w:rsidRPr="2A9888F1">
        <w:rPr>
          <w:rFonts w:ascii="Calibri" w:hAnsi="Calibri" w:cs="Calibri" w:eastAsiaTheme="minorEastAsia"/>
          <w:sz w:val="22"/>
          <w:szCs w:val="22"/>
        </w:rPr>
        <w:t>Implementar una plataforma digital para la visualización y divulgación de los avances de la sentencia de ventanilla minera y otras sentencias de interés minero-ambiental que fortalezca la información, transparencia, participación y gobernanza digital del sector.</w:t>
      </w:r>
      <w:r w:rsidR="00677C07">
        <w:tab/>
      </w:r>
    </w:p>
    <w:p w:rsidRPr="00535777" w:rsidR="00677C07" w:rsidP="00535777" w:rsidRDefault="6A88A45C" w14:paraId="40ED035A" w14:textId="62AD6343">
      <w:pPr>
        <w:pStyle w:val="paragraph"/>
        <w:numPr>
          <w:ilvl w:val="0"/>
          <w:numId w:val="40"/>
        </w:numPr>
        <w:spacing w:after="0"/>
        <w:textAlignment w:val="baseline"/>
        <w:rPr>
          <w:rFonts w:ascii="Calibri" w:hAnsi="Calibri" w:cs="Calibri" w:eastAsiaTheme="minorEastAsia"/>
          <w:sz w:val="22"/>
          <w:szCs w:val="22"/>
        </w:rPr>
      </w:pPr>
      <w:r w:rsidRPr="2A9888F1">
        <w:rPr>
          <w:rFonts w:ascii="Calibri" w:hAnsi="Calibri" w:cs="Calibri" w:eastAsiaTheme="minorEastAsia"/>
          <w:sz w:val="22"/>
          <w:szCs w:val="22"/>
        </w:rPr>
        <w:t xml:space="preserve">Activar y robustecer el observatorio de conflictividad socio ambiental de </w:t>
      </w:r>
      <w:proofErr w:type="spellStart"/>
      <w:r w:rsidRPr="2A9888F1">
        <w:rPr>
          <w:rFonts w:ascii="Calibri" w:hAnsi="Calibri" w:cs="Calibri" w:eastAsiaTheme="minorEastAsia"/>
          <w:sz w:val="22"/>
          <w:szCs w:val="22"/>
        </w:rPr>
        <w:t>MinEnergía</w:t>
      </w:r>
      <w:proofErr w:type="spellEnd"/>
      <w:r w:rsidRPr="2A9888F1">
        <w:rPr>
          <w:rFonts w:ascii="Calibri" w:hAnsi="Calibri" w:cs="Calibri" w:eastAsiaTheme="minorEastAsia"/>
          <w:sz w:val="22"/>
          <w:szCs w:val="22"/>
        </w:rPr>
        <w:t xml:space="preserve"> y la ANM con el fin de ser utilizado por la institucionalidad minera y ambiental en la prevención, seguimiento y resolución de los conflictos. </w:t>
      </w:r>
    </w:p>
    <w:p w:rsidR="7B1DC8DE" w:rsidP="2A9888F1" w:rsidRDefault="6A88A45C" w14:paraId="5729C3B5" w14:textId="30C5EA3E">
      <w:pPr>
        <w:pStyle w:val="paragraph"/>
        <w:spacing w:after="0"/>
        <w:rPr>
          <w:rFonts w:ascii="Calibri" w:hAnsi="Calibri" w:cs="Calibri" w:eastAsiaTheme="minorEastAsia"/>
          <w:sz w:val="22"/>
          <w:szCs w:val="22"/>
        </w:rPr>
      </w:pPr>
      <w:r w:rsidRPr="2A9888F1">
        <w:rPr>
          <w:rFonts w:ascii="Calibri" w:hAnsi="Calibri" w:cs="Calibri" w:eastAsiaTheme="minorEastAsia"/>
          <w:sz w:val="22"/>
          <w:szCs w:val="22"/>
          <w:lang w:val="es-ES"/>
        </w:rPr>
        <w:t xml:space="preserve">Para ampliar los mecanismos de participación, es necesario </w:t>
      </w:r>
      <w:r w:rsidRPr="2A9888F1">
        <w:rPr>
          <w:rFonts w:ascii="Calibri" w:hAnsi="Calibri" w:cs="Calibri" w:eastAsiaTheme="minorEastAsia"/>
          <w:sz w:val="22"/>
          <w:szCs w:val="22"/>
        </w:rPr>
        <w:t>generar espacios y dinámicas que faciliten el acceso a los conocimientos, saberes ambientales y mineros relacionados con construcción de política pública, por lo cual es necesario realizar las siguientes acciones:</w:t>
      </w:r>
    </w:p>
    <w:p w:rsidR="6BD34674" w:rsidP="2A9888F1" w:rsidRDefault="58665BE7" w14:paraId="59A680CD" w14:textId="247D4CFF">
      <w:pPr>
        <w:pStyle w:val="paragraph"/>
        <w:numPr>
          <w:ilvl w:val="0"/>
          <w:numId w:val="41"/>
        </w:numPr>
        <w:spacing w:after="240" w:afterAutospacing="0"/>
        <w:rPr>
          <w:rFonts w:ascii="Calibri" w:hAnsi="Calibri" w:cs="Calibri" w:eastAsiaTheme="minorEastAsia"/>
          <w:sz w:val="22"/>
          <w:szCs w:val="22"/>
        </w:rPr>
      </w:pPr>
      <w:r w:rsidRPr="2A9888F1">
        <w:rPr>
          <w:rFonts w:asciiTheme="minorHAnsi" w:hAnsiTheme="minorHAnsi" w:eastAsiaTheme="minorEastAsia" w:cstheme="minorBidi"/>
          <w:sz w:val="22"/>
          <w:szCs w:val="22"/>
        </w:rPr>
        <w:t xml:space="preserve">Articular la creación e implementación de una estrategia con enfoque diferencial e inclusivo, complementaria a la Política de Género del sector, que permita identificar brechas y promover la inclusión de personas con discapacidad, adultos mayores, jóvenes, comunidad LGBTIQ+ y comunidades étnicas en el sector minero-energético. </w:t>
      </w:r>
    </w:p>
    <w:p w:rsidR="25F10E79" w:rsidP="2A9888F1" w:rsidRDefault="60A129CF" w14:paraId="5C54CAC6" w14:textId="63FD2F4C">
      <w:pPr>
        <w:pStyle w:val="paragraph"/>
        <w:numPr>
          <w:ilvl w:val="0"/>
          <w:numId w:val="41"/>
        </w:numPr>
        <w:spacing w:after="240" w:afterAutospacing="0"/>
        <w:rPr>
          <w:rFonts w:asciiTheme="minorHAnsi" w:hAnsiTheme="minorHAnsi" w:eastAsiaTheme="minorEastAsia" w:cstheme="minorBidi"/>
          <w:sz w:val="22"/>
          <w:szCs w:val="22"/>
        </w:rPr>
      </w:pPr>
      <w:r w:rsidRPr="2A9888F1">
        <w:rPr>
          <w:rFonts w:asciiTheme="minorHAnsi" w:hAnsiTheme="minorHAnsi" w:eastAsiaTheme="minorEastAsia" w:cstheme="minorBidi"/>
          <w:sz w:val="22"/>
          <w:szCs w:val="22"/>
        </w:rPr>
        <w:t xml:space="preserve">Promover la aplicación de los lineamientos de género del sector, el protocolo para la prevención, atención y medidas de protección de violencias y estrategia de transversalización de género del sector minero energético. </w:t>
      </w:r>
    </w:p>
    <w:p w:rsidR="1173989A" w:rsidP="2A9888F1" w:rsidRDefault="4739FEDC" w14:paraId="6305663E" w14:textId="6CC27263">
      <w:pPr>
        <w:pStyle w:val="paragraph"/>
        <w:numPr>
          <w:ilvl w:val="0"/>
          <w:numId w:val="41"/>
        </w:numPr>
        <w:spacing w:after="240" w:afterAutospacing="0"/>
        <w:rPr>
          <w:rFonts w:asciiTheme="minorHAnsi" w:hAnsiTheme="minorHAnsi" w:eastAsiaTheme="minorEastAsia" w:cstheme="minorBidi"/>
          <w:sz w:val="22"/>
          <w:szCs w:val="22"/>
        </w:rPr>
      </w:pPr>
      <w:r w:rsidRPr="2A9888F1">
        <w:rPr>
          <w:rFonts w:asciiTheme="minorHAnsi" w:hAnsiTheme="minorHAnsi" w:eastAsiaTheme="minorEastAsia" w:cstheme="minorBidi"/>
          <w:sz w:val="22"/>
          <w:szCs w:val="22"/>
        </w:rPr>
        <w:t xml:space="preserve">Implementar protocolos internacionales en temas de Derechos Humanos, Género, enfoque diferencial, Gestión Integral del Cambio Climático y el cumplimiento de compromisos internacionales en gestión ambiental y producción responsable en todas las etapas del ciclo minero para lograr la TEJ. </w:t>
      </w:r>
    </w:p>
    <w:p w:rsidR="00677C07" w:rsidP="2A9888F1" w:rsidRDefault="6A88A45C" w14:paraId="421E8A20" w14:textId="777DEEF8">
      <w:pPr>
        <w:pStyle w:val="paragraph"/>
        <w:numPr>
          <w:ilvl w:val="0"/>
          <w:numId w:val="41"/>
        </w:numPr>
        <w:spacing w:after="240" w:afterAutospacing="0"/>
        <w:rPr>
          <w:rFonts w:ascii="Calibri" w:hAnsi="Calibri" w:cs="Calibri" w:eastAsiaTheme="minorEastAsia"/>
          <w:sz w:val="22"/>
          <w:szCs w:val="22"/>
        </w:rPr>
      </w:pPr>
      <w:r w:rsidRPr="2A9888F1">
        <w:rPr>
          <w:rFonts w:ascii="Calibri" w:hAnsi="Calibri" w:cs="Calibri" w:eastAsiaTheme="minorEastAsia"/>
          <w:sz w:val="22"/>
          <w:szCs w:val="22"/>
        </w:rPr>
        <w:t xml:space="preserve">Crear e implementar una estrategia que promueva la participación equitativa de la mujer en todos los eslabones del sector minero (inclusión de empleos directos e indirectos, cargos de decisión, escenarios de participación comunitaria, cuidados y cadenas de valor). </w:t>
      </w:r>
      <w:r w:rsidRPr="2A9888F1" w:rsidR="3E3C743B">
        <w:rPr>
          <w:rFonts w:ascii="Calibri" w:hAnsi="Calibri" w:cs="Calibri" w:eastAsiaTheme="minorEastAsia"/>
          <w:sz w:val="22"/>
          <w:szCs w:val="22"/>
        </w:rPr>
        <w:t>A través del fortalecimiento de capacidades para la participación incidente de las en el camino de la TEJ.</w:t>
      </w:r>
    </w:p>
    <w:p w:rsidRPr="00535777" w:rsidR="7B1DC8DE" w:rsidP="00535777" w:rsidRDefault="46569B0E" w14:paraId="3A118E26" w14:textId="7977BD03">
      <w:pPr>
        <w:pStyle w:val="paragraph"/>
        <w:numPr>
          <w:ilvl w:val="0"/>
          <w:numId w:val="41"/>
        </w:numPr>
        <w:rPr>
          <w:rFonts w:ascii="Calibri" w:hAnsi="Calibri" w:cs="Calibri" w:eastAsiaTheme="minorEastAsia"/>
          <w:sz w:val="22"/>
          <w:szCs w:val="22"/>
        </w:rPr>
      </w:pPr>
      <w:r w:rsidRPr="2A9888F1">
        <w:rPr>
          <w:rFonts w:ascii="Calibri" w:hAnsi="Calibri" w:cs="Calibri" w:eastAsiaTheme="minorEastAsia"/>
          <w:sz w:val="22"/>
          <w:szCs w:val="22"/>
        </w:rPr>
        <w:t xml:space="preserve">Sistematizar </w:t>
      </w:r>
      <w:r w:rsidRPr="2A9888F1" w:rsidR="6A88A45C">
        <w:rPr>
          <w:rFonts w:ascii="Calibri" w:hAnsi="Calibri" w:cs="Calibri" w:eastAsiaTheme="minorEastAsia"/>
          <w:sz w:val="22"/>
          <w:szCs w:val="22"/>
        </w:rPr>
        <w:t>las iniciativas legislativas en curso sobre participación ciudadana relacionadas con la actividad minera para identificar elementos acordes al fortalecimiento de la política pública del sector minero.</w:t>
      </w:r>
    </w:p>
    <w:p w:rsidR="7B1DC8DE" w:rsidP="2A9888F1" w:rsidRDefault="6A88A45C" w14:paraId="469E94AE" w14:textId="019B03A5">
      <w:pPr>
        <w:pStyle w:val="paragraph"/>
        <w:rPr>
          <w:rFonts w:ascii="Calibri" w:hAnsi="Calibri" w:cs="Calibri" w:eastAsiaTheme="minorEastAsia"/>
          <w:sz w:val="22"/>
          <w:szCs w:val="22"/>
        </w:rPr>
      </w:pPr>
      <w:r w:rsidRPr="2A9888F1">
        <w:rPr>
          <w:rFonts w:ascii="Calibri" w:hAnsi="Calibri" w:cs="Calibri" w:eastAsiaTheme="minorEastAsia"/>
          <w:sz w:val="22"/>
          <w:szCs w:val="22"/>
          <w:lang w:val="es-ES"/>
        </w:rPr>
        <w:t xml:space="preserve">Para ampliar los mecanismos de participación, es necesario </w:t>
      </w:r>
      <w:r w:rsidRPr="2A9888F1">
        <w:rPr>
          <w:rFonts w:ascii="Calibri" w:hAnsi="Calibri" w:cs="Calibri" w:eastAsiaTheme="minorEastAsia"/>
          <w:sz w:val="22"/>
          <w:szCs w:val="22"/>
        </w:rPr>
        <w:t>generar espacios y dinámicas que faciliten el acceso a los conocimientos, saberes ambientales y mineros relacionados con construcción de política pública, por lo cual es necesario realizar las siguientes acciones:</w:t>
      </w:r>
    </w:p>
    <w:p w:rsidRPr="00677C07" w:rsidR="00677C07" w:rsidP="2A9888F1" w:rsidRDefault="6A88A45C" w14:paraId="302B9970" w14:textId="41E10DEC">
      <w:pPr>
        <w:pStyle w:val="paragraph"/>
        <w:numPr>
          <w:ilvl w:val="0"/>
          <w:numId w:val="42"/>
        </w:numPr>
        <w:spacing w:after="240" w:afterAutospacing="0"/>
        <w:textAlignment w:val="baseline"/>
        <w:rPr>
          <w:rFonts w:ascii="Calibri" w:hAnsi="Calibri" w:cs="Calibri" w:eastAsiaTheme="minorEastAsia"/>
          <w:sz w:val="22"/>
          <w:szCs w:val="22"/>
        </w:rPr>
      </w:pPr>
      <w:r w:rsidRPr="2A9888F1">
        <w:rPr>
          <w:rFonts w:ascii="Calibri" w:hAnsi="Calibri" w:cs="Calibri" w:eastAsiaTheme="minorEastAsia"/>
          <w:sz w:val="22"/>
          <w:szCs w:val="22"/>
        </w:rPr>
        <w:t>Elaborar mecanismos de participación, transparencia y acceso a la información del sector minero contemplando acciones transversales desde los enfoques y derechos. Esto con el fin de brindar información sobre cómo y para qué se desarrollan las actividades mineras en el territorio, en procura de decisiones informadas</w:t>
      </w:r>
      <w:r w:rsidRPr="2A9888F1" w:rsidR="65CC6B90">
        <w:rPr>
          <w:rFonts w:ascii="Calibri" w:hAnsi="Calibri" w:cs="Calibri" w:eastAsiaTheme="minorEastAsia"/>
          <w:sz w:val="22"/>
          <w:szCs w:val="22"/>
        </w:rPr>
        <w:t xml:space="preserve">, en cumplimiento del acuerdo de Escazú y la participación incidente. </w:t>
      </w:r>
    </w:p>
    <w:p w:rsidR="7B1DC8DE" w:rsidP="00535777" w:rsidRDefault="6A88A45C" w14:paraId="2DE45678" w14:textId="32E7859E">
      <w:pPr>
        <w:pStyle w:val="paragraph"/>
        <w:spacing w:after="0"/>
        <w:textAlignment w:val="baseline"/>
        <w:rPr>
          <w:rFonts w:ascii="Calibri" w:hAnsi="Calibri" w:cs="Calibri" w:eastAsiaTheme="minorEastAsia"/>
          <w:sz w:val="22"/>
          <w:szCs w:val="22"/>
          <w:lang w:val="es-ES"/>
        </w:rPr>
      </w:pPr>
      <w:r w:rsidRPr="2A9888F1">
        <w:rPr>
          <w:rFonts w:ascii="Calibri" w:hAnsi="Calibri" w:cs="Calibri" w:eastAsiaTheme="minorEastAsia"/>
          <w:sz w:val="22"/>
          <w:szCs w:val="22"/>
          <w:lang w:val="es-ES"/>
        </w:rPr>
        <w:t xml:space="preserve">Lo anterior, encaminado a comunidades altamente empoderadas a partir de su formación en democracia participativa; instituciones públicas fortalecidas por la apropiación del enfoque de derechos, sistémico y diferencial en la promoción y protección del derecho fundamental a la participación; titulares y empresas del sector potenciadas por un relacionamiento con las comunidades basado en legitimidad, la credibilidad y la confianza. </w:t>
      </w:r>
    </w:p>
    <w:p w:rsidR="7B1DC8DE" w:rsidP="00535777" w:rsidRDefault="7AAB49DA" w14:paraId="499066D2" w14:textId="76FDCC79">
      <w:pPr>
        <w:pStyle w:val="paragraph"/>
        <w:spacing w:after="0"/>
        <w:textAlignment w:val="baseline"/>
        <w:rPr>
          <w:rFonts w:ascii="Calibri" w:hAnsi="Calibri" w:cs="Calibri" w:eastAsiaTheme="minorEastAsia"/>
          <w:sz w:val="22"/>
          <w:szCs w:val="22"/>
          <w:lang w:val="es-ES"/>
        </w:rPr>
      </w:pPr>
      <w:r w:rsidRPr="3845A57C">
        <w:rPr>
          <w:rFonts w:ascii="Calibri" w:hAnsi="Calibri" w:cs="Calibri" w:eastAsiaTheme="minorEastAsia"/>
          <w:sz w:val="22"/>
          <w:szCs w:val="22"/>
          <w:lang w:val="es-ES"/>
        </w:rPr>
        <w:t xml:space="preserve">De otro lado, es necesario propender por espacios de diálogo entre los interesados y titulares de derechos de exploración y explotación con las comunidades étnicas. Lo anterior, para que puedan interactuar mediante las instituciones jurídicas y procesales establecidas, integrando en los lineamientos sobre participación: la Constitución Política de 1991, el Convenio 169 de la OIT , la Declaración de Naciones Unidas sobre Derechos de los Pueblos Indígenas de 2006, la Declaración Americana sobre Derechos de los Pueblos Indígenas de 2016, la </w:t>
      </w:r>
      <w:r w:rsidRPr="3845A57C">
        <w:rPr>
          <w:rFonts w:ascii="Calibri" w:hAnsi="Calibri" w:cs="Calibri" w:eastAsiaTheme="minorEastAsia"/>
          <w:i/>
          <w:iCs/>
          <w:sz w:val="22"/>
          <w:szCs w:val="22"/>
          <w:lang w:val="es-ES"/>
        </w:rPr>
        <w:t>Declaración de las Naciones Unidas sobre derechos de los campesinos y de otras personas que trabajan en las zonas rurales</w:t>
      </w:r>
      <w:r w:rsidRPr="3845A57C">
        <w:rPr>
          <w:rFonts w:ascii="Calibri" w:hAnsi="Calibri" w:cs="Calibri" w:eastAsiaTheme="minorEastAsia"/>
          <w:sz w:val="22"/>
          <w:szCs w:val="22"/>
          <w:lang w:val="es-ES"/>
        </w:rPr>
        <w:t xml:space="preserve"> (2018), el Acuerdo de Escazú, así como las Directrices de la OCDE sobre Empresas y Derechos Humanos. </w:t>
      </w:r>
    </w:p>
    <w:p w:rsidR="7B1DC8DE" w:rsidP="00535777" w:rsidRDefault="6A88A45C" w14:paraId="5D93BE7B" w14:textId="019A2DA4">
      <w:pPr>
        <w:pStyle w:val="paragraph"/>
        <w:spacing w:after="0"/>
        <w:textAlignment w:val="baseline"/>
        <w:rPr>
          <w:rFonts w:ascii="Calibri" w:hAnsi="Calibri" w:cs="Calibri" w:eastAsiaTheme="minorEastAsia"/>
          <w:sz w:val="22"/>
          <w:szCs w:val="22"/>
          <w:lang w:val="es-ES"/>
        </w:rPr>
      </w:pPr>
      <w:r w:rsidRPr="2A9888F1">
        <w:rPr>
          <w:rFonts w:ascii="Calibri" w:hAnsi="Calibri" w:cs="Calibri" w:eastAsiaTheme="minorEastAsia"/>
          <w:sz w:val="22"/>
          <w:szCs w:val="22"/>
          <w:lang w:val="es-ES"/>
        </w:rPr>
        <w:t xml:space="preserve">Es relevante dar valor a las experiencias étnico-territoriales, comunitarias, populares y otras iniciativas en materia participativa que den vida a prácticas de relacionamiento y de participación de las autoridades de pueblos indígenas y afrocolombianas. Actualmente se han abierto mayores canales de diálogo con las comunidades y se han intensificado las estrategias de coordinación con la Dirección de Asuntos para las Comunidades Negras, Raizales y Palenqueras –DANCP- del Ministerio del Interior, especialmente en el caso de La Guajira, uno de los territorios para la transición energética justa y en donde existe consciencia de los profundos conflictos socio ambientales asociados a la minería. </w:t>
      </w:r>
    </w:p>
    <w:p w:rsidR="7B1DC8DE" w:rsidP="00535777" w:rsidRDefault="6A88A45C" w14:paraId="28E4606B" w14:textId="12D5A933">
      <w:pPr>
        <w:pStyle w:val="paragraph"/>
        <w:spacing w:after="0"/>
        <w:textAlignment w:val="baseline"/>
        <w:rPr>
          <w:rFonts w:ascii="Calibri" w:hAnsi="Calibri" w:cs="Calibri" w:eastAsiaTheme="minorEastAsia"/>
          <w:sz w:val="22"/>
          <w:szCs w:val="22"/>
          <w:lang w:val="es-ES"/>
        </w:rPr>
      </w:pPr>
      <w:r w:rsidRPr="2A9888F1">
        <w:rPr>
          <w:rFonts w:ascii="Calibri" w:hAnsi="Calibri" w:cs="Calibri" w:eastAsiaTheme="minorEastAsia"/>
          <w:sz w:val="22"/>
          <w:szCs w:val="22"/>
          <w:lang w:val="es-ES"/>
        </w:rPr>
        <w:t>Todo esto, sin desconocer las prerrogativas constitucionales y legales en cabeza del Estado colombiano en relación con los bienes naturales del subsuelo y la facultad para concertar políticas de desarrollo que impliquen el uso sustentable de los recursos no renovables; así como el importante papel de los titulares mineros, las empresas y las personas naturales que a través de la explotación de minerales, pueden contribuir en las transformaciones sociales y económicas que requiere el cumplimiento de los objetivos contenidos en el Plan “Colombia, potencia mundial de la vida”.</w:t>
      </w:r>
    </w:p>
    <w:p w:rsidR="7B1DC8DE" w:rsidP="00535777" w:rsidRDefault="6A88A45C" w14:paraId="376B345A" w14:textId="29C8BAFC">
      <w:pPr>
        <w:pStyle w:val="paragraph"/>
        <w:spacing w:after="0"/>
        <w:textAlignment w:val="baseline"/>
        <w:rPr>
          <w:rFonts w:ascii="Calibri" w:hAnsi="Calibri" w:cs="Calibri" w:eastAsiaTheme="minorEastAsia"/>
          <w:sz w:val="22"/>
          <w:szCs w:val="22"/>
          <w:lang w:val="es-ES"/>
        </w:rPr>
      </w:pPr>
      <w:r w:rsidRPr="2A9888F1">
        <w:rPr>
          <w:rFonts w:ascii="Calibri" w:hAnsi="Calibri" w:cs="Calibri" w:eastAsiaTheme="minorEastAsia"/>
          <w:sz w:val="22"/>
          <w:szCs w:val="22"/>
          <w:lang w:val="es-ES"/>
        </w:rPr>
        <w:t>Respecto a los escenarios de coordinación interinstitucional para garantizar el derecho fundamental de la consulta previa a las comunidades étnicas en el proceso de otorgamiento de títulos mineros, se propone:</w:t>
      </w:r>
    </w:p>
    <w:p w:rsidR="00535777" w:rsidP="00535777" w:rsidRDefault="6A88A45C" w14:paraId="4597FCE4" w14:textId="77777777">
      <w:pPr>
        <w:pStyle w:val="paragraph"/>
        <w:numPr>
          <w:ilvl w:val="0"/>
          <w:numId w:val="42"/>
        </w:numPr>
        <w:spacing w:before="0" w:beforeAutospacing="0" w:after="0"/>
        <w:textAlignment w:val="baseline"/>
        <w:rPr>
          <w:rFonts w:ascii="Calibri" w:hAnsi="Calibri" w:cs="Calibri" w:eastAsiaTheme="minorEastAsia"/>
          <w:sz w:val="22"/>
          <w:szCs w:val="22"/>
        </w:rPr>
      </w:pPr>
      <w:r w:rsidRPr="2A9888F1">
        <w:rPr>
          <w:rFonts w:ascii="Calibri" w:hAnsi="Calibri" w:cs="Calibri" w:eastAsiaTheme="minorEastAsia"/>
          <w:sz w:val="22"/>
          <w:szCs w:val="22"/>
        </w:rPr>
        <w:t>Crear la plataforma nacional de participación ciudadana para el control, seguimiento y acceso de los proyectos mineros a través de un módulo integrado al sistema de ANNA Minería.</w:t>
      </w:r>
    </w:p>
    <w:p w:rsidRPr="00535777" w:rsidR="00677C07" w:rsidP="00535777" w:rsidRDefault="6A88A45C" w14:paraId="0643DECD" w14:textId="18EFE103">
      <w:pPr>
        <w:pStyle w:val="paragraph"/>
        <w:numPr>
          <w:ilvl w:val="0"/>
          <w:numId w:val="42"/>
        </w:numPr>
        <w:spacing w:before="240" w:beforeAutospacing="0" w:after="0"/>
        <w:textAlignment w:val="baseline"/>
        <w:rPr>
          <w:rFonts w:ascii="Calibri" w:hAnsi="Calibri" w:cs="Calibri" w:eastAsiaTheme="minorEastAsia"/>
          <w:sz w:val="22"/>
          <w:szCs w:val="22"/>
        </w:rPr>
      </w:pPr>
      <w:r w:rsidRPr="00535777">
        <w:rPr>
          <w:rFonts w:ascii="Calibri" w:hAnsi="Calibri" w:cs="Calibri" w:eastAsiaTheme="minorEastAsia"/>
          <w:sz w:val="22"/>
          <w:szCs w:val="22"/>
        </w:rPr>
        <w:t>Implementar espacios de diálogo y de apropiación de los instrumentos técnico minero-ambientales integrando los enfoques de derechos humanos, género y diferencial-étnico con la participación de los actores de interés en el territorio</w:t>
      </w:r>
    </w:p>
    <w:p w:rsidRPr="00677C07" w:rsidR="00677C07" w:rsidP="2A9888F1" w:rsidRDefault="16576776" w14:paraId="38FFEE56" w14:textId="35191132">
      <w:pPr>
        <w:pStyle w:val="paragraph"/>
        <w:numPr>
          <w:ilvl w:val="0"/>
          <w:numId w:val="43"/>
        </w:numPr>
        <w:spacing w:after="240" w:afterAutospacing="0"/>
        <w:textAlignment w:val="baseline"/>
        <w:rPr>
          <w:rFonts w:ascii="Calibri" w:hAnsi="Calibri" w:cs="Calibri" w:eastAsiaTheme="minorEastAsia"/>
          <w:sz w:val="22"/>
          <w:szCs w:val="22"/>
        </w:rPr>
      </w:pPr>
      <w:r w:rsidRPr="2A9888F1">
        <w:rPr>
          <w:rFonts w:ascii="Calibri" w:hAnsi="Calibri" w:cs="Calibri" w:eastAsiaTheme="minorEastAsia"/>
          <w:sz w:val="22"/>
          <w:szCs w:val="22"/>
        </w:rPr>
        <w:t>Hacer</w:t>
      </w:r>
      <w:r w:rsidRPr="2A9888F1" w:rsidR="6A88A45C">
        <w:rPr>
          <w:rFonts w:ascii="Calibri" w:hAnsi="Calibri" w:cs="Calibri" w:eastAsiaTheme="minorEastAsia"/>
          <w:sz w:val="22"/>
          <w:szCs w:val="22"/>
        </w:rPr>
        <w:t xml:space="preserve"> seguimiento </w:t>
      </w:r>
      <w:r w:rsidRPr="2A9888F1" w:rsidR="66F2143B">
        <w:rPr>
          <w:rFonts w:ascii="Calibri" w:hAnsi="Calibri" w:cs="Calibri" w:eastAsiaTheme="minorEastAsia"/>
          <w:sz w:val="22"/>
          <w:szCs w:val="22"/>
        </w:rPr>
        <w:t xml:space="preserve">a </w:t>
      </w:r>
      <w:r w:rsidRPr="2A9888F1" w:rsidR="6A88A45C">
        <w:rPr>
          <w:rFonts w:ascii="Calibri" w:hAnsi="Calibri" w:cs="Calibri" w:eastAsiaTheme="minorEastAsia"/>
          <w:sz w:val="22"/>
          <w:szCs w:val="22"/>
        </w:rPr>
        <w:t>la</w:t>
      </w:r>
      <w:r w:rsidRPr="2A9888F1" w:rsidR="3D219DB6">
        <w:rPr>
          <w:rFonts w:ascii="Calibri" w:hAnsi="Calibri" w:cs="Calibri" w:eastAsiaTheme="minorEastAsia"/>
          <w:sz w:val="22"/>
          <w:szCs w:val="22"/>
        </w:rPr>
        <w:t xml:space="preserve"> actualización y cumplimiento</w:t>
      </w:r>
      <w:r w:rsidRPr="2A9888F1" w:rsidR="6A88A45C">
        <w:rPr>
          <w:rFonts w:ascii="Calibri" w:hAnsi="Calibri" w:cs="Calibri" w:eastAsiaTheme="minorEastAsia"/>
          <w:sz w:val="22"/>
          <w:szCs w:val="22"/>
        </w:rPr>
        <w:t xml:space="preserve"> política de Derechos Humanos del sector minero-energético. </w:t>
      </w:r>
    </w:p>
    <w:p w:rsidRPr="00677C07" w:rsidR="00677C07" w:rsidP="2A9888F1" w:rsidRDefault="6A88A45C" w14:paraId="12E8F5E3" w14:textId="70D5B674">
      <w:pPr>
        <w:pStyle w:val="paragraph"/>
        <w:numPr>
          <w:ilvl w:val="0"/>
          <w:numId w:val="43"/>
        </w:numPr>
        <w:spacing w:after="240" w:afterAutospacing="0"/>
        <w:textAlignment w:val="baseline"/>
        <w:rPr>
          <w:rFonts w:ascii="Calibri" w:hAnsi="Calibri" w:cs="Calibri" w:eastAsiaTheme="minorEastAsia"/>
          <w:sz w:val="22"/>
          <w:szCs w:val="22"/>
        </w:rPr>
      </w:pPr>
      <w:r w:rsidRPr="2A9888F1">
        <w:rPr>
          <w:rFonts w:ascii="Calibri" w:hAnsi="Calibri" w:cs="Calibri" w:eastAsiaTheme="minorEastAsia"/>
          <w:sz w:val="22"/>
          <w:szCs w:val="22"/>
        </w:rPr>
        <w:t>Construir un proyecto de ley estatuario para garantizar el derecho a la consulta previa articulando la reglamentación y jurisprudencia sobre su aplicación dentro de los proyectos mineros. A través de la construcción de propuestas para el Ministerio del Interior sobre posibles estrategias para garantizar el derecho a la consulta previa indagando por la reglamentación que precise sus mecanismos de aplicación y vincule los avances jurisprudenciales. Además, que pueda contemplar la consulta de forma previa al otorgamiento del título minero.</w:t>
      </w:r>
    </w:p>
    <w:p w:rsidRPr="00677C07" w:rsidR="00677C07" w:rsidP="2A9888F1" w:rsidRDefault="6A88A45C" w14:paraId="0E2DAEC1" w14:textId="77777777">
      <w:pPr>
        <w:pStyle w:val="paragraph"/>
        <w:numPr>
          <w:ilvl w:val="0"/>
          <w:numId w:val="43"/>
        </w:numPr>
        <w:spacing w:after="0"/>
        <w:textAlignment w:val="baseline"/>
        <w:rPr>
          <w:rFonts w:ascii="Calibri" w:hAnsi="Calibri" w:cs="Calibri" w:eastAsiaTheme="minorEastAsia"/>
          <w:sz w:val="22"/>
          <w:szCs w:val="22"/>
        </w:rPr>
      </w:pPr>
      <w:r w:rsidRPr="2A9888F1">
        <w:rPr>
          <w:rFonts w:ascii="Calibri" w:hAnsi="Calibri" w:cs="Calibri" w:eastAsiaTheme="minorEastAsia"/>
          <w:sz w:val="22"/>
          <w:szCs w:val="22"/>
        </w:rPr>
        <w:t>Actualizar y diseñar la estrategia de relacionamiento del sector minero energético con énfasis en comunidades étnicas.</w:t>
      </w:r>
    </w:p>
    <w:p w:rsidRPr="005A789B" w:rsidR="00A817CB" w:rsidP="5D8A3910" w:rsidRDefault="00A817CB" w14:paraId="0B7DFEA8" w14:textId="282A69BE">
      <w:pPr>
        <w:pStyle w:val="paragraph"/>
        <w:spacing w:before="0" w:beforeAutospacing="0" w:after="0" w:afterAutospacing="0"/>
        <w:ind w:left="567"/>
        <w:textAlignment w:val="baseline"/>
        <w:rPr>
          <w:rFonts w:asciiTheme="minorHAnsi" w:hAnsiTheme="minorHAnsi" w:eastAsiaTheme="minorEastAsia" w:cstheme="minorBidi"/>
          <w:sz w:val="22"/>
          <w:szCs w:val="22"/>
          <w:highlight w:val="yellow"/>
          <w:lang w:eastAsia="en-US"/>
        </w:rPr>
      </w:pPr>
    </w:p>
    <w:p w:rsidR="00C443D6" w:rsidRDefault="5EFA0007" w14:paraId="721EB8C8" w14:textId="08A4FF84">
      <w:pPr>
        <w:pStyle w:val="Heading2"/>
        <w:numPr>
          <w:ilvl w:val="1"/>
          <w:numId w:val="8"/>
        </w:numPr>
        <w:ind w:left="284" w:hanging="284"/>
        <w:rPr>
          <w:lang w:val="es-ES"/>
        </w:rPr>
      </w:pPr>
      <w:bookmarkStart w:name="_Toc135903138" w:id="965"/>
      <w:bookmarkStart w:name="_Toc199511983" w:id="966"/>
      <w:bookmarkStart w:name="_Toc1391070110" w:id="967"/>
      <w:bookmarkStart w:name="_Toc1532119876" w:id="968"/>
      <w:bookmarkStart w:name="_Toc1894116970" w:id="969"/>
      <w:bookmarkStart w:name="_Toc975513359" w:id="970"/>
      <w:bookmarkStart w:name="_Toc1474164617" w:id="971"/>
      <w:bookmarkStart w:name="_Toc377439035" w:id="972"/>
      <w:bookmarkStart w:name="_Toc91622020" w:id="973"/>
      <w:bookmarkStart w:name="_Toc102026159" w:id="974"/>
      <w:bookmarkStart w:name="_Toc361627094" w:id="975"/>
      <w:bookmarkStart w:name="_Toc2131936530" w:id="976"/>
      <w:bookmarkStart w:name="_Toc74425236" w:id="977"/>
      <w:bookmarkStart w:name="_Toc1032571481" w:id="978"/>
      <w:bookmarkStart w:name="_Toc1902564057" w:id="979"/>
      <w:bookmarkStart w:name="_Toc414398097" w:id="980"/>
      <w:bookmarkStart w:name="_Toc661437045" w:id="981"/>
      <w:bookmarkStart w:name="_Toc66087381" w:id="982"/>
      <w:bookmarkStart w:name="_Toc2025991119" w:id="983"/>
      <w:bookmarkStart w:name="_Toc1052981488" w:id="984"/>
      <w:bookmarkStart w:name="_Toc286173325" w:id="985"/>
      <w:bookmarkStart w:name="_Toc699820553" w:id="986"/>
      <w:bookmarkStart w:name="_Toc1009278783" w:id="987"/>
      <w:bookmarkStart w:name="_Toc1270604748" w:id="988"/>
      <w:bookmarkStart w:name="_Toc1046980289" w:id="989"/>
      <w:bookmarkStart w:name="_Toc1505491233" w:id="990"/>
      <w:bookmarkStart w:name="_Toc1065038846" w:id="991"/>
      <w:bookmarkStart w:name="_Toc588748685" w:id="992"/>
      <w:bookmarkStart w:name="_Toc210292991" w:id="993"/>
      <w:r w:rsidRPr="287A971D">
        <w:rPr>
          <w:lang w:val="es-ES"/>
        </w:rPr>
        <w:t>Minería en el territorio y para el territorio con estrategias para el fomento, la formalización, la reconversión y la diversificación productiva.</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rsidR="00C443D6" w:rsidP="00C443D6" w:rsidRDefault="00C443D6" w14:paraId="1FA3C95E" w14:textId="77777777">
      <w:pPr>
        <w:rPr>
          <w:lang w:val="es-ES"/>
        </w:rPr>
      </w:pPr>
    </w:p>
    <w:p w:rsidR="00E7444A" w:rsidP="00BB0431" w:rsidRDefault="0C00E604" w14:paraId="5AA643A1" w14:textId="77777777">
      <w:pPr>
        <w:jc w:val="both"/>
        <w:textAlignment w:val="baseline"/>
        <w:rPr>
          <w:rFonts w:eastAsia="Times New Roman" w:cs="Arial"/>
          <w:lang w:val="es-ES" w:eastAsia="es-CO"/>
        </w:rPr>
      </w:pPr>
      <w:r w:rsidRPr="7A64FEF6">
        <w:rPr>
          <w:rFonts w:eastAsia="Times New Roman" w:cs="Arial"/>
          <w:lang w:val="es-ES" w:eastAsia="es-CO"/>
        </w:rPr>
        <w:t xml:space="preserve">Es una prioridad </w:t>
      </w:r>
      <w:r w:rsidR="00512F11">
        <w:rPr>
          <w:rFonts w:eastAsia="Times New Roman" w:cs="Arial"/>
          <w:lang w:val="es-ES" w:eastAsia="es-CO"/>
        </w:rPr>
        <w:t xml:space="preserve">que el sector </w:t>
      </w:r>
      <w:r w:rsidRPr="7A64FEF6">
        <w:rPr>
          <w:rFonts w:eastAsia="Times New Roman" w:cs="Arial"/>
          <w:lang w:val="es-ES" w:eastAsia="es-CO"/>
        </w:rPr>
        <w:t>contin</w:t>
      </w:r>
      <w:r w:rsidR="00512F11">
        <w:rPr>
          <w:rFonts w:eastAsia="Times New Roman" w:cs="Arial"/>
          <w:lang w:val="es-ES" w:eastAsia="es-CO"/>
        </w:rPr>
        <w:t>úe</w:t>
      </w:r>
      <w:r w:rsidRPr="7A64FEF6">
        <w:rPr>
          <w:rFonts w:eastAsia="Times New Roman" w:cs="Arial"/>
          <w:lang w:val="es-ES" w:eastAsia="es-CO"/>
        </w:rPr>
        <w:t xml:space="preserve"> impulsando estrategias para la formalización, el desarrollo y fomento de buenas prácticas en la pequeña minería</w:t>
      </w:r>
      <w:r w:rsidR="00E61F3A">
        <w:rPr>
          <w:rFonts w:eastAsia="Times New Roman" w:cs="Arial"/>
          <w:lang w:val="es-ES" w:eastAsia="es-CO"/>
        </w:rPr>
        <w:t xml:space="preserve"> y la</w:t>
      </w:r>
      <w:r w:rsidRPr="7A64FEF6">
        <w:rPr>
          <w:rFonts w:eastAsia="Times New Roman" w:cs="Arial"/>
          <w:lang w:val="es-ES" w:eastAsia="es-CO"/>
        </w:rPr>
        <w:t xml:space="preserve"> minería artesanal, así como diseñar y acompañar estrategias para la reconversión y diversificación productiva que aporten al empoderamiento económico, </w:t>
      </w:r>
      <w:r w:rsidRPr="00AC7EEC">
        <w:rPr>
          <w:rFonts w:eastAsia="Times New Roman" w:cs="Arial"/>
          <w:lang w:val="es-ES" w:eastAsia="es-CO"/>
        </w:rPr>
        <w:t>al acceso a nuevas oportunidades laborales, a adquirir nuevas habilidades y conocimientos, generar ingresos más estables y, al bienestar y desarrollo de la población minera</w:t>
      </w:r>
      <w:r w:rsidRPr="7A64FEF6">
        <w:rPr>
          <w:rFonts w:eastAsia="Times New Roman" w:cs="Arial"/>
          <w:lang w:val="es-ES" w:eastAsia="es-CO"/>
        </w:rPr>
        <w:t xml:space="preserve">. </w:t>
      </w:r>
    </w:p>
    <w:p w:rsidRPr="00C5780E" w:rsidR="00BB0431" w:rsidP="00BB0431" w:rsidRDefault="0C00E604" w14:paraId="74845F5F" w14:textId="20438DDE">
      <w:pPr>
        <w:jc w:val="both"/>
        <w:textAlignment w:val="baseline"/>
        <w:rPr>
          <w:rFonts w:ascii="Segoe UI" w:hAnsi="Segoe UI" w:eastAsia="Times New Roman" w:cs="Segoe UI"/>
          <w:sz w:val="18"/>
          <w:szCs w:val="18"/>
          <w:lang w:eastAsia="es-CO"/>
        </w:rPr>
      </w:pPr>
      <w:r>
        <w:rPr>
          <w:rFonts w:eastAsia="Times New Roman" w:cs="Arial"/>
          <w:lang w:eastAsia="es-CO"/>
        </w:rPr>
        <w:t>S</w:t>
      </w:r>
      <w:r w:rsidRPr="00C5780E">
        <w:rPr>
          <w:rFonts w:eastAsia="Times New Roman" w:cs="Arial"/>
          <w:lang w:eastAsia="es-CO"/>
        </w:rPr>
        <w:t xml:space="preserve">e busca propiciar el desarrollo integral de las regiones a partir de la explotación de los recursos naturales con el fortalecimiento de las actividades económicas existentes, la generación de nuevas unidades de negocio </w:t>
      </w:r>
      <w:r>
        <w:rPr>
          <w:rFonts w:eastAsia="Times New Roman" w:cs="Arial"/>
          <w:lang w:eastAsia="es-CO"/>
        </w:rPr>
        <w:t xml:space="preserve">mediante modelos </w:t>
      </w:r>
      <w:r w:rsidRPr="00C5780E" w:rsidR="0078194B">
        <w:rPr>
          <w:rFonts w:eastAsia="Times New Roman" w:cs="Arial"/>
          <w:lang w:eastAsia="es-CO"/>
        </w:rPr>
        <w:t>asociativ</w:t>
      </w:r>
      <w:r w:rsidR="0078194B">
        <w:rPr>
          <w:rFonts w:eastAsia="Times New Roman" w:cs="Arial"/>
          <w:lang w:eastAsia="es-CO"/>
        </w:rPr>
        <w:t>o</w:t>
      </w:r>
      <w:r w:rsidRPr="00C5780E" w:rsidR="0078194B">
        <w:rPr>
          <w:rFonts w:eastAsia="Times New Roman" w:cs="Arial"/>
          <w:lang w:eastAsia="es-CO"/>
        </w:rPr>
        <w:t>s</w:t>
      </w:r>
      <w:r w:rsidR="0078194B">
        <w:rPr>
          <w:rFonts w:eastAsia="Times New Roman" w:cs="Arial"/>
          <w:lang w:eastAsia="es-CO"/>
        </w:rPr>
        <w:t>, más industrializados</w:t>
      </w:r>
      <w:r w:rsidRPr="00C5780E">
        <w:rPr>
          <w:rFonts w:eastAsia="Times New Roman" w:cs="Arial"/>
          <w:lang w:eastAsia="es-CO"/>
        </w:rPr>
        <w:t xml:space="preserve"> y </w:t>
      </w:r>
      <w:r w:rsidRPr="00C5780E" w:rsidR="00F34298">
        <w:rPr>
          <w:rFonts w:eastAsia="Times New Roman" w:cs="Arial"/>
          <w:lang w:eastAsia="es-CO"/>
        </w:rPr>
        <w:t>s</w:t>
      </w:r>
      <w:r w:rsidR="00F34298">
        <w:rPr>
          <w:rFonts w:eastAsia="Times New Roman" w:cs="Arial"/>
          <w:lang w:eastAsia="es-CO"/>
        </w:rPr>
        <w:t>ustentable</w:t>
      </w:r>
      <w:r w:rsidRPr="00C5780E" w:rsidR="00F34298">
        <w:rPr>
          <w:rFonts w:eastAsia="Times New Roman" w:cs="Arial"/>
          <w:lang w:eastAsia="es-CO"/>
        </w:rPr>
        <w:t>s</w:t>
      </w:r>
      <w:r w:rsidRPr="00C5780E">
        <w:rPr>
          <w:rFonts w:eastAsia="Times New Roman" w:cs="Arial"/>
          <w:lang w:eastAsia="es-CO"/>
        </w:rPr>
        <w:t xml:space="preserve">. </w:t>
      </w:r>
      <w:r w:rsidRPr="532F18D5" w:rsidR="6815D716">
        <w:rPr>
          <w:rFonts w:eastAsia="Times New Roman" w:cs="Arial"/>
          <w:lang w:eastAsia="es-CO"/>
        </w:rPr>
        <w:t>De este modo, se espera a</w:t>
      </w:r>
      <w:r w:rsidRPr="00C5780E">
        <w:rPr>
          <w:rFonts w:eastAsia="Times New Roman" w:cs="Arial"/>
          <w:lang w:eastAsia="es-CO"/>
        </w:rPr>
        <w:t>provechar las potencialidades del territorio, no solo mineras</w:t>
      </w:r>
      <w:r>
        <w:rPr>
          <w:rFonts w:eastAsia="Times New Roman" w:cs="Arial"/>
          <w:lang w:eastAsia="es-CO"/>
        </w:rPr>
        <w:t xml:space="preserve">, </w:t>
      </w:r>
      <w:r w:rsidRPr="532F18D5" w:rsidR="6815D716">
        <w:rPr>
          <w:rFonts w:eastAsia="Times New Roman" w:cs="Arial"/>
          <w:lang w:eastAsia="es-CO"/>
        </w:rPr>
        <w:t xml:space="preserve">sino </w:t>
      </w:r>
      <w:r>
        <w:rPr>
          <w:rFonts w:eastAsia="Times New Roman" w:cs="Arial"/>
          <w:lang w:eastAsia="es-CO"/>
        </w:rPr>
        <w:t>q</w:t>
      </w:r>
      <w:r w:rsidRPr="00C5780E">
        <w:rPr>
          <w:rFonts w:eastAsia="Times New Roman" w:cs="Arial"/>
          <w:lang w:eastAsia="es-CO"/>
        </w:rPr>
        <w:t xml:space="preserve">ue las comunidades se apropien y beneficien de sus recursos </w:t>
      </w:r>
      <w:r w:rsidRPr="532F18D5" w:rsidR="5EEDF02C">
        <w:rPr>
          <w:rFonts w:eastAsia="Times New Roman" w:cs="Arial"/>
          <w:lang w:eastAsia="es-CO"/>
        </w:rPr>
        <w:t xml:space="preserve">tanto </w:t>
      </w:r>
      <w:r w:rsidRPr="00C5780E">
        <w:rPr>
          <w:rFonts w:eastAsia="Times New Roman" w:cs="Arial"/>
          <w:lang w:eastAsia="es-CO"/>
        </w:rPr>
        <w:t xml:space="preserve">con los conocimientos </w:t>
      </w:r>
      <w:r w:rsidRPr="532F18D5" w:rsidR="6C7D2E54">
        <w:rPr>
          <w:rFonts w:eastAsia="Times New Roman" w:cs="Arial"/>
          <w:lang w:eastAsia="es-CO"/>
        </w:rPr>
        <w:t xml:space="preserve">adquiridos </w:t>
      </w:r>
      <w:r w:rsidRPr="532F18D5" w:rsidR="49DEBADE">
        <w:rPr>
          <w:rFonts w:eastAsia="Times New Roman" w:cs="Arial"/>
          <w:lang w:eastAsia="es-CO"/>
        </w:rPr>
        <w:t>en las labores realizadas</w:t>
      </w:r>
      <w:r w:rsidRPr="532F18D5" w:rsidR="5EEDF02C">
        <w:rPr>
          <w:rFonts w:eastAsia="Times New Roman" w:cs="Arial"/>
          <w:lang w:eastAsia="es-CO"/>
        </w:rPr>
        <w:t xml:space="preserve"> tradicionalmente, como con los nuevos aprendizajes </w:t>
      </w:r>
      <w:r w:rsidRPr="00C5780E">
        <w:rPr>
          <w:rFonts w:eastAsia="Times New Roman" w:cs="Arial"/>
          <w:lang w:eastAsia="es-CO"/>
        </w:rPr>
        <w:t xml:space="preserve">y tecnologías para la producción limpia y eficiente, desarrollando empresas </w:t>
      </w:r>
      <w:r w:rsidR="005E02BD">
        <w:rPr>
          <w:rFonts w:eastAsia="Times New Roman" w:cs="Arial"/>
          <w:lang w:eastAsia="es-CO"/>
        </w:rPr>
        <w:t xml:space="preserve">sustentables. </w:t>
      </w:r>
      <w:r w:rsidRPr="00C5780E">
        <w:rPr>
          <w:rFonts w:eastAsia="Times New Roman" w:cs="Arial"/>
          <w:lang w:val="es-ES" w:eastAsia="es-CO"/>
        </w:rPr>
        <w:t> </w:t>
      </w:r>
      <w:r w:rsidRPr="532F18D5" w:rsidR="6D52C930">
        <w:rPr>
          <w:rFonts w:eastAsia="Times New Roman" w:cs="Arial"/>
          <w:lang w:val="es-ES" w:eastAsia="es-CO"/>
        </w:rPr>
        <w:t>Así, d</w:t>
      </w:r>
      <w:r w:rsidRPr="00C5780E">
        <w:rPr>
          <w:rFonts w:eastAsia="Times New Roman" w:cs="Arial"/>
          <w:lang w:val="es-ES" w:eastAsia="es-CO"/>
        </w:rPr>
        <w:t>entro los objetivos para fortalecer las estrategias para la formalización,</w:t>
      </w:r>
      <w:r w:rsidRPr="532F18D5" w:rsidR="6D52C930">
        <w:rPr>
          <w:rFonts w:eastAsia="Times New Roman" w:cs="Arial"/>
          <w:lang w:val="es-ES" w:eastAsia="es-CO"/>
        </w:rPr>
        <w:t xml:space="preserve"> está</w:t>
      </w:r>
      <w:r w:rsidRPr="00C5780E">
        <w:rPr>
          <w:rFonts w:eastAsia="Times New Roman" w:cs="Arial"/>
          <w:lang w:val="es-ES" w:eastAsia="es-CO"/>
        </w:rPr>
        <w:t xml:space="preserve"> el desarrollo y fomento de buenas prácticas en la pequeña minería</w:t>
      </w:r>
      <w:r w:rsidR="005B31CA">
        <w:rPr>
          <w:rFonts w:eastAsia="Times New Roman" w:cs="Arial"/>
          <w:lang w:val="es-ES" w:eastAsia="es-CO"/>
        </w:rPr>
        <w:t xml:space="preserve"> y la</w:t>
      </w:r>
      <w:r w:rsidRPr="00C5780E">
        <w:rPr>
          <w:rFonts w:eastAsia="Times New Roman" w:cs="Arial"/>
          <w:lang w:val="es-ES" w:eastAsia="es-CO"/>
        </w:rPr>
        <w:t xml:space="preserve"> minería artesanal</w:t>
      </w:r>
      <w:r>
        <w:rPr>
          <w:rFonts w:eastAsia="Times New Roman" w:cs="Arial"/>
          <w:lang w:val="es-ES" w:eastAsia="es-CO"/>
        </w:rPr>
        <w:t>.</w:t>
      </w:r>
    </w:p>
    <w:p w:rsidR="00704D9F" w:rsidP="00C53CBE" w:rsidRDefault="004E7402" w14:paraId="688CD10D" w14:textId="77777777">
      <w:pPr>
        <w:jc w:val="both"/>
        <w:rPr>
          <w:rFonts w:eastAsia="Times New Roman" w:cs="Arial"/>
          <w:lang w:val="es-ES" w:eastAsia="es-CO"/>
        </w:rPr>
      </w:pPr>
      <w:r w:rsidRPr="31226965">
        <w:rPr>
          <w:rFonts w:eastAsia="Times New Roman" w:cs="Arial"/>
          <w:lang w:eastAsia="es-CO"/>
        </w:rPr>
        <w:t xml:space="preserve">Para proteger la </w:t>
      </w:r>
      <w:r w:rsidRPr="31226965">
        <w:rPr>
          <w:rFonts w:eastAsia="Times New Roman" w:cs="Arial"/>
          <w:lang w:val="es-ES" w:eastAsia="es-CO"/>
        </w:rPr>
        <w:t>pequeña minería</w:t>
      </w:r>
      <w:r w:rsidRPr="31226965" w:rsidR="00E37C67">
        <w:rPr>
          <w:rFonts w:eastAsia="Times New Roman" w:cs="Arial"/>
          <w:lang w:val="es-ES" w:eastAsia="es-CO"/>
        </w:rPr>
        <w:t xml:space="preserve"> y la </w:t>
      </w:r>
      <w:r w:rsidRPr="31226965">
        <w:rPr>
          <w:rFonts w:eastAsia="Times New Roman" w:cs="Arial"/>
          <w:lang w:val="es-ES" w:eastAsia="es-CO"/>
        </w:rPr>
        <w:t>minería artesanal se</w:t>
      </w:r>
      <w:r w:rsidRPr="31226965">
        <w:rPr>
          <w:rFonts w:eastAsia="Times New Roman" w:cs="Arial"/>
          <w:lang w:eastAsia="es-CO"/>
        </w:rPr>
        <w:t xml:space="preserve"> </w:t>
      </w:r>
      <w:r w:rsidRPr="00933157" w:rsidR="00C443D6">
        <w:rPr>
          <w:rFonts w:eastAsia="Times New Roman" w:cs="Arial"/>
          <w:lang w:eastAsia="es-CO"/>
        </w:rPr>
        <w:t>hace necesario</w:t>
      </w:r>
      <w:r w:rsidRPr="31226965" w:rsidR="00C443D6">
        <w:rPr>
          <w:rFonts w:eastAsia="Times New Roman" w:cs="Arial"/>
          <w:lang w:eastAsia="es-CO"/>
        </w:rPr>
        <w:t xml:space="preserve"> adelantar acciones conducentes a establecer mecanismos diferenciales </w:t>
      </w:r>
      <w:r w:rsidRPr="31226965" w:rsidR="00941217">
        <w:rPr>
          <w:rFonts w:eastAsia="Times New Roman" w:cs="Arial"/>
          <w:lang w:eastAsia="es-CO"/>
        </w:rPr>
        <w:t xml:space="preserve">para su </w:t>
      </w:r>
      <w:r w:rsidRPr="31226965" w:rsidR="00C443D6">
        <w:rPr>
          <w:rFonts w:eastAsia="Times New Roman" w:cs="Arial"/>
          <w:lang w:eastAsia="es-CO"/>
        </w:rPr>
        <w:t xml:space="preserve">reconocimiento y dignificación, a partir de factores históricos, sociales y culturales. </w:t>
      </w:r>
      <w:r w:rsidRPr="31226965" w:rsidR="00A77D15">
        <w:rPr>
          <w:rFonts w:eastAsia="Times New Roman" w:cs="Arial"/>
          <w:lang w:eastAsia="es-CO"/>
        </w:rPr>
        <w:t xml:space="preserve">Para ello, </w:t>
      </w:r>
      <w:r w:rsidR="00933157">
        <w:rPr>
          <w:rFonts w:eastAsia="Times New Roman" w:cs="Arial"/>
          <w:lang w:eastAsia="es-CO"/>
        </w:rPr>
        <w:t xml:space="preserve">se deben </w:t>
      </w:r>
      <w:r w:rsidRPr="31226965" w:rsidR="00C443D6">
        <w:rPr>
          <w:rFonts w:eastAsia="Times New Roman" w:cs="Arial"/>
          <w:lang w:val="es-ES" w:eastAsia="es-CO"/>
        </w:rPr>
        <w:t>formular criterios para el reconocimiento de derechos de la minería artesanal y de pequeña escala, y la salvaguarda de la relación cultural de los grupos étnicos con el quehacer minero en sus territorios.</w:t>
      </w:r>
    </w:p>
    <w:p w:rsidR="00C443D6" w:rsidP="00C53CBE" w:rsidRDefault="00704D9F" w14:paraId="059C9568" w14:textId="400EBC6D">
      <w:pPr>
        <w:jc w:val="both"/>
        <w:rPr>
          <w:rFonts w:eastAsia="Times New Roman" w:cs="Arial"/>
          <w:lang w:eastAsia="es-CO"/>
        </w:rPr>
      </w:pPr>
      <w:r>
        <w:rPr>
          <w:rFonts w:eastAsia="Times New Roman" w:cs="Arial"/>
          <w:lang w:eastAsia="es-CO"/>
        </w:rPr>
        <w:t>D</w:t>
      </w:r>
      <w:r w:rsidRPr="00704D9F">
        <w:rPr>
          <w:rFonts w:eastAsia="Times New Roman" w:cs="Arial"/>
          <w:lang w:eastAsia="es-CO"/>
        </w:rPr>
        <w:t>e conformidad con el Decreto 0977 de 2024, los Distritos Mineros Especiales para la Diversificación Productiva se conciben como instrumentos de planificación socioambiental e institucional que articulan la actividad minera con procesos de reindustrialización, transición energética justa y fortalecimiento de las economías locales. Su implementación permitirá promover cadenas de valor integradas, generar nuevas alternativas económicas, dinamizar la asociatividad de la pequeña y mediana minería, y propiciar condiciones para la reconversión laboral de las comunidades. De esta manera, los Distritos Mineros, además de dar cumplimiento a lo establecido en el Plan Nacional de Desarrollo 2022–2026, se consolidan como una estrategia para garantizar que los beneficios derivados de la actividad minera se traduzcan en bienestar social, diversificación económica y mayor equidad en la distribución de oportunidades de desarrollo en los territorios.</w:t>
      </w:r>
    </w:p>
    <w:p w:rsidRPr="00C5780E" w:rsidR="00C443D6" w:rsidP="00C53CBE" w:rsidRDefault="00C443D6" w14:paraId="52CC472B" w14:textId="21B23803">
      <w:pPr>
        <w:jc w:val="both"/>
        <w:textAlignment w:val="baseline"/>
        <w:rPr>
          <w:rFonts w:ascii="Segoe UI" w:hAnsi="Segoe UI" w:eastAsia="Times New Roman" w:cs="Segoe UI"/>
          <w:sz w:val="18"/>
          <w:szCs w:val="18"/>
          <w:lang w:eastAsia="es-CO"/>
        </w:rPr>
      </w:pPr>
      <w:r w:rsidRPr="00A24CB0">
        <w:rPr>
          <w:rFonts w:eastAsia="Times New Roman" w:cs="Arial"/>
          <w:lang w:val="es-ES" w:eastAsia="es-CO"/>
        </w:rPr>
        <w:t xml:space="preserve">En esta dirección, </w:t>
      </w:r>
      <w:r w:rsidRPr="36255A1E">
        <w:rPr>
          <w:rFonts w:eastAsia="Times New Roman" w:cs="Arial"/>
          <w:lang w:val="es-ES" w:eastAsia="es-CO"/>
        </w:rPr>
        <w:t>dentro de los objetivos que se plantean para fortalecer las estrategias para la formalización, el desarrollo y fomento de buenas prácticas en la pequeña minería, minería artesanal se tienen:</w:t>
      </w:r>
      <w:r w:rsidRPr="36255A1E">
        <w:rPr>
          <w:rFonts w:eastAsia="Times New Roman" w:cs="Arial"/>
          <w:lang w:eastAsia="es-CO"/>
        </w:rPr>
        <w:t> </w:t>
      </w:r>
    </w:p>
    <w:p w:rsidR="00614E2F" w:rsidP="001C54B2" w:rsidRDefault="2A34E0EC" w14:paraId="7C433CE8" w14:textId="0329EA29">
      <w:pPr>
        <w:pStyle w:val="ListParagraph"/>
        <w:numPr>
          <w:ilvl w:val="0"/>
          <w:numId w:val="27"/>
        </w:numPr>
        <w:jc w:val="both"/>
        <w:rPr>
          <w:rFonts w:eastAsia="Times New Roman" w:cs="Arial"/>
          <w:lang w:eastAsia="es-CO"/>
        </w:rPr>
      </w:pPr>
      <w:bookmarkStart w:name="_Hlk209015209" w:id="994"/>
      <w:r w:rsidRPr="2A9888F1">
        <w:rPr>
          <w:rFonts w:eastAsia="Times New Roman" w:cs="Arial"/>
          <w:lang w:eastAsia="es-CO"/>
        </w:rPr>
        <w:t xml:space="preserve">Implementar el Decreto 1396 de 2023 </w:t>
      </w:r>
      <w:r w:rsidRPr="2A9888F1">
        <w:rPr>
          <w:rFonts w:eastAsia="Times New Roman" w:cs="Arial"/>
          <w:i/>
          <w:iCs/>
          <w:lang w:eastAsia="es-CO"/>
        </w:rPr>
        <w:t>"Por el cual se reglamenta el capítulo V de la ley 70 de 1993, se adoptan mecanismos especiales para fomento y desarrollo de las actividades mineras en los territorios colectivos territorios en trámite de adjudicación y ocupados</w:t>
      </w:r>
      <w:r w:rsidRPr="2A9888F1">
        <w:rPr>
          <w:rFonts w:eastAsia="Times New Roman" w:cs="Arial"/>
          <w:lang w:eastAsia="es-CO"/>
        </w:rPr>
        <w:t>".</w:t>
      </w:r>
    </w:p>
    <w:p w:rsidRPr="00614E2F" w:rsidR="00614E2F" w:rsidP="00614E2F" w:rsidRDefault="00614E2F" w14:paraId="40D67E60" w14:textId="77777777">
      <w:pPr>
        <w:pStyle w:val="ListParagraph"/>
        <w:jc w:val="both"/>
        <w:rPr>
          <w:rFonts w:eastAsia="Times New Roman" w:cs="Arial"/>
          <w:lang w:eastAsia="es-CO"/>
        </w:rPr>
      </w:pPr>
    </w:p>
    <w:p w:rsidR="00614E2F" w:rsidP="001C54B2" w:rsidRDefault="2A34E0EC" w14:paraId="55DBBC4C" w14:textId="77777777">
      <w:pPr>
        <w:pStyle w:val="ListParagraph"/>
        <w:numPr>
          <w:ilvl w:val="0"/>
          <w:numId w:val="27"/>
        </w:numPr>
        <w:jc w:val="both"/>
        <w:rPr>
          <w:rFonts w:eastAsia="Times New Roman" w:cs="Arial"/>
          <w:lang w:eastAsia="es-CO"/>
        </w:rPr>
      </w:pPr>
      <w:r w:rsidRPr="2A9888F1">
        <w:rPr>
          <w:rFonts w:eastAsia="Times New Roman" w:cs="Arial"/>
          <w:lang w:eastAsia="es-CO"/>
        </w:rPr>
        <w:t>Establecer las definiciones de minería artesanal y ancestral, que se ajusten a las realidades técnicas y recorridos históricos, sociales y culturales de las comunidades dedicadas a estas labores.</w:t>
      </w:r>
    </w:p>
    <w:p w:rsidRPr="00614E2F" w:rsidR="00614E2F" w:rsidP="00614E2F" w:rsidRDefault="00614E2F" w14:paraId="69D39090" w14:textId="77777777">
      <w:pPr>
        <w:pStyle w:val="ListParagraph"/>
        <w:jc w:val="both"/>
        <w:rPr>
          <w:rFonts w:eastAsia="Times New Roman" w:cs="Arial"/>
          <w:lang w:eastAsia="es-CO"/>
        </w:rPr>
      </w:pPr>
    </w:p>
    <w:p w:rsidR="00614E2F" w:rsidP="2A9888F1" w:rsidRDefault="2A34E0EC" w14:paraId="740541A1" w14:textId="77777777">
      <w:pPr>
        <w:pStyle w:val="ListParagraph"/>
        <w:numPr>
          <w:ilvl w:val="0"/>
          <w:numId w:val="27"/>
        </w:numPr>
        <w:jc w:val="both"/>
        <w:rPr>
          <w:rFonts w:eastAsia="Times New Roman" w:cs="Arial"/>
          <w:lang w:eastAsia="es-CO"/>
        </w:rPr>
      </w:pPr>
      <w:r w:rsidRPr="2A9888F1">
        <w:rPr>
          <w:rFonts w:eastAsia="Times New Roman" w:cs="Arial"/>
          <w:lang w:eastAsia="es-CO"/>
        </w:rPr>
        <w:t>Crear nuevos puntos de atención regional de la autoridad minera nacional, para el desarrollo de asesorías técnicas, así como crear oficinas satélites en municipios con gran actividad minera y problemas de ilegalidad e informalidad.</w:t>
      </w:r>
    </w:p>
    <w:p w:rsidRPr="00614E2F" w:rsidR="00614E2F" w:rsidP="2A9888F1" w:rsidRDefault="00614E2F" w14:paraId="08B3B441" w14:textId="77777777">
      <w:pPr>
        <w:pStyle w:val="ListParagraph"/>
        <w:jc w:val="both"/>
        <w:rPr>
          <w:rFonts w:eastAsia="Times New Roman" w:cs="Arial"/>
          <w:lang w:eastAsia="es-CO"/>
        </w:rPr>
      </w:pPr>
    </w:p>
    <w:p w:rsidR="00614E2F" w:rsidP="2A9888F1" w:rsidRDefault="2A34E0EC" w14:paraId="56DE8565" w14:textId="5EB2CC21">
      <w:pPr>
        <w:pStyle w:val="ListParagraph"/>
        <w:numPr>
          <w:ilvl w:val="0"/>
          <w:numId w:val="27"/>
        </w:numPr>
        <w:jc w:val="both"/>
        <w:rPr>
          <w:rFonts w:eastAsia="Times New Roman" w:cs="Arial"/>
          <w:lang w:eastAsia="es-CO"/>
        </w:rPr>
      </w:pPr>
      <w:r w:rsidRPr="2A9888F1">
        <w:rPr>
          <w:rFonts w:eastAsia="Times New Roman" w:cs="Arial"/>
          <w:lang w:eastAsia="es-CO"/>
        </w:rPr>
        <w:t xml:space="preserve">Implementar un mecanismo integral para la difusión y apropiación de buenas prácticas en la minería </w:t>
      </w:r>
      <w:r w:rsidRPr="2A9888F1" w:rsidR="7669507B">
        <w:rPr>
          <w:rFonts w:eastAsia="Times New Roman" w:cs="Arial"/>
          <w:lang w:eastAsia="es-CO"/>
        </w:rPr>
        <w:t xml:space="preserve">de subsistencia, incluyendo asuntos relevantes como la seguridad minera, aprendizaje continuo y el desarrollo </w:t>
      </w:r>
      <w:r w:rsidRPr="2A9888F1" w:rsidR="4CBCD9A0">
        <w:rPr>
          <w:rFonts w:eastAsia="Times New Roman" w:cs="Arial"/>
          <w:lang w:eastAsia="es-CO"/>
        </w:rPr>
        <w:t>empresarial.</w:t>
      </w:r>
    </w:p>
    <w:p w:rsidRPr="00614E2F" w:rsidR="00614E2F" w:rsidP="00614E2F" w:rsidRDefault="00614E2F" w14:paraId="31B05181" w14:textId="77777777">
      <w:pPr>
        <w:pStyle w:val="ListParagraph"/>
        <w:jc w:val="both"/>
        <w:rPr>
          <w:rFonts w:eastAsia="Times New Roman" w:cs="Arial"/>
          <w:lang w:eastAsia="es-CO"/>
        </w:rPr>
      </w:pPr>
    </w:p>
    <w:p w:rsidR="00614E2F" w:rsidP="2A9888F1" w:rsidRDefault="2A34E0EC" w14:paraId="0E60AA16" w14:textId="77777777">
      <w:pPr>
        <w:pStyle w:val="ListParagraph"/>
        <w:numPr>
          <w:ilvl w:val="0"/>
          <w:numId w:val="27"/>
        </w:numPr>
        <w:jc w:val="both"/>
        <w:rPr>
          <w:rFonts w:eastAsia="Times New Roman" w:cs="Arial"/>
          <w:lang w:eastAsia="es-CO"/>
        </w:rPr>
      </w:pPr>
      <w:r w:rsidRPr="2A9888F1">
        <w:rPr>
          <w:rFonts w:eastAsia="Times New Roman" w:cs="Arial"/>
          <w:lang w:eastAsia="es-CO"/>
        </w:rPr>
        <w:t>Desarrollar una estrategia para el fortalecimiento asociativo mediante acciones de apoyo en estructuración de figuras empresariales, alianzas estratégicas y desarrollo de capital humano que permitan fomentar acciones de escalamiento productivo en la población minera.</w:t>
      </w:r>
    </w:p>
    <w:p w:rsidRPr="00614E2F" w:rsidR="00614E2F" w:rsidP="00614E2F" w:rsidRDefault="00614E2F" w14:paraId="2D69CCC9" w14:textId="77777777">
      <w:pPr>
        <w:pStyle w:val="ListParagraph"/>
        <w:jc w:val="both"/>
        <w:rPr>
          <w:rFonts w:eastAsia="Times New Roman" w:cs="Arial"/>
          <w:lang w:eastAsia="es-CO"/>
        </w:rPr>
      </w:pPr>
    </w:p>
    <w:p w:rsidR="00614E2F" w:rsidP="2A9888F1" w:rsidRDefault="2A34E0EC" w14:paraId="48D3B31C" w14:textId="77777777">
      <w:pPr>
        <w:pStyle w:val="ListParagraph"/>
        <w:numPr>
          <w:ilvl w:val="0"/>
          <w:numId w:val="27"/>
        </w:numPr>
        <w:jc w:val="both"/>
        <w:rPr>
          <w:rFonts w:eastAsia="Times New Roman" w:cs="Arial"/>
          <w:lang w:eastAsia="es-CO"/>
        </w:rPr>
      </w:pPr>
      <w:r w:rsidRPr="2A9888F1">
        <w:rPr>
          <w:rFonts w:eastAsia="Times New Roman" w:cs="Arial"/>
          <w:lang w:eastAsia="es-CO"/>
        </w:rPr>
        <w:t>Crear un mecanismo de trazabilidad en procesos de comercialización de las actividades mineras a través de innovación tecnológica.</w:t>
      </w:r>
    </w:p>
    <w:p w:rsidRPr="00614E2F" w:rsidR="00614E2F" w:rsidP="2A9888F1" w:rsidRDefault="00614E2F" w14:paraId="7C8B0FDD" w14:textId="77777777">
      <w:pPr>
        <w:pStyle w:val="ListParagraph"/>
        <w:jc w:val="both"/>
        <w:rPr>
          <w:rFonts w:eastAsia="Times New Roman" w:cs="Arial"/>
          <w:lang w:eastAsia="es-CO"/>
        </w:rPr>
      </w:pPr>
    </w:p>
    <w:p w:rsidR="00614E2F" w:rsidP="2A9888F1" w:rsidRDefault="2A34E0EC" w14:paraId="24BEC5BE" w14:textId="77777777">
      <w:pPr>
        <w:pStyle w:val="ListParagraph"/>
        <w:numPr>
          <w:ilvl w:val="0"/>
          <w:numId w:val="27"/>
        </w:numPr>
        <w:jc w:val="both"/>
        <w:rPr>
          <w:rFonts w:eastAsia="Times New Roman" w:cs="Arial"/>
          <w:lang w:eastAsia="es-CO"/>
        </w:rPr>
      </w:pPr>
      <w:r w:rsidRPr="2A9888F1">
        <w:rPr>
          <w:rFonts w:eastAsia="Times New Roman" w:cs="Arial"/>
          <w:lang w:eastAsia="es-CO"/>
        </w:rPr>
        <w:t>Contribuir a la creación de encadenamientos productivos para los mineros-mineras artesanales, ancestrales y de pequeña escala, mediante asociatividad.</w:t>
      </w:r>
    </w:p>
    <w:p w:rsidRPr="00614E2F" w:rsidR="00614E2F" w:rsidP="2A9888F1" w:rsidRDefault="00614E2F" w14:paraId="45B4CB10" w14:textId="77777777">
      <w:pPr>
        <w:pStyle w:val="ListParagraph"/>
        <w:jc w:val="both"/>
        <w:rPr>
          <w:rFonts w:eastAsia="Times New Roman" w:cs="Arial"/>
          <w:lang w:eastAsia="es-CO"/>
        </w:rPr>
      </w:pPr>
    </w:p>
    <w:p w:rsidRPr="00511292" w:rsidR="00614E2F" w:rsidP="2A9888F1" w:rsidRDefault="2A34E0EC" w14:paraId="6E4EC107" w14:textId="77777777">
      <w:pPr>
        <w:pStyle w:val="ListParagraph"/>
        <w:numPr>
          <w:ilvl w:val="0"/>
          <w:numId w:val="27"/>
        </w:numPr>
        <w:jc w:val="both"/>
        <w:rPr>
          <w:rFonts w:eastAsia="Times New Roman" w:cs="Arial"/>
          <w:lang w:eastAsia="es-CO"/>
        </w:rPr>
      </w:pPr>
      <w:r w:rsidRPr="2A9888F1">
        <w:rPr>
          <w:rFonts w:eastAsia="Times New Roman" w:cs="Arial"/>
          <w:lang w:eastAsia="es-CO"/>
        </w:rPr>
        <w:t>Expedir la reglamentación de la Ley 2250 de 2022 que permita el acceso a la formalización de la pequeña minería de manera ágil y mediante un marco jurídico especial y diferenciado.</w:t>
      </w:r>
    </w:p>
    <w:p w:rsidRPr="00614E2F" w:rsidR="00614E2F" w:rsidP="00614E2F" w:rsidRDefault="00614E2F" w14:paraId="5E50221A" w14:textId="77777777">
      <w:pPr>
        <w:pStyle w:val="ListParagraph"/>
        <w:jc w:val="both"/>
        <w:rPr>
          <w:rFonts w:eastAsia="Times New Roman" w:cs="Arial"/>
          <w:lang w:eastAsia="es-CO"/>
        </w:rPr>
      </w:pPr>
    </w:p>
    <w:p w:rsidR="00614E2F" w:rsidP="2A9888F1" w:rsidRDefault="2A34E0EC" w14:paraId="0D7346C4" w14:textId="77777777">
      <w:pPr>
        <w:pStyle w:val="ListParagraph"/>
        <w:numPr>
          <w:ilvl w:val="0"/>
          <w:numId w:val="27"/>
        </w:numPr>
        <w:jc w:val="both"/>
        <w:rPr>
          <w:rFonts w:eastAsia="Times New Roman" w:cs="Arial"/>
          <w:lang w:eastAsia="es-CO"/>
        </w:rPr>
      </w:pPr>
      <w:r w:rsidRPr="2A9888F1">
        <w:rPr>
          <w:rFonts w:eastAsia="Times New Roman" w:cs="Arial"/>
          <w:lang w:eastAsia="es-CO"/>
        </w:rPr>
        <w:t>Reforzar estrategias de identificación y gestión de desafíos en materia de formalización en sinergia con los actores interesados en los territorios.</w:t>
      </w:r>
    </w:p>
    <w:p w:rsidRPr="00614E2F" w:rsidR="00614E2F" w:rsidP="00614E2F" w:rsidRDefault="00614E2F" w14:paraId="1A6E7A63" w14:textId="77777777">
      <w:pPr>
        <w:pStyle w:val="ListParagraph"/>
        <w:jc w:val="both"/>
        <w:rPr>
          <w:rFonts w:eastAsia="Times New Roman" w:cs="Arial"/>
          <w:lang w:eastAsia="es-CO"/>
        </w:rPr>
      </w:pPr>
    </w:p>
    <w:p w:rsidR="00614E2F" w:rsidP="2A9888F1" w:rsidRDefault="2A34E0EC" w14:paraId="76774804" w14:textId="77777777">
      <w:pPr>
        <w:pStyle w:val="ListParagraph"/>
        <w:numPr>
          <w:ilvl w:val="0"/>
          <w:numId w:val="27"/>
        </w:numPr>
        <w:jc w:val="both"/>
        <w:rPr>
          <w:rFonts w:eastAsia="Times New Roman" w:cs="Arial"/>
          <w:lang w:eastAsia="es-CO"/>
        </w:rPr>
      </w:pPr>
      <w:r w:rsidRPr="2A9888F1">
        <w:rPr>
          <w:rFonts w:eastAsia="Times New Roman" w:cs="Arial"/>
          <w:lang w:eastAsia="es-CO"/>
        </w:rPr>
        <w:t xml:space="preserve">Implementar un programa de comunicación y transparencia minera dirigido a las comunidades mineras de pequeña escala y las instituciones estatales. </w:t>
      </w:r>
    </w:p>
    <w:p w:rsidRPr="00614E2F" w:rsidR="00614E2F" w:rsidP="2A9888F1" w:rsidRDefault="00614E2F" w14:paraId="5912C699" w14:textId="77777777">
      <w:pPr>
        <w:pStyle w:val="ListParagraph"/>
        <w:jc w:val="both"/>
        <w:rPr>
          <w:rFonts w:eastAsia="Times New Roman" w:cs="Arial"/>
          <w:lang w:eastAsia="es-CO"/>
        </w:rPr>
      </w:pPr>
    </w:p>
    <w:p w:rsidR="00614E2F" w:rsidP="2A9888F1" w:rsidRDefault="2A34E0EC" w14:paraId="30B67C49" w14:textId="77777777">
      <w:pPr>
        <w:pStyle w:val="ListParagraph"/>
        <w:numPr>
          <w:ilvl w:val="0"/>
          <w:numId w:val="27"/>
        </w:numPr>
        <w:jc w:val="both"/>
        <w:rPr>
          <w:rFonts w:eastAsia="Times New Roman" w:cs="Arial"/>
          <w:lang w:eastAsia="es-CO"/>
        </w:rPr>
      </w:pPr>
      <w:r w:rsidRPr="2A9888F1">
        <w:rPr>
          <w:rFonts w:eastAsia="Times New Roman" w:cs="Arial"/>
          <w:lang w:eastAsia="es-CO"/>
        </w:rPr>
        <w:t>Crear un programa tripartito de formalización minera entre el Estado, las empresas mineras y los centros de desarrollo científico y tecnológico que faciliten los procesos de formalización, la cesión de áreas y el músculo financiero necesario para la tecnificación e industrialización de la actividad.</w:t>
      </w:r>
    </w:p>
    <w:p w:rsidRPr="00614E2F" w:rsidR="00614E2F" w:rsidP="00614E2F" w:rsidRDefault="00614E2F" w14:paraId="63CACE90" w14:textId="77777777">
      <w:pPr>
        <w:pStyle w:val="ListParagraph"/>
        <w:jc w:val="both"/>
        <w:rPr>
          <w:rFonts w:eastAsia="Times New Roman" w:cs="Arial"/>
          <w:lang w:eastAsia="es-CO"/>
        </w:rPr>
      </w:pPr>
    </w:p>
    <w:p w:rsidR="00614E2F" w:rsidP="2A9888F1" w:rsidRDefault="2A34E0EC" w14:paraId="43008F1F" w14:textId="77777777">
      <w:pPr>
        <w:pStyle w:val="ListParagraph"/>
        <w:numPr>
          <w:ilvl w:val="0"/>
          <w:numId w:val="27"/>
        </w:numPr>
        <w:jc w:val="both"/>
        <w:rPr>
          <w:rFonts w:eastAsia="Times New Roman" w:cs="Arial"/>
          <w:lang w:eastAsia="es-CO"/>
        </w:rPr>
      </w:pPr>
      <w:r w:rsidRPr="2A9888F1">
        <w:rPr>
          <w:rFonts w:eastAsia="Times New Roman" w:cs="Arial"/>
          <w:lang w:eastAsia="es-CO"/>
        </w:rPr>
        <w:t>Acompañar iniciativas que aporten a la diversificación de la canasta minera nacional.</w:t>
      </w:r>
    </w:p>
    <w:p w:rsidRPr="00614E2F" w:rsidR="00614E2F" w:rsidP="2A9888F1" w:rsidRDefault="00614E2F" w14:paraId="077F6584" w14:textId="77777777">
      <w:pPr>
        <w:pStyle w:val="ListParagraph"/>
        <w:jc w:val="both"/>
        <w:rPr>
          <w:rFonts w:eastAsia="Times New Roman" w:cs="Arial"/>
          <w:lang w:eastAsia="es-CO"/>
        </w:rPr>
      </w:pPr>
    </w:p>
    <w:p w:rsidR="00614E2F" w:rsidP="2A9888F1" w:rsidRDefault="510B5E9A" w14:paraId="4495C6A7" w14:textId="6277552D">
      <w:pPr>
        <w:pStyle w:val="ListParagraph"/>
        <w:numPr>
          <w:ilvl w:val="0"/>
          <w:numId w:val="27"/>
        </w:numPr>
        <w:jc w:val="both"/>
        <w:rPr>
          <w:rFonts w:eastAsia="Times New Roman" w:cs="Arial"/>
          <w:lang w:eastAsia="es-CO"/>
        </w:rPr>
      </w:pPr>
      <w:r w:rsidRPr="2A9888F1">
        <w:rPr>
          <w:rFonts w:eastAsia="Times New Roman" w:cs="Arial"/>
          <w:lang w:eastAsia="es-CO"/>
        </w:rPr>
        <w:t>Diseñar e implementar</w:t>
      </w:r>
      <w:r w:rsidRPr="2A9888F1" w:rsidR="454A8D2B">
        <w:rPr>
          <w:rFonts w:eastAsia="Times New Roman" w:cs="Arial"/>
          <w:lang w:eastAsia="es-CO"/>
        </w:rPr>
        <w:t xml:space="preserve"> </w:t>
      </w:r>
      <w:r w:rsidRPr="2A9888F1">
        <w:rPr>
          <w:rFonts w:eastAsia="Times New Roman" w:cs="Arial"/>
          <w:lang w:eastAsia="es-CO"/>
        </w:rPr>
        <w:t>estrategia</w:t>
      </w:r>
      <w:r w:rsidRPr="2A9888F1" w:rsidR="40A00D4D">
        <w:rPr>
          <w:rFonts w:eastAsia="Times New Roman" w:cs="Arial"/>
          <w:lang w:eastAsia="es-CO"/>
        </w:rPr>
        <w:t>s</w:t>
      </w:r>
      <w:r w:rsidRPr="2A9888F1" w:rsidR="454A8D2B">
        <w:rPr>
          <w:rFonts w:eastAsia="Times New Roman" w:cs="Arial"/>
          <w:lang w:eastAsia="es-CO"/>
        </w:rPr>
        <w:t xml:space="preserve"> </w:t>
      </w:r>
      <w:r w:rsidRPr="2A9888F1">
        <w:rPr>
          <w:rFonts w:eastAsia="Times New Roman" w:cs="Arial"/>
          <w:lang w:eastAsia="es-CO"/>
        </w:rPr>
        <w:t>territorial</w:t>
      </w:r>
      <w:r w:rsidRPr="2A9888F1" w:rsidR="40A00D4D">
        <w:rPr>
          <w:rFonts w:eastAsia="Times New Roman" w:cs="Arial"/>
          <w:lang w:eastAsia="es-CO"/>
        </w:rPr>
        <w:t>es</w:t>
      </w:r>
      <w:r w:rsidRPr="2A9888F1">
        <w:rPr>
          <w:rFonts w:eastAsia="Times New Roman" w:cs="Arial"/>
          <w:lang w:eastAsia="es-CO"/>
        </w:rPr>
        <w:t xml:space="preserve"> para facilitar el acceso de </w:t>
      </w:r>
      <w:r w:rsidRPr="2A9888F1" w:rsidR="035FB88B">
        <w:rPr>
          <w:rFonts w:eastAsia="Times New Roman" w:cs="Arial"/>
          <w:lang w:eastAsia="es-CO"/>
        </w:rPr>
        <w:t>mineros y mineras</w:t>
      </w:r>
      <w:r w:rsidRPr="2A9888F1">
        <w:rPr>
          <w:rFonts w:eastAsia="Times New Roman" w:cs="Arial"/>
          <w:lang w:eastAsia="es-CO"/>
        </w:rPr>
        <w:t xml:space="preserve"> de pequeña escala a programas de acompañamiento, </w:t>
      </w:r>
      <w:r w:rsidRPr="2A9888F1" w:rsidR="63847B28">
        <w:rPr>
          <w:rFonts w:eastAsia="Times New Roman" w:cs="Arial"/>
          <w:lang w:eastAsia="es-CO"/>
        </w:rPr>
        <w:t>fortalecimiento de capacidades, asesoría</w:t>
      </w:r>
      <w:r w:rsidRPr="2A9888F1">
        <w:rPr>
          <w:rFonts w:eastAsia="Times New Roman" w:cs="Arial"/>
          <w:lang w:eastAsia="es-CO"/>
        </w:rPr>
        <w:t xml:space="preserve"> y asistencia técnica en procesos de formalización, sostenibilidad y mejora productiva.</w:t>
      </w:r>
    </w:p>
    <w:p w:rsidRPr="00614E2F" w:rsidR="00614E2F" w:rsidP="00614E2F" w:rsidRDefault="00614E2F" w14:paraId="40F2C73D" w14:textId="77777777">
      <w:pPr>
        <w:pStyle w:val="ListParagraph"/>
        <w:jc w:val="both"/>
        <w:rPr>
          <w:rFonts w:eastAsia="Times New Roman" w:cs="Arial"/>
          <w:lang w:eastAsia="es-CO"/>
        </w:rPr>
      </w:pPr>
    </w:p>
    <w:p w:rsidR="00614E2F" w:rsidP="2A9888F1" w:rsidRDefault="2A34E0EC" w14:paraId="0D3C72CA" w14:textId="3E397EBD">
      <w:pPr>
        <w:pStyle w:val="ListParagraph"/>
        <w:numPr>
          <w:ilvl w:val="0"/>
          <w:numId w:val="27"/>
        </w:numPr>
        <w:jc w:val="both"/>
        <w:rPr>
          <w:rFonts w:eastAsia="Times New Roman" w:cs="Arial"/>
          <w:lang w:eastAsia="es-CO"/>
        </w:rPr>
      </w:pPr>
      <w:r w:rsidRPr="2A9888F1">
        <w:rPr>
          <w:rFonts w:eastAsia="Times New Roman" w:cs="Arial"/>
          <w:lang w:eastAsia="es-CO"/>
        </w:rPr>
        <w:t xml:space="preserve">Implementar el Fondo de Fomento Minero para apoyar la adopción de mejores prácticas por parte de los pequeños </w:t>
      </w:r>
      <w:r w:rsidRPr="2A9888F1" w:rsidR="05A65336">
        <w:rPr>
          <w:rFonts w:eastAsia="Times New Roman" w:cs="Arial"/>
          <w:lang w:eastAsia="es-CO"/>
        </w:rPr>
        <w:t>mineros y mineras</w:t>
      </w:r>
      <w:r w:rsidRPr="2A9888F1">
        <w:rPr>
          <w:rFonts w:eastAsia="Times New Roman" w:cs="Arial"/>
          <w:lang w:eastAsia="es-CO"/>
        </w:rPr>
        <w:t>, facilitar el acceso a créditos blandos, promover la diversificación y reconversión productiva, e impulsar estrategias de economía circular, prevención, recuperación y restauración de áreas degradadas.</w:t>
      </w:r>
    </w:p>
    <w:p w:rsidRPr="00614E2F" w:rsidR="00614E2F" w:rsidP="00614E2F" w:rsidRDefault="00614E2F" w14:paraId="630C5E96" w14:textId="77777777">
      <w:pPr>
        <w:pStyle w:val="ListParagraph"/>
        <w:jc w:val="both"/>
        <w:rPr>
          <w:rFonts w:eastAsia="Times New Roman" w:cs="Arial"/>
          <w:lang w:eastAsia="es-CO"/>
        </w:rPr>
      </w:pPr>
    </w:p>
    <w:p w:rsidRPr="00535777" w:rsidR="00614E2F" w:rsidP="001C54B2" w:rsidRDefault="2A34E0EC" w14:paraId="6F46ADD9" w14:textId="25F8C2D4">
      <w:pPr>
        <w:pStyle w:val="ListParagraph"/>
        <w:numPr>
          <w:ilvl w:val="0"/>
          <w:numId w:val="27"/>
        </w:numPr>
        <w:jc w:val="both"/>
        <w:rPr>
          <w:rFonts w:eastAsia="Times New Roman"/>
          <w:lang w:eastAsia="es-CO"/>
        </w:rPr>
      </w:pPr>
      <w:r w:rsidRPr="00535777">
        <w:rPr>
          <w:rFonts w:eastAsia="Times New Roman"/>
          <w:lang w:eastAsia="es-CO"/>
        </w:rPr>
        <w:t>Impulsar alternativas de diversificación productiva</w:t>
      </w:r>
      <w:r w:rsidRPr="00535777" w:rsidR="753C1366">
        <w:rPr>
          <w:rFonts w:eastAsia="Times New Roman"/>
          <w:lang w:eastAsia="es-CO"/>
        </w:rPr>
        <w:t xml:space="preserve"> y reconversión laboral</w:t>
      </w:r>
      <w:r w:rsidRPr="00535777">
        <w:rPr>
          <w:rFonts w:eastAsia="Times New Roman"/>
          <w:lang w:eastAsia="es-CO"/>
        </w:rPr>
        <w:t xml:space="preserve"> en áreas altamente dependientes de actividades extractivas impactadas por la transición energética global.  </w:t>
      </w:r>
    </w:p>
    <w:p w:rsidRPr="00535777" w:rsidR="00614E2F" w:rsidP="00614E2F" w:rsidRDefault="00614E2F" w14:paraId="05885DAA" w14:textId="77777777">
      <w:pPr>
        <w:pStyle w:val="ListParagraph"/>
        <w:jc w:val="both"/>
        <w:rPr>
          <w:rFonts w:eastAsia="Times New Roman"/>
          <w:lang w:eastAsia="es-CO"/>
        </w:rPr>
      </w:pPr>
    </w:p>
    <w:p w:rsidRPr="00535777" w:rsidR="00232E3A" w:rsidP="2A9888F1" w:rsidRDefault="510B5E9A" w14:paraId="4B645CE8" w14:textId="28A12C3F">
      <w:pPr>
        <w:pStyle w:val="ListParagraph"/>
        <w:numPr>
          <w:ilvl w:val="0"/>
          <w:numId w:val="27"/>
        </w:numPr>
        <w:jc w:val="both"/>
        <w:rPr>
          <w:rFonts w:eastAsia="Times New Roman"/>
          <w:lang w:eastAsia="es-CO"/>
        </w:rPr>
      </w:pPr>
      <w:r w:rsidRPr="00535777">
        <w:rPr>
          <w:rFonts w:eastAsia="Times New Roman"/>
          <w:lang w:eastAsia="es-CO"/>
        </w:rPr>
        <w:t>Implementar los distritos mineros especiales para la diversificación productiva</w:t>
      </w:r>
      <w:r w:rsidRPr="00535777" w:rsidR="65F504C7">
        <w:rPr>
          <w:rFonts w:eastAsia="Times New Roman"/>
          <w:lang w:eastAsia="es-CO"/>
        </w:rPr>
        <w:t>, según lo dispuesto en el artículo 231 del Plan Nacional de Desarrollo 2022 – 2026, Ley 2294 de 2023, y el Decreto 0977 del 2 de agosto de 2024 "Por el cual se reglamenta el artículo 231 de la Ley 2294 de 2023 y se adiciona el Capítulo 12, al Título V, de la Parte 2, del Libro 2 del Decreto 1073 de 2015.</w:t>
      </w:r>
    </w:p>
    <w:p w:rsidRPr="00535777" w:rsidR="00614E2F" w:rsidP="00C942DF" w:rsidRDefault="00614E2F" w14:paraId="0200FE18" w14:textId="77777777">
      <w:pPr>
        <w:pStyle w:val="ListParagraph"/>
        <w:jc w:val="both"/>
        <w:rPr>
          <w:rFonts w:eastAsia="Times New Roman"/>
          <w:lang w:eastAsia="es-CO"/>
        </w:rPr>
      </w:pPr>
    </w:p>
    <w:p w:rsidRPr="00535777" w:rsidR="00C942DF" w:rsidP="2A9888F1" w:rsidRDefault="510B5E9A" w14:paraId="4C015BE3" w14:textId="707C7DF0">
      <w:pPr>
        <w:pStyle w:val="ListParagraph"/>
        <w:numPr>
          <w:ilvl w:val="0"/>
          <w:numId w:val="27"/>
        </w:numPr>
        <w:jc w:val="both"/>
        <w:rPr>
          <w:rFonts w:eastAsia="Times New Roman"/>
          <w:lang w:eastAsia="es-CO"/>
        </w:rPr>
      </w:pPr>
      <w:r w:rsidRPr="00535777">
        <w:rPr>
          <w:rFonts w:eastAsia="Times New Roman"/>
          <w:lang w:eastAsia="es-CO"/>
        </w:rPr>
        <w:t xml:space="preserve">Implementar el programa de reconversión productiva, teniendo como base elementos </w:t>
      </w:r>
      <w:r w:rsidRPr="00535777" w:rsidR="391B4D1E">
        <w:rPr>
          <w:rFonts w:eastAsia="Times New Roman"/>
          <w:lang w:eastAsia="es-CO"/>
        </w:rPr>
        <w:t>socioambientales</w:t>
      </w:r>
      <w:r w:rsidRPr="00535777">
        <w:rPr>
          <w:rFonts w:eastAsia="Times New Roman"/>
          <w:lang w:eastAsia="es-CO"/>
        </w:rPr>
        <w:t xml:space="preserve"> y culturales de las mineras y mineros, y las condiciones técnicas y económicas de las operaciones mineras.</w:t>
      </w:r>
    </w:p>
    <w:p w:rsidRPr="00535777" w:rsidR="00614E2F" w:rsidP="00C942DF" w:rsidRDefault="00614E2F" w14:paraId="2CBDFC37" w14:textId="77777777">
      <w:pPr>
        <w:pStyle w:val="ListParagraph"/>
        <w:jc w:val="both"/>
        <w:rPr>
          <w:rFonts w:eastAsia="Times New Roman"/>
          <w:lang w:eastAsia="es-CO"/>
        </w:rPr>
      </w:pPr>
    </w:p>
    <w:p w:rsidRPr="00535777" w:rsidR="00C942DF" w:rsidP="2A9888F1" w:rsidRDefault="510B5E9A" w14:paraId="787D6FAD" w14:textId="69F5B57B">
      <w:pPr>
        <w:pStyle w:val="ListParagraph"/>
        <w:numPr>
          <w:ilvl w:val="0"/>
          <w:numId w:val="27"/>
        </w:numPr>
        <w:jc w:val="both"/>
        <w:rPr>
          <w:rFonts w:eastAsia="Times New Roman"/>
          <w:lang w:eastAsia="es-CO"/>
        </w:rPr>
      </w:pPr>
      <w:r w:rsidRPr="00535777">
        <w:rPr>
          <w:rFonts w:eastAsia="Times New Roman"/>
          <w:lang w:eastAsia="es-CO"/>
        </w:rPr>
        <w:t>Brindar asistencias técnicas a las entidades territoriales para la formulación y ejecución de proyectos de inversión financiados con recursos de Asignaciones Directas del Sistema General de Regalías - SGR orientados a la restauración social y económica de las zonas afectadas por la exploración y explotación minera.</w:t>
      </w:r>
    </w:p>
    <w:p w:rsidRPr="00535777" w:rsidR="00614E2F" w:rsidP="2A9888F1" w:rsidRDefault="00614E2F" w14:paraId="5D96898E" w14:textId="77777777">
      <w:pPr>
        <w:pStyle w:val="ListParagraph"/>
        <w:jc w:val="both"/>
        <w:rPr>
          <w:rFonts w:eastAsia="Times New Roman"/>
          <w:lang w:eastAsia="es-CO"/>
        </w:rPr>
      </w:pPr>
    </w:p>
    <w:p w:rsidR="00C942DF" w:rsidP="2A9888F1" w:rsidRDefault="510B5E9A" w14:paraId="60010B6A" w14:textId="6CAC0166">
      <w:pPr>
        <w:pStyle w:val="ListParagraph"/>
        <w:numPr>
          <w:ilvl w:val="0"/>
          <w:numId w:val="27"/>
        </w:numPr>
        <w:jc w:val="both"/>
        <w:rPr>
          <w:rFonts w:eastAsia="Times New Roman" w:cs="Arial"/>
          <w:lang w:eastAsia="es-CO"/>
        </w:rPr>
      </w:pPr>
      <w:r w:rsidRPr="00535777">
        <w:rPr>
          <w:rFonts w:eastAsia="Times New Roman"/>
          <w:lang w:eastAsia="es-CO"/>
        </w:rPr>
        <w:t>Promover en la formalización y el fomento de la pequeña minería la incorporación de estándares de seguridad, orientados principalmente</w:t>
      </w:r>
      <w:r w:rsidRPr="2A9888F1">
        <w:rPr>
          <w:rFonts w:eastAsia="Times New Roman" w:cs="Arial"/>
          <w:lang w:eastAsia="es-CO"/>
        </w:rPr>
        <w:t xml:space="preserve"> a áreas de control de atmósferas viciadas, fallas geomecánicas, incendios, inundaciones, fallas mecánicas, eléctricas, caídas a diferente nivel, entre otros.</w:t>
      </w:r>
    </w:p>
    <w:p w:rsidRPr="008300BA" w:rsidR="3E4ED147" w:rsidP="17F8AA9B" w:rsidRDefault="3E4ED147" w14:paraId="4CC08937" w14:textId="0849F141">
      <w:pPr>
        <w:pStyle w:val="ListParagraph"/>
        <w:jc w:val="both"/>
        <w:rPr>
          <w:rFonts w:eastAsia="Times New Roman" w:cs="Arial"/>
          <w:lang w:eastAsia="es-CO"/>
        </w:rPr>
      </w:pPr>
    </w:p>
    <w:p w:rsidR="75790ED8" w:rsidP="2A9888F1" w:rsidRDefault="2E8834CC" w14:paraId="4B4BDCCB" w14:textId="6A28FA02">
      <w:pPr>
        <w:pStyle w:val="ListParagraph"/>
        <w:numPr>
          <w:ilvl w:val="0"/>
          <w:numId w:val="27"/>
        </w:numPr>
        <w:jc w:val="both"/>
        <w:rPr>
          <w:rFonts w:eastAsia="Times New Roman" w:cs="Arial"/>
          <w:lang w:eastAsia="es-CO"/>
        </w:rPr>
      </w:pPr>
      <w:r w:rsidRPr="2A9888F1">
        <w:rPr>
          <w:rFonts w:eastAsia="Times New Roman" w:cs="Arial"/>
          <w:lang w:eastAsia="es-CO"/>
        </w:rPr>
        <w:t>Promover procesos voluntarios de certificación de cumplimiento en pequeña minería formalizada, a través de la adopción progresiva de los estándares del (</w:t>
      </w:r>
      <w:proofErr w:type="spellStart"/>
      <w:r w:rsidRPr="2A9888F1">
        <w:rPr>
          <w:rFonts w:eastAsia="Times New Roman" w:cs="Arial"/>
          <w:lang w:eastAsia="es-CO"/>
        </w:rPr>
        <w:t>Initiative</w:t>
      </w:r>
      <w:proofErr w:type="spellEnd"/>
      <w:r w:rsidRPr="2A9888F1">
        <w:rPr>
          <w:rFonts w:eastAsia="Times New Roman" w:cs="Arial"/>
          <w:lang w:eastAsia="es-CO"/>
        </w:rPr>
        <w:t xml:space="preserve"> </w:t>
      </w:r>
      <w:proofErr w:type="spellStart"/>
      <w:r w:rsidRPr="2A9888F1">
        <w:rPr>
          <w:rFonts w:eastAsia="Times New Roman" w:cs="Arial"/>
          <w:lang w:eastAsia="es-CO"/>
        </w:rPr>
        <w:t>for</w:t>
      </w:r>
      <w:proofErr w:type="spellEnd"/>
      <w:r w:rsidRPr="2A9888F1">
        <w:rPr>
          <w:rFonts w:eastAsia="Times New Roman" w:cs="Arial"/>
          <w:lang w:eastAsia="es-CO"/>
        </w:rPr>
        <w:t xml:space="preserve"> </w:t>
      </w:r>
      <w:proofErr w:type="spellStart"/>
      <w:r w:rsidRPr="2A9888F1">
        <w:rPr>
          <w:rFonts w:eastAsia="Times New Roman" w:cs="Arial"/>
          <w:lang w:eastAsia="es-CO"/>
        </w:rPr>
        <w:t>Responsible</w:t>
      </w:r>
      <w:proofErr w:type="spellEnd"/>
      <w:r w:rsidRPr="2A9888F1">
        <w:rPr>
          <w:rFonts w:eastAsia="Times New Roman" w:cs="Arial"/>
          <w:lang w:eastAsia="es-CO"/>
        </w:rPr>
        <w:t xml:space="preserve"> </w:t>
      </w:r>
      <w:proofErr w:type="spellStart"/>
      <w:r w:rsidRPr="2A9888F1">
        <w:rPr>
          <w:rFonts w:eastAsia="Times New Roman" w:cs="Arial"/>
          <w:lang w:eastAsia="es-CO"/>
        </w:rPr>
        <w:t>Mining</w:t>
      </w:r>
      <w:proofErr w:type="spellEnd"/>
      <w:r w:rsidRPr="2A9888F1">
        <w:rPr>
          <w:rFonts w:eastAsia="Times New Roman" w:cs="Arial"/>
          <w:lang w:eastAsia="es-CO"/>
        </w:rPr>
        <w:t xml:space="preserve"> </w:t>
      </w:r>
      <w:proofErr w:type="spellStart"/>
      <w:r w:rsidRPr="2A9888F1">
        <w:rPr>
          <w:rFonts w:eastAsia="Times New Roman" w:cs="Arial"/>
          <w:lang w:eastAsia="es-CO"/>
        </w:rPr>
        <w:t>Assurance</w:t>
      </w:r>
      <w:proofErr w:type="spellEnd"/>
      <w:r w:rsidRPr="2A9888F1">
        <w:rPr>
          <w:rFonts w:eastAsia="Times New Roman" w:cs="Arial"/>
          <w:lang w:eastAsia="es-CO"/>
        </w:rPr>
        <w:t xml:space="preserve">) y las guías del </w:t>
      </w:r>
      <w:r w:rsidRPr="2A9888F1" w:rsidR="2CACE596">
        <w:rPr>
          <w:rFonts w:eastAsia="Times New Roman" w:cs="Arial"/>
          <w:lang w:eastAsia="es-CO"/>
        </w:rPr>
        <w:t>(</w:t>
      </w:r>
      <w:proofErr w:type="spellStart"/>
      <w:r w:rsidRPr="2A9888F1" w:rsidR="2CACE596">
        <w:rPr>
          <w:rFonts w:eastAsia="Times New Roman" w:cs="Arial"/>
          <w:lang w:eastAsia="es-CO"/>
        </w:rPr>
        <w:t>international</w:t>
      </w:r>
      <w:proofErr w:type="spellEnd"/>
      <w:r w:rsidRPr="2A9888F1" w:rsidR="2CACE596">
        <w:rPr>
          <w:rFonts w:eastAsia="Times New Roman" w:cs="Arial"/>
          <w:lang w:eastAsia="es-CO"/>
        </w:rPr>
        <w:t xml:space="preserve"> </w:t>
      </w:r>
      <w:proofErr w:type="spellStart"/>
      <w:r w:rsidRPr="2A9888F1" w:rsidR="2CACE596">
        <w:rPr>
          <w:rFonts w:eastAsia="Times New Roman" w:cs="Arial"/>
          <w:lang w:eastAsia="es-CO"/>
        </w:rPr>
        <w:t>organization</w:t>
      </w:r>
      <w:proofErr w:type="spellEnd"/>
      <w:r w:rsidRPr="2A9888F1" w:rsidR="2CACE596">
        <w:rPr>
          <w:rFonts w:eastAsia="Times New Roman" w:cs="Arial"/>
          <w:lang w:eastAsia="es-CO"/>
        </w:rPr>
        <w:t xml:space="preserve"> </w:t>
      </w:r>
      <w:proofErr w:type="spellStart"/>
      <w:r w:rsidRPr="2A9888F1" w:rsidR="2CACE596">
        <w:rPr>
          <w:rFonts w:eastAsia="Times New Roman" w:cs="Arial"/>
          <w:lang w:eastAsia="es-CO"/>
        </w:rPr>
        <w:t>of</w:t>
      </w:r>
      <w:proofErr w:type="spellEnd"/>
      <w:r w:rsidRPr="2A9888F1" w:rsidR="2CACE596">
        <w:rPr>
          <w:rFonts w:eastAsia="Times New Roman" w:cs="Arial"/>
          <w:lang w:eastAsia="es-CO"/>
        </w:rPr>
        <w:t xml:space="preserve"> </w:t>
      </w:r>
      <w:proofErr w:type="spellStart"/>
      <w:r w:rsidRPr="2A9888F1" w:rsidR="2CACE596">
        <w:rPr>
          <w:rFonts w:eastAsia="Times New Roman" w:cs="Arial"/>
          <w:lang w:eastAsia="es-CO"/>
        </w:rPr>
        <w:t>mining</w:t>
      </w:r>
      <w:proofErr w:type="spellEnd"/>
      <w:r w:rsidRPr="2A9888F1" w:rsidR="2CACE596">
        <w:rPr>
          <w:rFonts w:eastAsia="Times New Roman" w:cs="Arial"/>
          <w:lang w:eastAsia="es-CO"/>
        </w:rPr>
        <w:t xml:space="preserve"> and </w:t>
      </w:r>
      <w:proofErr w:type="spellStart"/>
      <w:r w:rsidRPr="2A9888F1" w:rsidR="2CACE596">
        <w:rPr>
          <w:rFonts w:eastAsia="Times New Roman" w:cs="Arial"/>
          <w:lang w:eastAsia="es-CO"/>
        </w:rPr>
        <w:t>metals</w:t>
      </w:r>
      <w:proofErr w:type="spellEnd"/>
      <w:r w:rsidRPr="2A9888F1" w:rsidR="2CACE596">
        <w:rPr>
          <w:rFonts w:eastAsia="Times New Roman" w:cs="Arial"/>
          <w:lang w:eastAsia="es-CO"/>
        </w:rPr>
        <w:t xml:space="preserve"> </w:t>
      </w:r>
      <w:proofErr w:type="spellStart"/>
      <w:r w:rsidRPr="2A9888F1" w:rsidR="2CACE596">
        <w:rPr>
          <w:rFonts w:eastAsia="Times New Roman" w:cs="Arial"/>
          <w:lang w:eastAsia="es-CO"/>
        </w:rPr>
        <w:t>companies</w:t>
      </w:r>
      <w:proofErr w:type="spellEnd"/>
      <w:r w:rsidRPr="2A9888F1" w:rsidR="2CACE596">
        <w:rPr>
          <w:rFonts w:eastAsia="Times New Roman" w:cs="Arial"/>
          <w:lang w:eastAsia="es-CO"/>
        </w:rPr>
        <w:t xml:space="preserve">) - </w:t>
      </w:r>
      <w:r w:rsidRPr="2A9888F1">
        <w:rPr>
          <w:rFonts w:eastAsia="Times New Roman" w:cs="Arial"/>
          <w:lang w:eastAsia="es-CO"/>
        </w:rPr>
        <w:t>ICMM, especialmente en aspectos de gestión ambiental, relaciones comunitarias</w:t>
      </w:r>
      <w:r w:rsidRPr="2A9888F1" w:rsidR="01A260A0">
        <w:rPr>
          <w:rFonts w:eastAsia="Times New Roman" w:cs="Arial"/>
          <w:lang w:eastAsia="es-CO"/>
        </w:rPr>
        <w:t>,</w:t>
      </w:r>
      <w:r w:rsidRPr="2A9888F1">
        <w:rPr>
          <w:rFonts w:eastAsia="Times New Roman" w:cs="Arial"/>
          <w:lang w:eastAsia="es-CO"/>
        </w:rPr>
        <w:t xml:space="preserve"> seguridad</w:t>
      </w:r>
      <w:r w:rsidRPr="2A9888F1" w:rsidR="714E3369">
        <w:rPr>
          <w:rFonts w:eastAsia="Times New Roman" w:cs="Arial"/>
          <w:lang w:eastAsia="es-CO"/>
        </w:rPr>
        <w:t xml:space="preserve"> y salud en el trabajo</w:t>
      </w:r>
      <w:r w:rsidRPr="2A9888F1" w:rsidR="16BF13AB">
        <w:rPr>
          <w:rFonts w:eastAsia="Times New Roman" w:cs="Arial"/>
          <w:lang w:eastAsia="es-CO"/>
        </w:rPr>
        <w:t xml:space="preserve"> </w:t>
      </w:r>
      <w:r w:rsidRPr="2A9888F1" w:rsidR="2F2B7499">
        <w:rPr>
          <w:rFonts w:eastAsia="Times New Roman" w:cs="Arial"/>
          <w:lang w:eastAsia="es-CO"/>
        </w:rPr>
        <w:t>y</w:t>
      </w:r>
      <w:r w:rsidRPr="2A9888F1" w:rsidR="16BF13AB">
        <w:rPr>
          <w:rFonts w:eastAsia="Times New Roman" w:cs="Arial"/>
          <w:lang w:eastAsia="es-CO"/>
        </w:rPr>
        <w:t xml:space="preserve"> energías renovables</w:t>
      </w:r>
      <w:r w:rsidRPr="2A9888F1" w:rsidR="638E6585">
        <w:rPr>
          <w:rFonts w:eastAsia="Times New Roman" w:cs="Arial"/>
          <w:lang w:eastAsia="es-CO"/>
        </w:rPr>
        <w:t>.</w:t>
      </w:r>
    </w:p>
    <w:bookmarkEnd w:id="994"/>
    <w:p w:rsidR="31226965" w:rsidP="31226965" w:rsidRDefault="31226965" w14:paraId="34F63100" w14:textId="1DBD6288">
      <w:pPr>
        <w:jc w:val="both"/>
        <w:rPr>
          <w:rFonts w:eastAsia="Times New Roman" w:cs="Arial"/>
          <w:lang w:eastAsia="es-CO"/>
        </w:rPr>
      </w:pPr>
    </w:p>
    <w:p w:rsidR="00C443D6" w:rsidP="006D15DE" w:rsidRDefault="5D5A67DA" w14:paraId="15EFBF62" w14:textId="1154B887">
      <w:pPr>
        <w:pStyle w:val="Heading2"/>
        <w:ind w:left="360"/>
        <w:rPr>
          <w:lang w:val="es-ES"/>
        </w:rPr>
      </w:pPr>
      <w:bookmarkStart w:name="_Toc135903139" w:id="995"/>
      <w:bookmarkStart w:name="_Toc199511984" w:id="996"/>
      <w:bookmarkStart w:name="_Toc2109254094" w:id="997"/>
      <w:bookmarkStart w:name="_Toc129408976" w:id="998"/>
      <w:bookmarkStart w:name="_Toc1909437507" w:id="999"/>
      <w:bookmarkStart w:name="_Toc1853876749" w:id="1000"/>
      <w:bookmarkStart w:name="_Toc1115029389" w:id="1001"/>
      <w:bookmarkStart w:name="_Toc929194517" w:id="1002"/>
      <w:bookmarkStart w:name="_Toc1534200392" w:id="1003"/>
      <w:bookmarkStart w:name="_Toc1158575108" w:id="1004"/>
      <w:bookmarkStart w:name="_Toc953332199" w:id="1005"/>
      <w:bookmarkStart w:name="_Toc1574122965" w:id="1006"/>
      <w:bookmarkStart w:name="_Toc1138139414" w:id="1007"/>
      <w:bookmarkStart w:name="_Toc1036369419" w:id="1008"/>
      <w:bookmarkStart w:name="_Toc724931458" w:id="1009"/>
      <w:bookmarkStart w:name="_Toc1806803683" w:id="1010"/>
      <w:bookmarkStart w:name="_Toc941531404" w:id="1011"/>
      <w:bookmarkStart w:name="_Toc1582141640" w:id="1012"/>
      <w:bookmarkStart w:name="_Toc1352710716" w:id="1013"/>
      <w:bookmarkStart w:name="_Toc389497841" w:id="1014"/>
      <w:bookmarkStart w:name="_Toc1203658871" w:id="1015"/>
      <w:bookmarkStart w:name="_Toc1024882743" w:id="1016"/>
      <w:bookmarkStart w:name="_Toc1882140178" w:id="1017"/>
      <w:bookmarkStart w:name="_Toc727062587" w:id="1018"/>
      <w:bookmarkStart w:name="_Toc732204187" w:id="1019"/>
      <w:bookmarkStart w:name="_Toc1319692526" w:id="1020"/>
      <w:bookmarkStart w:name="_Toc1735957468" w:id="1021"/>
      <w:bookmarkStart w:name="_Toc148046266" w:id="1022"/>
      <w:bookmarkStart w:name="_Toc210292992" w:id="1023"/>
      <w:r w:rsidRPr="287A971D">
        <w:rPr>
          <w:lang w:val="es-ES"/>
        </w:rPr>
        <w:t xml:space="preserve">6. </w:t>
      </w:r>
      <w:r w:rsidRPr="287A971D" w:rsidR="5EFA0007">
        <w:rPr>
          <w:lang w:val="es-ES"/>
        </w:rPr>
        <w:t xml:space="preserve">Incremento del conocimiento </w:t>
      </w:r>
      <w:proofErr w:type="spellStart"/>
      <w:r w:rsidRPr="287A971D" w:rsidR="5EFA0007">
        <w:rPr>
          <w:lang w:val="es-ES"/>
        </w:rPr>
        <w:t>geocientífico</w:t>
      </w:r>
      <w:proofErr w:type="spellEnd"/>
      <w:r w:rsidRPr="287A971D" w:rsidR="5EFA0007">
        <w:rPr>
          <w:lang w:val="es-ES"/>
        </w:rPr>
        <w:t xml:space="preserve"> nacional para la planificación y la administración de los recursos del subsuelo</w:t>
      </w:r>
      <w:bookmarkEnd w:id="995"/>
      <w:r w:rsidRPr="287A971D" w:rsidR="5EFA0007">
        <w:rPr>
          <w:lang w:val="es-ES"/>
        </w:rPr>
        <w:t>.</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rsidRPr="00725129" w:rsidR="00C443D6" w:rsidP="00C443D6" w:rsidRDefault="00C443D6" w14:paraId="298DC6FA" w14:textId="77777777">
      <w:pPr>
        <w:rPr>
          <w:lang w:val="es-ES"/>
        </w:rPr>
      </w:pPr>
    </w:p>
    <w:p w:rsidR="00C443D6" w:rsidP="00C53CBE" w:rsidRDefault="00C443D6" w14:paraId="3F173D63" w14:textId="798B73BB">
      <w:pPr>
        <w:jc w:val="both"/>
        <w:rPr>
          <w:lang w:val="es-ES"/>
        </w:rPr>
      </w:pPr>
      <w:r w:rsidRPr="4AE330D9">
        <w:rPr>
          <w:lang w:val="es-ES"/>
        </w:rPr>
        <w:t>E</w:t>
      </w:r>
      <w:r w:rsidR="00712A6A">
        <w:rPr>
          <w:lang w:val="es-ES"/>
        </w:rPr>
        <w:t xml:space="preserve">l </w:t>
      </w:r>
      <w:r w:rsidR="00665F2C">
        <w:rPr>
          <w:lang w:val="es-ES"/>
        </w:rPr>
        <w:t>PND</w:t>
      </w:r>
      <w:r w:rsidRPr="4AE330D9">
        <w:rPr>
          <w:lang w:val="es-ES"/>
        </w:rPr>
        <w:t xml:space="preserve"> 2022-2026 </w:t>
      </w:r>
      <w:r w:rsidRPr="29E99345" w:rsidR="7D3B2091">
        <w:rPr>
          <w:lang w:val="es-ES"/>
        </w:rPr>
        <w:t xml:space="preserve">ha propuesto </w:t>
      </w:r>
      <w:r w:rsidRPr="00677B2D">
        <w:rPr>
          <w:lang w:val="es-ES"/>
        </w:rPr>
        <w:t xml:space="preserve">la </w:t>
      </w:r>
      <w:r w:rsidRPr="009219EF">
        <w:rPr>
          <w:lang w:val="es-ES"/>
        </w:rPr>
        <w:t xml:space="preserve">estructuración del Plan Nacional de Conocimiento </w:t>
      </w:r>
      <w:proofErr w:type="spellStart"/>
      <w:r w:rsidRPr="009219EF">
        <w:rPr>
          <w:lang w:val="es-ES"/>
        </w:rPr>
        <w:t>Geocientífico</w:t>
      </w:r>
      <w:proofErr w:type="spellEnd"/>
      <w:r w:rsidRPr="009219EF">
        <w:rPr>
          <w:lang w:val="es-ES"/>
        </w:rPr>
        <w:t xml:space="preserve"> </w:t>
      </w:r>
      <w:r w:rsidRPr="00677B2D">
        <w:rPr>
          <w:lang w:val="es-ES"/>
        </w:rPr>
        <w:t xml:space="preserve">con el objeto de </w:t>
      </w:r>
      <w:r w:rsidR="009723BD">
        <w:rPr>
          <w:lang w:val="es-ES"/>
        </w:rPr>
        <w:t xml:space="preserve">promover el </w:t>
      </w:r>
      <w:r w:rsidRPr="00677B2D">
        <w:rPr>
          <w:lang w:val="es-ES"/>
        </w:rPr>
        <w:t>conocimiento</w:t>
      </w:r>
      <w:r w:rsidRPr="4AE330D9">
        <w:rPr>
          <w:lang w:val="es-ES"/>
        </w:rPr>
        <w:t xml:space="preserve"> e información </w:t>
      </w:r>
      <w:proofErr w:type="spellStart"/>
      <w:r w:rsidRPr="4AE330D9">
        <w:rPr>
          <w:lang w:val="es-ES"/>
        </w:rPr>
        <w:t>geocientífica</w:t>
      </w:r>
      <w:proofErr w:type="spellEnd"/>
      <w:r w:rsidRPr="4AE330D9">
        <w:rPr>
          <w:lang w:val="es-ES"/>
        </w:rPr>
        <w:t xml:space="preserve"> </w:t>
      </w:r>
      <w:r w:rsidRPr="29E99345" w:rsidR="0CA936EE">
        <w:rPr>
          <w:lang w:val="es-ES"/>
        </w:rPr>
        <w:t>en el país. Se busca incentivar la</w:t>
      </w:r>
      <w:r w:rsidR="001E1EF1">
        <w:rPr>
          <w:lang w:val="es-ES"/>
        </w:rPr>
        <w:t xml:space="preserve"> producción de</w:t>
      </w:r>
      <w:r w:rsidRPr="29E99345" w:rsidR="0CA936EE">
        <w:rPr>
          <w:lang w:val="es-ES"/>
        </w:rPr>
        <w:t xml:space="preserve"> información </w:t>
      </w:r>
      <w:r w:rsidRPr="4AE330D9">
        <w:rPr>
          <w:lang w:val="es-ES"/>
        </w:rPr>
        <w:t>a escalas adecuadas</w:t>
      </w:r>
      <w:r w:rsidR="00B70855">
        <w:rPr>
          <w:lang w:val="es-ES"/>
        </w:rPr>
        <w:t xml:space="preserve"> </w:t>
      </w:r>
      <w:r w:rsidRPr="4AE330D9">
        <w:rPr>
          <w:lang w:val="es-ES"/>
        </w:rPr>
        <w:t xml:space="preserve">para la planificación y uso del suelo y el subsuelo, </w:t>
      </w:r>
      <w:r w:rsidR="001E1EF1">
        <w:rPr>
          <w:lang w:val="es-ES"/>
        </w:rPr>
        <w:t xml:space="preserve">teniendo en cuenta </w:t>
      </w:r>
      <w:r w:rsidRPr="4AE330D9">
        <w:rPr>
          <w:lang w:val="es-ES"/>
        </w:rPr>
        <w:t>el cuidado y la gestión del agua, la evaluación y monitoreo de amenazas de origen geológico, la investigación y prospección de los recursos minerales estratégicos para la transición energética</w:t>
      </w:r>
      <w:r w:rsidR="001E1EF1">
        <w:rPr>
          <w:lang w:val="es-ES"/>
        </w:rPr>
        <w:t xml:space="preserve"> justa</w:t>
      </w:r>
      <w:r w:rsidRPr="4AE330D9">
        <w:rPr>
          <w:lang w:val="es-ES"/>
        </w:rPr>
        <w:t xml:space="preserve">, la industrialización, la </w:t>
      </w:r>
      <w:r w:rsidRPr="4AE330D9" w:rsidR="007A01FE">
        <w:rPr>
          <w:lang w:val="es-ES"/>
        </w:rPr>
        <w:t>s</w:t>
      </w:r>
      <w:r w:rsidR="007A01FE">
        <w:rPr>
          <w:lang w:val="es-ES"/>
        </w:rPr>
        <w:t>oberanía</w:t>
      </w:r>
      <w:r w:rsidRPr="4AE330D9" w:rsidR="007A01FE">
        <w:rPr>
          <w:lang w:val="es-ES"/>
        </w:rPr>
        <w:t xml:space="preserve"> </w:t>
      </w:r>
      <w:r w:rsidRPr="4AE330D9">
        <w:rPr>
          <w:lang w:val="es-ES"/>
        </w:rPr>
        <w:t>alimentaria y la infraestructura pública.</w:t>
      </w:r>
    </w:p>
    <w:p w:rsidR="0016628D" w:rsidP="0016628D" w:rsidRDefault="0016628D" w14:paraId="2E36EF8F" w14:textId="77777777">
      <w:pPr>
        <w:jc w:val="both"/>
      </w:pPr>
      <w:r w:rsidRPr="005308F1">
        <w:t>La disponibilidad de información geológica constituye una herramienta estratégica para orientar la política pública y garantizar un ordenamiento territorial y ambiental basado en evidencia. Su uso permite avanzar en la identificación y aprovechamiento responsable de minerales estratégicos, mejorar la gestión del agua y del riesgo, apoyar el diseño de proyectos de infraestructura y fortalecer la seguridad jurídica, ambiental y social en torno a la actividad minera. Esta información, de carácter público y propiedad de la Nación conforme a la Constitución Política de Colombia, genera valor a múltiples actores, incluyendo comunidades, universidades, centros de investigación, entidades públicas y el sector productivo.</w:t>
      </w:r>
    </w:p>
    <w:p w:rsidRPr="00041C9D" w:rsidR="0016628D" w:rsidP="0016628D" w:rsidRDefault="0016628D" w14:paraId="69C858E0" w14:textId="77777777">
      <w:pPr>
        <w:jc w:val="both"/>
      </w:pPr>
      <w:r w:rsidRPr="00041C9D">
        <w:t xml:space="preserve">El fortalecimiento del conocimiento </w:t>
      </w:r>
      <w:proofErr w:type="spellStart"/>
      <w:r w:rsidRPr="00041C9D">
        <w:t>geocientífico</w:t>
      </w:r>
      <w:proofErr w:type="spellEnd"/>
      <w:r w:rsidRPr="00041C9D">
        <w:t xml:space="preserve"> nacional no solo permite una planificación más precisa y sostenible del territorio, sino que también constituye una herramienta clave para garantizar la seguridad jurídica, ambiental y social en el desarrollo de la actividad minera. Para ello, se promoverá una gobernanza de datos abierta, interoperable y orientada al servicio público, que fomente la toma de decisiones informadas por parte del Estado, las comunidades y el sector productivo. Esta apuesta por el conocimiento como bien público busca consolidar una minería con propósito, donde la generación y el uso de información de calidad se conviertan en pilares para la transición energética justa, la adaptación al cambio climático y la construcción de un modelo de desarrollo territorial equitativo y respetuoso del ambiente. </w:t>
      </w:r>
    </w:p>
    <w:p w:rsidRPr="005939F4" w:rsidR="0016628D" w:rsidP="0016628D" w:rsidRDefault="0016628D" w14:paraId="710A2DBE" w14:textId="325D7B3A">
      <w:pPr>
        <w:jc w:val="both"/>
      </w:pPr>
      <w:r w:rsidRPr="00041C9D">
        <w:t>El Servicio Geológico Colombiano (SGC), mediante la prospección y estudios especializados</w:t>
      </w:r>
      <w:r w:rsidRPr="005308F1">
        <w:t xml:space="preserve">, deberá avanzar en la generación de información sobre los recursos del subsuelo, incluyendo los minerales estratégicos definidos por la ANM. De igual forma, en coordinación con la UPME, el Fondo de Energías No Convencionales y Gestión Eficiente de la Energía (FENOGE) y la Agencia Nacional de Hidrocarburos (ANH), el SGC deberá continuar con la investigación del potencial asociado a las fuentes no convencionales de energías renovables, consolidando una visión integral del conocimiento </w:t>
      </w:r>
      <w:proofErr w:type="spellStart"/>
      <w:r w:rsidRPr="005308F1">
        <w:t>geocientífico</w:t>
      </w:r>
      <w:proofErr w:type="spellEnd"/>
      <w:r w:rsidRPr="005308F1">
        <w:t xml:space="preserve"> al servicio del país.</w:t>
      </w:r>
    </w:p>
    <w:p w:rsidRPr="00F00573" w:rsidR="00C443D6" w:rsidP="00C443D6" w:rsidRDefault="00C443D6" w14:paraId="1CA3FC94" w14:textId="42AF2F1F">
      <w:pPr>
        <w:rPr>
          <w:lang w:val="es-ES"/>
        </w:rPr>
      </w:pPr>
      <w:r w:rsidRPr="00F00573">
        <w:rPr>
          <w:lang w:val="es-ES"/>
        </w:rPr>
        <w:t>Como acciones que deben iniciar su desarrollo en el</w:t>
      </w:r>
      <w:r w:rsidR="00BD6C50">
        <w:rPr>
          <w:lang w:val="es-ES"/>
        </w:rPr>
        <w:t xml:space="preserve"> corto y </w:t>
      </w:r>
      <w:r w:rsidR="00880215">
        <w:rPr>
          <w:lang w:val="es-ES"/>
        </w:rPr>
        <w:t>mediano</w:t>
      </w:r>
      <w:r w:rsidRPr="00F00573">
        <w:rPr>
          <w:lang w:val="es-ES"/>
        </w:rPr>
        <w:t xml:space="preserve"> plazo se </w:t>
      </w:r>
      <w:r w:rsidR="005D1A40">
        <w:rPr>
          <w:lang w:val="es-ES"/>
        </w:rPr>
        <w:t>debe</w:t>
      </w:r>
      <w:r w:rsidRPr="00F00573">
        <w:rPr>
          <w:lang w:val="es-ES"/>
        </w:rPr>
        <w:t>:</w:t>
      </w:r>
    </w:p>
    <w:p w:rsidR="005612EC" w:rsidP="3B424C1C" w:rsidRDefault="235D4AAB" w14:paraId="79429C7C" w14:textId="77777777">
      <w:pPr>
        <w:pStyle w:val="ListParagraph"/>
        <w:numPr>
          <w:ilvl w:val="0"/>
          <w:numId w:val="13"/>
        </w:numPr>
        <w:spacing w:after="0" w:line="240" w:lineRule="auto"/>
        <w:ind w:left="567" w:hanging="283"/>
        <w:jc w:val="both"/>
        <w:rPr>
          <w:lang w:val="es-ES"/>
        </w:rPr>
      </w:pPr>
      <w:r w:rsidRPr="3B424C1C">
        <w:rPr>
          <w:lang w:val="es-ES"/>
        </w:rPr>
        <w:t xml:space="preserve">Implementar el Plan Estratégico de Conocimiento </w:t>
      </w:r>
      <w:proofErr w:type="spellStart"/>
      <w:r w:rsidRPr="3B424C1C">
        <w:rPr>
          <w:lang w:val="es-ES"/>
        </w:rPr>
        <w:t>Geocientífico</w:t>
      </w:r>
      <w:proofErr w:type="spellEnd"/>
      <w:r w:rsidRPr="3B424C1C">
        <w:rPr>
          <w:lang w:val="es-ES"/>
        </w:rPr>
        <w:t xml:space="preserve"> y Nuclear 2023-2032 del SGC</w:t>
      </w:r>
      <w:r w:rsidRPr="3B424C1C" w:rsidR="10246EC9">
        <w:rPr>
          <w:lang w:val="es-ES"/>
        </w:rPr>
        <w:t xml:space="preserve">, en articulación con las entidades de los sectores </w:t>
      </w:r>
      <w:r w:rsidRPr="3B424C1C" w:rsidR="32CAD487">
        <w:rPr>
          <w:lang w:val="es-ES"/>
        </w:rPr>
        <w:t>de</w:t>
      </w:r>
      <w:r w:rsidRPr="3B424C1C" w:rsidR="10246EC9">
        <w:rPr>
          <w:lang w:val="es-ES"/>
        </w:rPr>
        <w:t xml:space="preserve"> minas y ambiente</w:t>
      </w:r>
      <w:r w:rsidRPr="3B424C1C" w:rsidR="36689CD0">
        <w:rPr>
          <w:lang w:val="es-ES"/>
        </w:rPr>
        <w:t>.</w:t>
      </w:r>
    </w:p>
    <w:p w:rsidR="005612EC" w:rsidP="005612EC" w:rsidRDefault="005612EC" w14:paraId="6A9677E5" w14:textId="77777777">
      <w:pPr>
        <w:pStyle w:val="ListParagraph"/>
        <w:spacing w:after="0" w:line="240" w:lineRule="auto"/>
        <w:ind w:left="567"/>
        <w:jc w:val="both"/>
        <w:rPr>
          <w:lang w:val="es-ES"/>
        </w:rPr>
      </w:pPr>
    </w:p>
    <w:p w:rsidR="005612EC" w:rsidP="001C54B2" w:rsidRDefault="005612EC" w14:paraId="723D9D19" w14:textId="7ED78357">
      <w:pPr>
        <w:pStyle w:val="ListParagraph"/>
        <w:numPr>
          <w:ilvl w:val="0"/>
          <w:numId w:val="13"/>
        </w:numPr>
        <w:spacing w:after="0" w:line="240" w:lineRule="auto"/>
        <w:ind w:left="567" w:hanging="283"/>
        <w:jc w:val="both"/>
        <w:rPr>
          <w:lang w:val="es-ES"/>
        </w:rPr>
      </w:pPr>
      <w:r w:rsidRPr="005612EC">
        <w:rPr>
          <w:lang w:val="es-ES"/>
        </w:rPr>
        <w:t xml:space="preserve">Realizar investigaciones en áreas de reserva estratégica </w:t>
      </w:r>
      <w:r w:rsidR="0016628D">
        <w:t>y en procesos de formalización, priorizando el ciclo del agua, la gestión del riesgo y la sostenibilidad, en coordinación con la autoridad minera y bajo criterios de adaptación al cambio climático y prevención de impactos socioambientales.</w:t>
      </w:r>
    </w:p>
    <w:p w:rsidR="005612EC" w:rsidP="005612EC" w:rsidRDefault="005612EC" w14:paraId="40C0BC72" w14:textId="77777777">
      <w:pPr>
        <w:pStyle w:val="ListParagraph"/>
      </w:pPr>
    </w:p>
    <w:p w:rsidRPr="005612EC" w:rsidR="005612EC" w:rsidP="001C54B2" w:rsidRDefault="005612EC" w14:paraId="6D24FA6A" w14:textId="4B1CCA48">
      <w:pPr>
        <w:pStyle w:val="ListParagraph"/>
        <w:numPr>
          <w:ilvl w:val="0"/>
          <w:numId w:val="13"/>
        </w:numPr>
        <w:spacing w:after="0" w:line="240" w:lineRule="auto"/>
        <w:ind w:left="567" w:hanging="283"/>
        <w:jc w:val="both"/>
        <w:rPr>
          <w:lang w:val="es-ES"/>
        </w:rPr>
      </w:pPr>
      <w:r>
        <w:t xml:space="preserve">Desarrollar investigación </w:t>
      </w:r>
      <w:proofErr w:type="spellStart"/>
      <w:r>
        <w:t>geocientífica</w:t>
      </w:r>
      <w:proofErr w:type="spellEnd"/>
      <w:r>
        <w:t xml:space="preserve"> para la gestión integral del recurso hídrico y sus instrumentos de planificación de cuencas y acuíferos y articular con la política nacional</w:t>
      </w:r>
      <w:r w:rsidR="0016628D">
        <w:t xml:space="preserve"> en articulación con la Política Nacional para la Gestión Integral del Recurso Hídrico y sus instrumentos de planificación de cuencas y acuíferos, incorporando de manera prioritaria la protección de los acuíferos.</w:t>
      </w:r>
    </w:p>
    <w:p w:rsidR="7B1DC8DE" w:rsidP="7B1DC8DE" w:rsidRDefault="7B1DC8DE" w14:paraId="0B2B0D80" w14:textId="76DB18AF">
      <w:pPr>
        <w:pStyle w:val="ListParagraph"/>
        <w:spacing w:after="0" w:line="240" w:lineRule="auto"/>
        <w:ind w:left="567" w:hanging="283"/>
        <w:jc w:val="both"/>
        <w:rPr>
          <w:lang w:val="es-ES"/>
        </w:rPr>
      </w:pPr>
    </w:p>
    <w:p w:rsidR="7B1DC8DE" w:rsidP="001C54B2" w:rsidRDefault="28D50D9F" w14:paraId="7B008632" w14:textId="28082421">
      <w:pPr>
        <w:pStyle w:val="ListParagraph"/>
        <w:numPr>
          <w:ilvl w:val="0"/>
          <w:numId w:val="12"/>
        </w:numPr>
        <w:spacing w:after="0" w:line="240" w:lineRule="auto"/>
        <w:ind w:left="567" w:hanging="283"/>
        <w:jc w:val="both"/>
        <w:rPr>
          <w:lang w:val="es-ES"/>
        </w:rPr>
      </w:pPr>
      <w:r w:rsidRPr="1AF18119">
        <w:rPr>
          <w:lang w:val="es-ES"/>
        </w:rPr>
        <w:t xml:space="preserve">Implementar mejoras a la arquitectura informática institucional para garantizar la disponibilidad de la información </w:t>
      </w:r>
      <w:proofErr w:type="spellStart"/>
      <w:r w:rsidRPr="1AF18119">
        <w:rPr>
          <w:lang w:val="es-ES"/>
        </w:rPr>
        <w:t>geocientífica</w:t>
      </w:r>
      <w:proofErr w:type="spellEnd"/>
      <w:r w:rsidRPr="1AF18119">
        <w:rPr>
          <w:lang w:val="es-ES"/>
        </w:rPr>
        <w:t xml:space="preserve"> al servicio de la ciudadanía en general, a través de plataformas de fácil acceso, canales y medios de comunicación que dispone el SGC.</w:t>
      </w:r>
    </w:p>
    <w:p w:rsidRPr="005612EC" w:rsidR="005612EC" w:rsidP="005612EC" w:rsidRDefault="005612EC" w14:paraId="0AC3CD68" w14:textId="77777777">
      <w:pPr>
        <w:pStyle w:val="ListParagraph"/>
        <w:rPr>
          <w:lang w:val="es-ES"/>
        </w:rPr>
      </w:pPr>
    </w:p>
    <w:p w:rsidR="2688B6BB" w:rsidP="001C54B2" w:rsidRDefault="374C2E57" w14:paraId="54215337" w14:textId="5165F6E7">
      <w:pPr>
        <w:pStyle w:val="ListParagraph"/>
        <w:numPr>
          <w:ilvl w:val="0"/>
          <w:numId w:val="13"/>
        </w:numPr>
        <w:spacing w:after="200" w:line="240" w:lineRule="auto"/>
        <w:ind w:left="567" w:hanging="283"/>
        <w:jc w:val="both"/>
        <w:rPr>
          <w:lang w:val="es-ES"/>
        </w:rPr>
      </w:pPr>
      <w:r w:rsidRPr="7B1DC8DE">
        <w:rPr>
          <w:lang w:val="es-ES"/>
        </w:rPr>
        <w:t xml:space="preserve">Diseñar estrategias para </w:t>
      </w:r>
      <w:r w:rsidRPr="7B1DC8DE" w:rsidR="2688B6BB">
        <w:rPr>
          <w:lang w:val="es-ES"/>
        </w:rPr>
        <w:t>la integración de información geológica, geofísica, geoquímica</w:t>
      </w:r>
      <w:r w:rsidRPr="7B1DC8DE" w:rsidR="40B2ED16">
        <w:rPr>
          <w:lang w:val="es-ES"/>
        </w:rPr>
        <w:t xml:space="preserve"> y otras disciplinas</w:t>
      </w:r>
      <w:r w:rsidRPr="7B1DC8DE" w:rsidR="7D53C418">
        <w:rPr>
          <w:lang w:val="es-ES"/>
        </w:rPr>
        <w:t xml:space="preserve"> relevantes</w:t>
      </w:r>
      <w:r w:rsidRPr="7B1DC8DE" w:rsidR="40B2ED16">
        <w:rPr>
          <w:lang w:val="es-ES"/>
        </w:rPr>
        <w:t>, así como</w:t>
      </w:r>
      <w:r w:rsidRPr="7B1DC8DE" w:rsidR="119CA9D9">
        <w:rPr>
          <w:lang w:val="es-ES"/>
        </w:rPr>
        <w:t xml:space="preserve"> </w:t>
      </w:r>
      <w:r w:rsidRPr="7B1DC8DE" w:rsidR="63830824">
        <w:rPr>
          <w:lang w:val="es-ES"/>
        </w:rPr>
        <w:t xml:space="preserve">la </w:t>
      </w:r>
      <w:r w:rsidRPr="7B1DC8DE" w:rsidR="2688B6BB">
        <w:rPr>
          <w:lang w:val="es-ES"/>
        </w:rPr>
        <w:t>implementación de nuevas técnicas de adquisición de información (</w:t>
      </w:r>
      <w:r w:rsidRPr="7B1DC8DE" w:rsidR="2688B6BB">
        <w:rPr>
          <w:i/>
          <w:iCs/>
          <w:lang w:val="es-ES"/>
        </w:rPr>
        <w:t xml:space="preserve">Machine </w:t>
      </w:r>
      <w:proofErr w:type="spellStart"/>
      <w:r w:rsidRPr="7B1DC8DE" w:rsidR="2688B6BB">
        <w:rPr>
          <w:i/>
          <w:iCs/>
          <w:lang w:val="es-ES"/>
        </w:rPr>
        <w:t>Learning</w:t>
      </w:r>
      <w:proofErr w:type="spellEnd"/>
      <w:r w:rsidRPr="7B1DC8DE" w:rsidR="2688B6BB">
        <w:rPr>
          <w:lang w:val="es-ES"/>
        </w:rPr>
        <w:t xml:space="preserve">) </w:t>
      </w:r>
      <w:r w:rsidRPr="7B1DC8DE" w:rsidR="6A106882">
        <w:rPr>
          <w:lang w:val="es-ES"/>
        </w:rPr>
        <w:t>para</w:t>
      </w:r>
      <w:r w:rsidRPr="7B1DC8DE" w:rsidR="2688B6BB">
        <w:rPr>
          <w:lang w:val="es-ES"/>
        </w:rPr>
        <w:t xml:space="preserve"> reducir costos, mejorar rendimientos y potenciar el aprovechamiento de la información existente, especialmente en zonas de difícil acceso, que permita tener resultados de información en el corto tiempo y que pueda ser usada en el ordenamiento ambiental y minero.</w:t>
      </w:r>
    </w:p>
    <w:p w:rsidRPr="007567CB" w:rsidR="00C443D6" w:rsidP="00C443D6" w:rsidRDefault="00C443D6" w14:paraId="3C9B96B3" w14:textId="77777777">
      <w:pPr>
        <w:pStyle w:val="ListParagraph"/>
        <w:textAlignment w:val="baseline"/>
        <w:rPr>
          <w:rFonts w:eastAsia="Times New Roman" w:cs="Arial"/>
          <w:lang w:eastAsia="es-CO"/>
        </w:rPr>
      </w:pPr>
    </w:p>
    <w:p w:rsidR="00C443D6" w:rsidP="31226965" w:rsidRDefault="5D5A67DA" w14:paraId="3B6AC849" w14:textId="25B9EFEF">
      <w:pPr>
        <w:pStyle w:val="Heading2"/>
        <w:rPr>
          <w:lang w:val="es-ES"/>
        </w:rPr>
      </w:pPr>
      <w:bookmarkStart w:name="_Toc199511985" w:id="1024"/>
      <w:bookmarkStart w:name="_Toc1681146466" w:id="1025"/>
      <w:bookmarkStart w:name="_Toc77542673" w:id="1026"/>
      <w:bookmarkStart w:name="_Toc1025467395" w:id="1027"/>
      <w:bookmarkStart w:name="_Toc1096569831" w:id="1028"/>
      <w:bookmarkStart w:name="_Toc1357310728" w:id="1029"/>
      <w:bookmarkStart w:name="_Toc2071421392" w:id="1030"/>
      <w:bookmarkStart w:name="_Toc1456143929" w:id="1031"/>
      <w:bookmarkStart w:name="_Toc1748720765" w:id="1032"/>
      <w:bookmarkStart w:name="_Toc1840526085" w:id="1033"/>
      <w:bookmarkStart w:name="_Toc355003356" w:id="1034"/>
      <w:bookmarkStart w:name="_Toc38769041" w:id="1035"/>
      <w:bookmarkStart w:name="_Toc941500741" w:id="1036"/>
      <w:bookmarkStart w:name="_Toc1371088870" w:id="1037"/>
      <w:bookmarkStart w:name="_Toc2048884603" w:id="1038"/>
      <w:bookmarkStart w:name="_Toc188695529" w:id="1039"/>
      <w:bookmarkStart w:name="_Toc238471992" w:id="1040"/>
      <w:bookmarkStart w:name="_Toc1344502472" w:id="1041"/>
      <w:bookmarkStart w:name="_Toc236092260" w:id="1042"/>
      <w:bookmarkStart w:name="_Toc262554746" w:id="1043"/>
      <w:bookmarkStart w:name="_Toc2129134756" w:id="1044"/>
      <w:bookmarkStart w:name="_Toc1304970951" w:id="1045"/>
      <w:bookmarkStart w:name="_Toc1281209263" w:id="1046"/>
      <w:bookmarkStart w:name="_Toc873411733" w:id="1047"/>
      <w:bookmarkStart w:name="_Toc835128050" w:id="1048"/>
      <w:bookmarkStart w:name="_Toc1662625620" w:id="1049"/>
      <w:bookmarkStart w:name="_Toc1729907755" w:id="1050"/>
      <w:bookmarkStart w:name="_Toc135903140" w:id="1051"/>
      <w:bookmarkStart w:name="_Toc210292993" w:id="1052"/>
      <w:r w:rsidRPr="287A971D">
        <w:rPr>
          <w:lang w:val="es-ES"/>
        </w:rPr>
        <w:t xml:space="preserve">7. </w:t>
      </w:r>
      <w:r w:rsidRPr="287A971D" w:rsidR="5B467C1C">
        <w:rPr>
          <w:lang w:val="es-ES"/>
        </w:rPr>
        <w:t>Reindustrialización de los productos mineros</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r w:rsidRPr="005612EC" w:rsidR="005612EC">
        <w:t xml:space="preserve"> </w:t>
      </w:r>
      <w:r w:rsidRPr="005612EC" w:rsidR="005612EC">
        <w:rPr>
          <w:lang w:val="es-ES"/>
        </w:rPr>
        <w:t>transformación y generación de valor agregado en el sector minero</w:t>
      </w:r>
      <w:bookmarkEnd w:id="1052"/>
    </w:p>
    <w:p w:rsidRPr="005612EC" w:rsidR="005612EC" w:rsidP="005612EC" w:rsidRDefault="005612EC" w14:paraId="64E27517" w14:textId="77777777">
      <w:pPr>
        <w:rPr>
          <w:lang w:val="es-ES"/>
        </w:rPr>
      </w:pPr>
    </w:p>
    <w:p w:rsidR="0053053D" w:rsidP="0053053D" w:rsidRDefault="0053053D" w14:paraId="4F312B84" w14:textId="77777777">
      <w:pPr>
        <w:jc w:val="both"/>
      </w:pPr>
      <w:bookmarkStart w:name="_Hlk199522347" w:id="1053"/>
      <w:r>
        <w:t>Uno de los principales propósitos del gobierno nacional es diversificar y reindustrializar la economía colombiana. A través de la política de</w:t>
      </w:r>
      <w:r>
        <w:rPr>
          <w:rFonts w:eastAsia="Arial" w:cs="Arial"/>
          <w:szCs w:val="24"/>
        </w:rPr>
        <w:t xml:space="preserve"> Reindustrialización, establecida en el CONPES 4129 de 2023, plantea como objetivo central aumentar la generación de valor agregado en la producción de bienes y servicios para transitar de una economía dependiente de las actividades extractivas hacia un modelo productivo, sostenible e incluyente encaminada a la necesidad de fortalecer la consolidación de encadenamientos productivos entre sectores y regiones de la economía colombiana, así como su inserción en las Cadenas Globales de Valor. </w:t>
      </w:r>
    </w:p>
    <w:p w:rsidR="0053053D" w:rsidP="0053053D" w:rsidRDefault="0053053D" w14:paraId="2C5F4C8F" w14:textId="77777777">
      <w:pPr>
        <w:jc w:val="both"/>
      </w:pPr>
      <w:r>
        <w:t xml:space="preserve">A partir de los minerales se pueden fortalecer, desarrollar y expandir cadenas de valor agregado, especialmente en la refinación de metales, producción de coque, talla de gemas, productos cerámicos, arenas industriales, producción de fertilizantes, entre otros. Con esta línea, se busca incrementar la productividad de la minería en Colombia y aportar a la reindustrialización, la transición energética justa, la soberanía alimentaria, la consolidación de la infraestructura pública y el desarrollo comunitario. En línea con lo anterior este eje estratégico pretende tener en cuenta acciones como: </w:t>
      </w:r>
    </w:p>
    <w:p w:rsidR="0053053D" w:rsidP="0053053D" w:rsidRDefault="0053053D" w14:paraId="405A3CAA" w14:textId="77777777">
      <w:pPr>
        <w:jc w:val="both"/>
        <w:rPr>
          <w:rFonts w:eastAsia="Arial" w:cs="Arial"/>
          <w:b/>
          <w:bCs/>
          <w:szCs w:val="24"/>
        </w:rPr>
      </w:pPr>
      <w:r>
        <w:rPr>
          <w:rFonts w:eastAsia="Arial" w:cs="Arial"/>
          <w:b/>
          <w:bCs/>
          <w:szCs w:val="24"/>
        </w:rPr>
        <w:t>HUB para articulación intersectorial:</w:t>
      </w:r>
    </w:p>
    <w:p w:rsidR="0053053D" w:rsidP="0053053D" w:rsidRDefault="0053053D" w14:paraId="60D6218B" w14:textId="77777777">
      <w:pPr>
        <w:jc w:val="both"/>
        <w:rPr>
          <w:rFonts w:eastAsia="Arial" w:cs="Arial"/>
          <w:szCs w:val="24"/>
        </w:rPr>
      </w:pPr>
      <w:r>
        <w:rPr>
          <w:rFonts w:eastAsia="Arial" w:cs="Arial"/>
          <w:szCs w:val="24"/>
        </w:rPr>
        <w:t xml:space="preserve">El Ministerio de Minas y Energía orientará la consolidación de diversos </w:t>
      </w:r>
      <w:proofErr w:type="spellStart"/>
      <w:r>
        <w:rPr>
          <w:rFonts w:eastAsia="Arial" w:cs="Arial"/>
          <w:szCs w:val="24"/>
        </w:rPr>
        <w:t>HUBs</w:t>
      </w:r>
      <w:proofErr w:type="spellEnd"/>
      <w:r>
        <w:rPr>
          <w:rFonts w:eastAsia="Arial" w:cs="Arial"/>
          <w:szCs w:val="24"/>
        </w:rPr>
        <w:t xml:space="preserve"> sectoriales como instrumentos destinados a articular cadenas de valor alrededor de minerales estratégicos. Estos se plantean como plataformas de integración productiva, tecnológica y territorial para aprovechar el potencial de los recursos minerales en distintos sectores clave para la reindustrialización del país. Su inclusión permitirá:</w:t>
      </w:r>
    </w:p>
    <w:p w:rsidR="0053053D" w:rsidP="001C54B2" w:rsidRDefault="0053053D" w14:paraId="11D1BEE5" w14:textId="77777777">
      <w:pPr>
        <w:pStyle w:val="ListParagraph"/>
        <w:numPr>
          <w:ilvl w:val="0"/>
          <w:numId w:val="48"/>
        </w:numPr>
        <w:suppressAutoHyphens/>
        <w:autoSpaceDN w:val="0"/>
        <w:spacing w:line="256" w:lineRule="auto"/>
        <w:contextualSpacing w:val="0"/>
        <w:jc w:val="both"/>
        <w:textAlignment w:val="baseline"/>
      </w:pPr>
      <w:r>
        <w:rPr>
          <w:rStyle w:val="Strong"/>
        </w:rPr>
        <w:t xml:space="preserve">Priorizar la consolidación de </w:t>
      </w:r>
      <w:proofErr w:type="spellStart"/>
      <w:r>
        <w:rPr>
          <w:rStyle w:val="Strong"/>
        </w:rPr>
        <w:t>HUBs</w:t>
      </w:r>
      <w:proofErr w:type="spellEnd"/>
      <w:r>
        <w:rPr>
          <w:rStyle w:val="Strong"/>
        </w:rPr>
        <w:t xml:space="preserve"> de insumos agroindustriales</w:t>
      </w:r>
      <w:r>
        <w:t>, integrando los eslabones de exploración, extracción, beneficio, transformación y comercialización de minerales como roca fosfórica, rocas calcáreas, silicatos de magnesio y yeso, para la producción de fertilizantes, enmiendas y acondicionadores de suelos que fortalezcan la seguridad y soberanía alimentaria e impulsen la productividad agrícola nacional.</w:t>
      </w:r>
    </w:p>
    <w:p w:rsidR="0053053D" w:rsidP="001C54B2" w:rsidRDefault="0053053D" w14:paraId="36951229" w14:textId="77777777">
      <w:pPr>
        <w:pStyle w:val="ListParagraph"/>
        <w:numPr>
          <w:ilvl w:val="0"/>
          <w:numId w:val="48"/>
        </w:numPr>
        <w:suppressAutoHyphens/>
        <w:autoSpaceDN w:val="0"/>
        <w:spacing w:line="256" w:lineRule="auto"/>
        <w:contextualSpacing w:val="0"/>
        <w:jc w:val="both"/>
        <w:textAlignment w:val="baseline"/>
      </w:pPr>
      <w:r>
        <w:rPr>
          <w:rStyle w:val="Strong"/>
        </w:rPr>
        <w:t xml:space="preserve">Consolidar </w:t>
      </w:r>
      <w:proofErr w:type="spellStart"/>
      <w:r>
        <w:rPr>
          <w:rStyle w:val="Strong"/>
        </w:rPr>
        <w:t>HUBs</w:t>
      </w:r>
      <w:proofErr w:type="spellEnd"/>
      <w:r>
        <w:rPr>
          <w:rStyle w:val="Strong"/>
        </w:rPr>
        <w:t xml:space="preserve"> de insumos agroindustriales</w:t>
      </w:r>
      <w:r>
        <w:t xml:space="preserve"> para articular la exploración, extracción, beneficio, transformación y comercialización de minerales como roca fosfórica, rocas calcáreas, silicatos de magnesio y yeso, orientados a la producción nacional de fertilizantes y acondicionadores de suelos, en concordancia con el </w:t>
      </w:r>
      <w:r>
        <w:rPr>
          <w:rStyle w:val="Emphasis"/>
        </w:rPr>
        <w:t>PND 2022–2026</w:t>
      </w:r>
      <w:r>
        <w:t xml:space="preserve"> (Eje “Derecho Humano a la Alimentación”, Catalizador A “Disponibilidad de Alimentos”).</w:t>
      </w:r>
    </w:p>
    <w:p w:rsidR="0053053D" w:rsidP="09C2734D" w:rsidRDefault="0053053D" w14:paraId="0FE686DD" w14:textId="6E3591D6">
      <w:pPr>
        <w:pStyle w:val="ListParagraph"/>
        <w:numPr>
          <w:ilvl w:val="0"/>
          <w:numId w:val="48"/>
        </w:numPr>
        <w:suppressAutoHyphens/>
        <w:autoSpaceDN w:val="0"/>
        <w:spacing w:line="256" w:lineRule="auto"/>
        <w:jc w:val="both"/>
        <w:textAlignment w:val="baseline"/>
      </w:pPr>
      <w:r w:rsidRPr="09C2734D">
        <w:rPr>
          <w:rStyle w:val="Strong"/>
        </w:rPr>
        <w:t xml:space="preserve">Puesta en marcha de </w:t>
      </w:r>
      <w:proofErr w:type="spellStart"/>
      <w:r w:rsidRPr="09C2734D">
        <w:rPr>
          <w:rStyle w:val="Strong"/>
        </w:rPr>
        <w:t>HUBs</w:t>
      </w:r>
      <w:proofErr w:type="spellEnd"/>
      <w:r w:rsidRPr="09C2734D">
        <w:rPr>
          <w:rStyle w:val="Strong"/>
        </w:rPr>
        <w:t xml:space="preserve"> de insumos agroindustriales</w:t>
      </w:r>
      <w:r>
        <w:t xml:space="preserve">, mediante la articulación entre </w:t>
      </w:r>
      <w:proofErr w:type="spellStart"/>
      <w:r>
        <w:t>MinAgricultura</w:t>
      </w:r>
      <w:proofErr w:type="spellEnd"/>
      <w:r>
        <w:t xml:space="preserve">, </w:t>
      </w:r>
      <w:proofErr w:type="spellStart"/>
      <w:r>
        <w:t>Min</w:t>
      </w:r>
      <w:r w:rsidR="1D0DA195">
        <w:t>Energía</w:t>
      </w:r>
      <w:proofErr w:type="spellEnd"/>
      <w:r>
        <w:t xml:space="preserve"> y </w:t>
      </w:r>
      <w:proofErr w:type="spellStart"/>
      <w:r>
        <w:t>MinCiencias</w:t>
      </w:r>
      <w:proofErr w:type="spellEnd"/>
      <w:r>
        <w:t xml:space="preserve"> para el intercambio de información técnica, la validación y formación a productores, y el impulso de proyectos de I+D+i orientados al uso sostenible de minerales estratégicos en la producción de fertilizantes y acondicionadores de suelos.</w:t>
      </w:r>
    </w:p>
    <w:p w:rsidR="0053053D" w:rsidP="001C54B2" w:rsidRDefault="0053053D" w14:paraId="19D08934" w14:textId="77777777">
      <w:pPr>
        <w:pStyle w:val="ListParagraph"/>
        <w:numPr>
          <w:ilvl w:val="0"/>
          <w:numId w:val="48"/>
        </w:numPr>
        <w:suppressAutoHyphens/>
        <w:autoSpaceDN w:val="0"/>
        <w:spacing w:line="256" w:lineRule="auto"/>
        <w:contextualSpacing w:val="0"/>
        <w:jc w:val="both"/>
        <w:textAlignment w:val="baseline"/>
      </w:pPr>
      <w:r>
        <w:rPr>
          <w:rStyle w:val="Strong"/>
        </w:rPr>
        <w:t xml:space="preserve">Consolidar </w:t>
      </w:r>
      <w:proofErr w:type="spellStart"/>
      <w:r>
        <w:rPr>
          <w:rStyle w:val="Strong"/>
        </w:rPr>
        <w:t>HUBs</w:t>
      </w:r>
      <w:proofErr w:type="spellEnd"/>
      <w:r>
        <w:rPr>
          <w:rStyle w:val="Strong"/>
        </w:rPr>
        <w:t xml:space="preserve"> especializados en materiales avanzados (ej. grafeno)</w:t>
      </w:r>
      <w:r>
        <w:t xml:space="preserve"> como espacios de investigación aplicada e innovación, articulando a MinMinas, </w:t>
      </w:r>
      <w:proofErr w:type="spellStart"/>
      <w:r>
        <w:t>MinCiencias</w:t>
      </w:r>
      <w:proofErr w:type="spellEnd"/>
      <w:r>
        <w:t>, universidades, centros de investigación y empresas, para desarrollar cadenas de valor en sectores estratégicos como energía, electrónica, nuevos materiales, biomedicina y tratamiento de aguas.</w:t>
      </w:r>
    </w:p>
    <w:p w:rsidR="0053053D" w:rsidP="001C54B2" w:rsidRDefault="0053053D" w14:paraId="702C5D37" w14:textId="77777777">
      <w:pPr>
        <w:pStyle w:val="ListParagraph"/>
        <w:numPr>
          <w:ilvl w:val="0"/>
          <w:numId w:val="48"/>
        </w:numPr>
        <w:suppressAutoHyphens/>
        <w:autoSpaceDN w:val="0"/>
        <w:spacing w:line="256" w:lineRule="auto"/>
        <w:contextualSpacing w:val="0"/>
        <w:jc w:val="both"/>
        <w:textAlignment w:val="baseline"/>
      </w:pPr>
      <w:r>
        <w:rPr>
          <w:rStyle w:val="Strong"/>
        </w:rPr>
        <w:t xml:space="preserve">El papel de la ANM en los </w:t>
      </w:r>
      <w:proofErr w:type="spellStart"/>
      <w:r>
        <w:rPr>
          <w:rStyle w:val="Strong"/>
        </w:rPr>
        <w:t>HUBs</w:t>
      </w:r>
      <w:proofErr w:type="spellEnd"/>
      <w:r>
        <w:t xml:space="preserve">, es promover encadenamientos productivos con minerales estratégicos para generar valor agregado, diversificar la base productiva e impulsar su inserción en cadenas globales de valor, en línea con el </w:t>
      </w:r>
      <w:r>
        <w:rPr>
          <w:rStyle w:val="Emphasis"/>
        </w:rPr>
        <w:t>CONPES 4129 de 2023</w:t>
      </w:r>
      <w:r>
        <w:t xml:space="preserve"> y el </w:t>
      </w:r>
      <w:r>
        <w:rPr>
          <w:rStyle w:val="Emphasis"/>
        </w:rPr>
        <w:t>PND 2022–2026</w:t>
      </w:r>
      <w:r>
        <w:t>.</w:t>
      </w:r>
    </w:p>
    <w:p w:rsidR="0053053D" w:rsidP="0053053D" w:rsidRDefault="0053053D" w14:paraId="6199E344" w14:textId="77777777">
      <w:pPr>
        <w:ind w:left="360"/>
        <w:jc w:val="both"/>
        <w:rPr>
          <w:rFonts w:eastAsia="Arial" w:cs="Arial"/>
          <w:b/>
          <w:bCs/>
          <w:lang w:val="es"/>
        </w:rPr>
      </w:pPr>
      <w:r>
        <w:rPr>
          <w:rFonts w:eastAsia="Arial" w:cs="Arial"/>
          <w:b/>
          <w:bCs/>
          <w:lang w:val="es"/>
        </w:rPr>
        <w:t>Proyectos de primeras producciones y/o pilotos</w:t>
      </w:r>
    </w:p>
    <w:p w:rsidR="0053053D" w:rsidP="0053053D" w:rsidRDefault="0053053D" w14:paraId="67B08895" w14:textId="77777777">
      <w:pPr>
        <w:jc w:val="both"/>
        <w:rPr>
          <w:rFonts w:cs="Calibri"/>
        </w:rPr>
      </w:pPr>
      <w:r>
        <w:rPr>
          <w:rFonts w:ascii="Calibri" w:hAnsi="Calibri" w:cs="Calibri"/>
        </w:rPr>
        <w:t>Para aprovechar el potencial geológico del país hacia la reindustrialización, es imperativo adoptar un nuevo modelo que sitúe a la innovación y el desarrollo de capacidades locales en el centro de la estrategia. En este contexto, los proyectos de primeras producciones y las pruebas piloto se constituyen como la base crucial para superar esta dependencia. Lejos de ser tan solo etapas técnicas, estas iniciativas son plataformas promotoras que validan la viabilidad de nuevas tecnologías, productos, procesos, reducción del riesgo de las inversiones y, fundamentalmente, promueven la creación de cadenas productivas locales que son la base de un desarrollo industrial autónomo y sostenible.</w:t>
      </w:r>
    </w:p>
    <w:p w:rsidR="0053053D" w:rsidP="0053053D" w:rsidRDefault="0053053D" w14:paraId="7A74B702" w14:textId="77777777">
      <w:pPr>
        <w:jc w:val="both"/>
        <w:rPr>
          <w:rFonts w:cs="Calibri"/>
        </w:rPr>
      </w:pPr>
      <w:r>
        <w:rPr>
          <w:rFonts w:ascii="Calibri" w:hAnsi="Calibri" w:cs="Calibri"/>
        </w:rPr>
        <w:t>Para el país, el propósito de fomentar estas iniciativas va más allá de la validación técnica, siendo el resultado esperado lograr sentar las bases de la reindustrialización a través de 5 ejes fundamentales:</w:t>
      </w:r>
    </w:p>
    <w:p w:rsidR="0053053D" w:rsidP="001C54B2" w:rsidRDefault="0053053D" w14:paraId="6A9DC3BB" w14:textId="77777777">
      <w:pPr>
        <w:numPr>
          <w:ilvl w:val="0"/>
          <w:numId w:val="49"/>
        </w:numPr>
        <w:suppressAutoHyphens/>
        <w:autoSpaceDN w:val="0"/>
        <w:spacing w:line="256" w:lineRule="auto"/>
        <w:jc w:val="both"/>
        <w:textAlignment w:val="baseline"/>
      </w:pPr>
      <w:r>
        <w:rPr>
          <w:rFonts w:ascii="Calibri" w:hAnsi="Calibri" w:eastAsia="Times New Roman" w:cs="Calibri"/>
          <w:b/>
        </w:rPr>
        <w:t>Soberanía tecnológica:</w:t>
      </w:r>
      <w:r>
        <w:rPr>
          <w:rFonts w:ascii="Calibri" w:hAnsi="Calibri" w:eastAsia="Times New Roman" w:cs="Calibri"/>
        </w:rPr>
        <w:t xml:space="preserve"> Validar y adaptar tecnologías de vanguardia y sostenibles en el territorio naciona</w:t>
      </w:r>
      <w:r>
        <w:rPr>
          <w:rFonts w:ascii="Calibri" w:hAnsi="Calibri" w:cs="Calibri"/>
        </w:rPr>
        <w:t>l</w:t>
      </w:r>
      <w:r>
        <w:rPr>
          <w:rFonts w:ascii="Calibri" w:hAnsi="Calibri" w:eastAsia="Times New Roman" w:cs="Calibri"/>
        </w:rPr>
        <w:t xml:space="preserve">, que </w:t>
      </w:r>
      <w:r>
        <w:rPr>
          <w:rFonts w:ascii="Calibri" w:hAnsi="Calibri" w:cs="Calibri"/>
        </w:rPr>
        <w:t xml:space="preserve">mitiguen </w:t>
      </w:r>
      <w:r>
        <w:rPr>
          <w:rFonts w:ascii="Calibri" w:hAnsi="Calibri" w:eastAsia="Times New Roman" w:cs="Calibri"/>
        </w:rPr>
        <w:t>riesgos ambientales y operativos antes de su escalabilidad industrial</w:t>
      </w:r>
      <w:r>
        <w:rPr>
          <w:rFonts w:ascii="Calibri" w:hAnsi="Calibri" w:cs="Calibri"/>
        </w:rPr>
        <w:t>. Esto reduce la dependencia de soluciones importadas y fortalece el ecosistema de innovación local.</w:t>
      </w:r>
    </w:p>
    <w:p w:rsidR="0053053D" w:rsidP="001C54B2" w:rsidRDefault="0053053D" w14:paraId="416ACE73" w14:textId="77777777">
      <w:pPr>
        <w:numPr>
          <w:ilvl w:val="0"/>
          <w:numId w:val="49"/>
        </w:numPr>
        <w:suppressAutoHyphens/>
        <w:autoSpaceDN w:val="0"/>
        <w:spacing w:line="256" w:lineRule="auto"/>
        <w:jc w:val="both"/>
        <w:textAlignment w:val="baseline"/>
      </w:pPr>
      <w:r>
        <w:rPr>
          <w:rStyle w:val="citation-67"/>
          <w:rFonts w:ascii="Calibri" w:hAnsi="Calibri" w:eastAsia="Times New Roman" w:cs="Calibri"/>
          <w:b/>
        </w:rPr>
        <w:t>Generar cadenas de valor agregado</w:t>
      </w:r>
      <w:r>
        <w:rPr>
          <w:rStyle w:val="citation-67"/>
          <w:rFonts w:ascii="Calibri" w:hAnsi="Calibri" w:eastAsia="Times New Roman" w:cs="Calibri"/>
        </w:rPr>
        <w:t xml:space="preserve">: </w:t>
      </w:r>
      <w:r>
        <w:rPr>
          <w:rFonts w:ascii="Calibri" w:hAnsi="Calibri" w:cs="Calibri"/>
        </w:rPr>
        <w:t>Fomentar el procesamiento local de minerales estratégicos para la producción de insumos clave destinados a la transición energética, la soberanía alimentaria y el desarrollo de la infraestructura pública. Esto se logrará a través del impulso de proyectos piloto que permitan indagar su viabilidad técnica, económica, social y ambiental, identificar oportunidades de innovación tecnológica, fortalecer las capacidades de la industria nacional y crear esquemas de articulación entre el Estado, la academia y el sector privado.</w:t>
      </w:r>
    </w:p>
    <w:p w:rsidR="0053053D" w:rsidP="001C54B2" w:rsidRDefault="0053053D" w14:paraId="397EF2BC" w14:textId="77777777">
      <w:pPr>
        <w:pStyle w:val="NormalWeb"/>
        <w:numPr>
          <w:ilvl w:val="0"/>
          <w:numId w:val="49"/>
        </w:numPr>
        <w:suppressAutoHyphens/>
        <w:autoSpaceDN w:val="0"/>
        <w:spacing w:beforeAutospacing="0" w:afterAutospacing="0"/>
        <w:textAlignment w:val="baseline"/>
      </w:pPr>
      <w:r>
        <w:rPr>
          <w:rStyle w:val="citation-66"/>
          <w:rFonts w:ascii="Calibri" w:hAnsi="Calibri" w:cs="Calibri"/>
          <w:b/>
          <w:sz w:val="22"/>
          <w:szCs w:val="22"/>
        </w:rPr>
        <w:t>Construir soberanía y resiliencia:</w:t>
      </w:r>
      <w:r>
        <w:rPr>
          <w:rStyle w:val="citation-66"/>
          <w:rFonts w:ascii="Calibri" w:hAnsi="Calibri" w:cs="Calibri"/>
          <w:sz w:val="22"/>
          <w:szCs w:val="22"/>
        </w:rPr>
        <w:t xml:space="preserve"> Reducir la dependencia de insumos importados, contribuyendo a proteger la economía nacional de las volatilidades de las cadenas de suministro globales.</w:t>
      </w:r>
    </w:p>
    <w:p w:rsidR="0053053D" w:rsidP="001C54B2" w:rsidRDefault="0053053D" w14:paraId="5632F1C9" w14:textId="77777777">
      <w:pPr>
        <w:pStyle w:val="NormalWeb"/>
        <w:numPr>
          <w:ilvl w:val="0"/>
          <w:numId w:val="49"/>
        </w:numPr>
        <w:suppressAutoHyphens/>
        <w:autoSpaceDN w:val="0"/>
        <w:spacing w:beforeAutospacing="0" w:afterAutospacing="0"/>
        <w:textAlignment w:val="baseline"/>
      </w:pPr>
      <w:r>
        <w:rPr>
          <w:rFonts w:ascii="Calibri" w:hAnsi="Calibri" w:cs="Calibri"/>
          <w:b/>
          <w:sz w:val="22"/>
          <w:szCs w:val="22"/>
        </w:rPr>
        <w:t>Construcción de confianza social:</w:t>
      </w:r>
      <w:r>
        <w:rPr>
          <w:rFonts w:ascii="Calibri" w:hAnsi="Calibri" w:cs="Calibri"/>
          <w:sz w:val="22"/>
          <w:szCs w:val="22"/>
        </w:rPr>
        <w:t xml:space="preserve"> Emplear los proyectos piloto como instrumentos para demostrar un compromiso genuino con la sostenibilidad, el uso eficiente del agua y la reducción de la huella de carbono. La transparencia en esta etapa es clave para construir y asegurar la "licencia social y ambiental para operar", el activo más importante de cualquier proyecto a largo plazo.</w:t>
      </w:r>
    </w:p>
    <w:p w:rsidR="0053053D" w:rsidP="001C54B2" w:rsidRDefault="0053053D" w14:paraId="7B727D8A" w14:textId="77777777">
      <w:pPr>
        <w:pStyle w:val="NormalWeb"/>
        <w:numPr>
          <w:ilvl w:val="0"/>
          <w:numId w:val="49"/>
        </w:numPr>
        <w:suppressAutoHyphens/>
        <w:autoSpaceDN w:val="0"/>
        <w:spacing w:beforeAutospacing="0" w:afterAutospacing="0"/>
        <w:textAlignment w:val="baseline"/>
      </w:pPr>
      <w:r>
        <w:rPr>
          <w:rStyle w:val="citation-65"/>
          <w:rFonts w:ascii="Calibri" w:hAnsi="Calibri" w:cs="Calibri"/>
          <w:b/>
          <w:sz w:val="22"/>
          <w:szCs w:val="22"/>
        </w:rPr>
        <w:t>Desarrollar capacidades locales:</w:t>
      </w:r>
      <w:r>
        <w:rPr>
          <w:rStyle w:val="citation-65"/>
          <w:rFonts w:ascii="Calibri" w:hAnsi="Calibri" w:cs="Calibri"/>
          <w:sz w:val="22"/>
          <w:szCs w:val="22"/>
        </w:rPr>
        <w:t xml:space="preserve"> Integrar a las pequeñas y medianas empresas (</w:t>
      </w:r>
      <w:proofErr w:type="spellStart"/>
      <w:r>
        <w:rPr>
          <w:rStyle w:val="citation-65"/>
          <w:rFonts w:ascii="Calibri" w:hAnsi="Calibri" w:cs="Calibri"/>
          <w:sz w:val="22"/>
          <w:szCs w:val="22"/>
        </w:rPr>
        <w:t>PyMEs</w:t>
      </w:r>
      <w:proofErr w:type="spellEnd"/>
      <w:r>
        <w:rPr>
          <w:rStyle w:val="citation-65"/>
          <w:rFonts w:ascii="Calibri" w:hAnsi="Calibri" w:cs="Calibri"/>
          <w:sz w:val="22"/>
          <w:szCs w:val="22"/>
        </w:rPr>
        <w:t>) nacionales como proveedoras de bienes y servicios en estas etapas tempranas, creando un ecosistema industrial robusto.</w:t>
      </w:r>
    </w:p>
    <w:p w:rsidR="0053053D" w:rsidP="0053053D" w:rsidRDefault="0053053D" w14:paraId="724708F2" w14:textId="77777777">
      <w:pPr>
        <w:jc w:val="both"/>
      </w:pPr>
      <w:r>
        <w:t>Para materializar esta visión, se propone un plan de acción escalonado para el fomento de proyectos de primeras producciones y pruebas piloto.</w:t>
      </w:r>
    </w:p>
    <w:p w:rsidR="0053053D" w:rsidP="0053053D" w:rsidRDefault="0053053D" w14:paraId="2A2F28D2" w14:textId="77777777">
      <w:pPr>
        <w:jc w:val="both"/>
      </w:pPr>
      <w:r>
        <w:rPr>
          <w:rStyle w:val="Strong"/>
        </w:rPr>
        <w:t>Acciones a Corto Plazo (1–2 años): Creación del marco habilitador.</w:t>
      </w:r>
      <w:r>
        <w:t xml:space="preserve"> En esta etapa se propone diseñar un régimen de incentivos regulatorios y fiscales —como créditos fiscales y depreciación acelerada— que estimule proyectos piloto con enfoque en innovación, sostenibilidad e integración de proveedores locales, garantizando al mismo tiempo seguridad jurídica y una hoja de ruta clara. De manera complementaria, se plantea destinar recursos del Fondo de Fomento Minero (FONMIN) para cofinanciar proyectos piloto y primeras producciones, priorizando aquellos desarrollados en alianza entre el sector privado, las universidades y los centros de investigación. Finalmente, se prevé la conformación de mesas de diálogo y coordinación como plataformas permanentes de articulación entre gobierno, industria, academia y comunidades, con el fin de alinear los proyectos piloto con el Plan Nacional de Desarrollo, la política de Reindustrialización y las necesidades regionales.</w:t>
      </w:r>
    </w:p>
    <w:p w:rsidR="0053053D" w:rsidP="0053053D" w:rsidRDefault="0053053D" w14:paraId="6E3DD255" w14:textId="77777777">
      <w:pPr>
        <w:jc w:val="both"/>
      </w:pPr>
      <w:r>
        <w:rPr>
          <w:rStyle w:val="Strong"/>
        </w:rPr>
        <w:t>Acciones a Mediano Plazo (2–5 años): Desarrollo de Capacidades.</w:t>
      </w:r>
      <w:r>
        <w:t xml:space="preserve"> Esta etapa contempla la puesta en marcha de los primeros proyectos piloto para validar tecnologías en minerales clave para la transición energética y la soberanía alimentaria. Se promoverán programas de desarrollo de proveedores locales que integren a las </w:t>
      </w:r>
      <w:proofErr w:type="spellStart"/>
      <w:r>
        <w:t>PyMEs</w:t>
      </w:r>
      <w:proofErr w:type="spellEnd"/>
      <w:r>
        <w:t xml:space="preserve"> en cadenas productivas mediante planes de </w:t>
      </w:r>
      <w:proofErr w:type="spellStart"/>
      <w:r>
        <w:rPr>
          <w:rStyle w:val="Emphasis"/>
        </w:rPr>
        <w:t>co-desarrollo</w:t>
      </w:r>
      <w:proofErr w:type="spellEnd"/>
      <w:r>
        <w:t>, así como el fortalecimiento de la infraestructura de I+D+i en universidades con plantas piloto que faciliten la conexión entre investigación y reindustrialización. Los resultados servirán de base para nuevas políticas públicas orientadas a diversificar la matriz productiva y generar materiales de mayor valor agregado. Finalmente, se impulsará la economía circular desde la fase piloto, con proyectos que recuperen minerales de relaves y residuos, convirtiendo pasivos ambientales en oportunidades económicas.</w:t>
      </w:r>
    </w:p>
    <w:p w:rsidR="0053053D" w:rsidP="001C54B2" w:rsidRDefault="0053053D" w14:paraId="54BB031C" w14:textId="77777777">
      <w:pPr>
        <w:pStyle w:val="ListParagraph"/>
        <w:numPr>
          <w:ilvl w:val="0"/>
          <w:numId w:val="48"/>
        </w:numPr>
        <w:suppressAutoHyphens/>
        <w:autoSpaceDN w:val="0"/>
        <w:spacing w:line="256" w:lineRule="auto"/>
        <w:contextualSpacing w:val="0"/>
        <w:jc w:val="both"/>
        <w:textAlignment w:val="baseline"/>
      </w:pPr>
      <w:r>
        <w:rPr>
          <w:rFonts w:eastAsia="Arial" w:cs="Arial"/>
          <w:b/>
          <w:bCs/>
        </w:rPr>
        <w:t>Proveeduría y Encadenamientos</w:t>
      </w:r>
    </w:p>
    <w:p w:rsidR="0053053D" w:rsidP="0053053D" w:rsidRDefault="0053053D" w14:paraId="2573294F" w14:textId="77777777">
      <w:pPr>
        <w:jc w:val="both"/>
      </w:pPr>
      <w:r w:rsidRPr="7B1DC8DE">
        <w:rPr>
          <w:rFonts w:eastAsia="Times New Roman"/>
          <w:lang w:val="es-ES"/>
        </w:rPr>
        <w:t>El CONPES 4129 de Reindustrialización refiere diseñar e implementar una estrategia de descarbonización, reconversión laboral y diversificación productiva para las regiones donde se proyecta disminución en la producción de combustibles fósiles, fortaleciendo acciones y capacidades que promuevan la sostenibilidad de los territorios donde se desarrollan estas actividades, hacía la reindustrialización. Específicamente, establece acciones encaminadas a identificar y fortalecer aglomeraciones y cadenas de proveeduría mineras con una visión enfocada en la reindustrialización, con especial énfasis en los Distritos Mineros Especiales para la Diversificación Productiva delimitados según el artículo 281 la Ley 2294 de 2023 del Plan Nacional de Desarrollo 2022 – 2026, con el objetivo de realizar un análisis sectorial que permita priorizar aglomeraciones y/o cadenas de proveeduría, diseñar hojas de ruta con acciones de corto, mediano y largo plazo para las aglomeraciones y desarrollar planes de mejoramiento para la cadena de proveeduría.</w:t>
      </w:r>
    </w:p>
    <w:p w:rsidR="0053053D" w:rsidP="0053053D" w:rsidRDefault="0053053D" w14:paraId="4E0470E6" w14:textId="77777777">
      <w:pPr>
        <w:spacing w:after="0"/>
        <w:jc w:val="both"/>
      </w:pPr>
      <w:r>
        <w:rPr>
          <w:rFonts w:eastAsia="Times New Roman"/>
          <w:lang w:val="es"/>
        </w:rPr>
        <w:t>En este contexto, el Ministerio de Minas y Energía de Colombia reconoce la necesidad de transformar y fortalecer el sector industrial del país, alineando la extracción y procesamiento de minerales estratégicos con el impulso a la innovación, la sostenibilidad y la competitividad de la industria nacional. En este sentido, uno de los principales retos es integrar de manera efectiva a las agregaciones productivas y las cadenas de proveeduría minera dentro de un modelo industrial más diversificado, innovador y de mayor valor agregado</w:t>
      </w:r>
      <w:r>
        <w:rPr>
          <w:rFonts w:eastAsia="Times New Roman"/>
        </w:rPr>
        <w:t>.</w:t>
      </w:r>
    </w:p>
    <w:p w:rsidR="0053053D" w:rsidP="0053053D" w:rsidRDefault="0053053D" w14:paraId="1B6C000C" w14:textId="77777777">
      <w:pPr>
        <w:spacing w:after="0"/>
        <w:jc w:val="both"/>
        <w:rPr>
          <w:rFonts w:eastAsia="Times New Roman"/>
          <w:lang w:val="es"/>
        </w:rPr>
      </w:pPr>
    </w:p>
    <w:p w:rsidR="0053053D" w:rsidP="0053053D" w:rsidRDefault="0053053D" w14:paraId="194A93B2" w14:textId="77777777">
      <w:pPr>
        <w:spacing w:after="0"/>
        <w:jc w:val="both"/>
      </w:pPr>
      <w:r>
        <w:rPr>
          <w:rFonts w:eastAsia="Times New Roman"/>
        </w:rPr>
        <w:t xml:space="preserve">Dado lo anterior, la Dirección de Minería Empresarial, definió como uno de sus objetivos específicos </w:t>
      </w:r>
      <w:r>
        <w:rPr>
          <w:rFonts w:eastAsia="Times New Roman"/>
          <w:lang w:val="es"/>
        </w:rPr>
        <w:t>“</w:t>
      </w:r>
      <w:r>
        <w:rPr>
          <w:rFonts w:eastAsia="Times New Roman"/>
          <w:i/>
          <w:iCs/>
          <w:lang w:val="es"/>
        </w:rPr>
        <w:t>Promover la reindustrialización y las cadenas de valor agregado a partir de la innovación y la minería circular</w:t>
      </w:r>
      <w:r>
        <w:rPr>
          <w:rFonts w:eastAsia="Times New Roman"/>
          <w:lang w:val="es"/>
        </w:rPr>
        <w:t>”, mediante las siguientes acciones:</w:t>
      </w:r>
    </w:p>
    <w:p w:rsidR="0053053D" w:rsidP="0053053D" w:rsidRDefault="0053053D" w14:paraId="5D10C424" w14:textId="77777777">
      <w:pPr>
        <w:spacing w:before="120" w:after="120"/>
        <w:ind w:left="708"/>
        <w:jc w:val="both"/>
        <w:rPr>
          <w:rFonts w:eastAsia="Times New Roman"/>
          <w:lang w:val="es"/>
        </w:rPr>
      </w:pPr>
      <w:r>
        <w:rPr>
          <w:rFonts w:eastAsia="Times New Roman"/>
          <w:lang w:val="es"/>
        </w:rPr>
        <w:t>a) Desarrollar aglomeraciones y cadenas de proveeduría mineras con una visión enfocada en la reindustrialización.</w:t>
      </w:r>
    </w:p>
    <w:p w:rsidR="0053053D" w:rsidP="0053053D" w:rsidRDefault="0053053D" w14:paraId="674186EC" w14:textId="77777777">
      <w:pPr>
        <w:spacing w:before="120" w:after="120"/>
        <w:ind w:left="708"/>
        <w:jc w:val="both"/>
        <w:rPr>
          <w:rFonts w:eastAsia="Times New Roman"/>
          <w:lang w:val="es"/>
        </w:rPr>
      </w:pPr>
      <w:r>
        <w:rPr>
          <w:rFonts w:eastAsia="Times New Roman"/>
          <w:lang w:val="es"/>
        </w:rPr>
        <w:t>b). Fortalecer estrategias de asociatividad, competitividad y sostenibilidad del sector minero-energético.</w:t>
      </w:r>
    </w:p>
    <w:p w:rsidR="0053053D" w:rsidP="0053053D" w:rsidRDefault="0053053D" w14:paraId="57E1F083" w14:textId="77777777">
      <w:pPr>
        <w:spacing w:before="120" w:after="120"/>
        <w:ind w:left="708"/>
        <w:jc w:val="both"/>
        <w:rPr>
          <w:rFonts w:eastAsia="Times New Roman"/>
          <w:lang w:val="es"/>
        </w:rPr>
      </w:pPr>
      <w:r>
        <w:rPr>
          <w:rFonts w:eastAsia="Times New Roman"/>
          <w:lang w:val="es"/>
        </w:rPr>
        <w:t>c) Generar cadenas productivas de bienes y servicios con alta capacidad de generación de valor agregado y procesos de minería con énfasis en economía circular.</w:t>
      </w:r>
    </w:p>
    <w:p w:rsidR="0053053D" w:rsidP="0053053D" w:rsidRDefault="0053053D" w14:paraId="11D4B732" w14:textId="77777777">
      <w:pPr>
        <w:spacing w:after="0"/>
        <w:ind w:left="708"/>
        <w:jc w:val="both"/>
        <w:rPr>
          <w:rFonts w:eastAsia="Times New Roman"/>
          <w:lang w:val="es"/>
        </w:rPr>
      </w:pPr>
      <w:r>
        <w:rPr>
          <w:rFonts w:eastAsia="Times New Roman"/>
          <w:lang w:val="es"/>
        </w:rPr>
        <w:t>d) Desarrollar estrategias para la participación estatal en el aprovechamiento y la comercialización de minerales estratégicos para la reindustrialización.</w:t>
      </w:r>
    </w:p>
    <w:p w:rsidR="0053053D" w:rsidP="0053053D" w:rsidRDefault="0053053D" w14:paraId="2884B855" w14:textId="77777777">
      <w:pPr>
        <w:jc w:val="both"/>
        <w:rPr>
          <w:rFonts w:eastAsia="Times New Roman"/>
        </w:rPr>
      </w:pPr>
    </w:p>
    <w:p w:rsidR="0053053D" w:rsidP="0053053D" w:rsidRDefault="0053053D" w14:paraId="06A04D14" w14:textId="77777777">
      <w:pPr>
        <w:jc w:val="both"/>
      </w:pPr>
      <w:r>
        <w:rPr>
          <w:rFonts w:eastAsia="Times New Roman"/>
        </w:rPr>
        <w:t xml:space="preserve">Para ello, el Ministerio adelanta acciones que permitan el </w:t>
      </w:r>
      <w:r>
        <w:rPr>
          <w:rFonts w:eastAsia="Times New Roman"/>
          <w:lang w:val="es"/>
        </w:rPr>
        <w:t>fortalecimiento de las aglomeraciones y cadenas de proveeduría mineras, generando redes de innovación y procesos productivos de minerales estratégicos con cadenas de valor agregado a través de la minería circular, aportando a la descarbonización, la diversificación productiva de las regiones y la transición energética justa del sector minero. Estas acciones buscan aportar a la consolidación de una economía productiva, industrializada, inclusiva y sostenible, a través de la creación y fortalecimiento de estrategias de proveeduría orientadas al crecimiento de las capacidades técnicas de las empresas mineras y al fortalecimiento de clústeres del sector.</w:t>
      </w:r>
    </w:p>
    <w:p w:rsidR="0053053D" w:rsidP="0053053D" w:rsidRDefault="0053053D" w14:paraId="4EB9B495" w14:textId="77777777">
      <w:pPr>
        <w:spacing w:before="120" w:after="120"/>
        <w:jc w:val="both"/>
        <w:rPr>
          <w:rFonts w:cs="Calibri"/>
        </w:rPr>
      </w:pPr>
      <w:r>
        <w:rPr>
          <w:rFonts w:ascii="Calibri" w:hAnsi="Calibri" w:eastAsia="Calibri" w:cs="Calibri"/>
        </w:rPr>
        <w:t>El desarrollo de las estrategias de proveeduría minera, clúster/aglomeraciones y de reindustrialización de los minerales estratégicos y sus productos derivados y/o asociados propenden por alcanzar la soberanía alimentaria a través del uso de aquellos minerales determinantes en los procesos de fertilización, así como, reindustrialización intensiva en conocimiento y tecnología de aquellos minerales que permitan la creación de nuevas industrias en el país.</w:t>
      </w:r>
    </w:p>
    <w:p w:rsidR="0053053D" w:rsidP="0053053D" w:rsidRDefault="0053053D" w14:paraId="45519A6F" w14:textId="77777777">
      <w:pPr>
        <w:jc w:val="both"/>
        <w:rPr>
          <w:rFonts w:eastAsia="Arial" w:cs="Arial"/>
          <w:b/>
          <w:bCs/>
        </w:rPr>
      </w:pPr>
      <w:r>
        <w:rPr>
          <w:rFonts w:eastAsia="Arial" w:cs="Arial"/>
          <w:b/>
          <w:bCs/>
        </w:rPr>
        <w:t>Papel de entidades del sector:</w:t>
      </w:r>
    </w:p>
    <w:p w:rsidR="0053053D" w:rsidP="0053053D" w:rsidRDefault="0053053D" w14:paraId="669E7A26" w14:textId="77777777">
      <w:pPr>
        <w:jc w:val="both"/>
        <w:rPr>
          <w:rFonts w:eastAsia="Arial" w:cs="Arial"/>
        </w:rPr>
      </w:pPr>
      <w:r>
        <w:rPr>
          <w:rFonts w:eastAsia="Arial" w:cs="Arial"/>
        </w:rPr>
        <w:t xml:space="preserve">La participación de las entidades del sector minero del gobierno en la reindustrialización del país es decisiva, pues requiere de una articulación que establezca las condiciones necesarias para que este proceso se desarrolle de manera ordenada y sostenible. Desde su rol, no solo definen los marcos regulatorios que garantizan la transparencia y la formalización de la actividad minera, sino que también actúan como articuladoras entre distintos sectores de la economía, facilitando la conexión entre la minería, la industria, la academia y las comunidades. Así las cosas, el papel de las diferentes entidades del sector serán: </w:t>
      </w:r>
    </w:p>
    <w:p w:rsidR="0053053D" w:rsidP="001C54B2" w:rsidRDefault="0053053D" w14:paraId="68C0FE3C" w14:textId="77777777">
      <w:pPr>
        <w:pStyle w:val="ListParagraph"/>
        <w:numPr>
          <w:ilvl w:val="0"/>
          <w:numId w:val="50"/>
        </w:numPr>
        <w:suppressAutoHyphens/>
        <w:autoSpaceDN w:val="0"/>
        <w:spacing w:after="0" w:line="256" w:lineRule="auto"/>
        <w:contextualSpacing w:val="0"/>
        <w:jc w:val="both"/>
        <w:textAlignment w:val="baseline"/>
      </w:pPr>
      <w:r>
        <w:rPr>
          <w:rFonts w:ascii="Calibri" w:hAnsi="Calibri" w:eastAsia="Calibri" w:cs="Calibri"/>
          <w:b/>
        </w:rPr>
        <w:t>Agencia Nacional de Minería (ANM):</w:t>
      </w:r>
      <w:r>
        <w:rPr>
          <w:rFonts w:ascii="Calibri" w:hAnsi="Calibri" w:eastAsia="Calibri" w:cs="Calibri"/>
        </w:rPr>
        <w:t xml:space="preserve"> tiene la responsabilidad de ajustar los criterios establecidos para la asignación de áreas estratégicas mineras delimitadas y declaradas para minerales como: cobre, fosfatos, oro y carbón, etc. A través del establecimiento de los Términos de Referencia y minutas contractuales, se encarga de la asignación de áreas estratégicas mineras que sean declaradas para otros minerales estratégicos, con la consideración de cadenas de valor agregado. </w:t>
      </w:r>
    </w:p>
    <w:p w:rsidR="0053053D" w:rsidP="001C54B2" w:rsidRDefault="0053053D" w14:paraId="4EE63C5B" w14:textId="77777777">
      <w:pPr>
        <w:pStyle w:val="ListParagraph"/>
        <w:numPr>
          <w:ilvl w:val="0"/>
          <w:numId w:val="50"/>
        </w:numPr>
        <w:suppressAutoHyphens/>
        <w:autoSpaceDN w:val="0"/>
        <w:spacing w:line="256" w:lineRule="auto"/>
        <w:contextualSpacing w:val="0"/>
        <w:jc w:val="both"/>
        <w:textAlignment w:val="baseline"/>
      </w:pPr>
      <w:r>
        <w:rPr>
          <w:rFonts w:ascii="Calibri" w:hAnsi="Calibri" w:eastAsia="Calibri" w:cs="Calibri"/>
          <w:b/>
        </w:rPr>
        <w:t>Unidad de Planeación Minero ​Energética (UPME):</w:t>
      </w:r>
      <w:r>
        <w:rPr>
          <w:rFonts w:ascii="Calibri" w:hAnsi="Calibri" w:eastAsia="Calibri" w:cs="Calibri"/>
        </w:rPr>
        <w:t xml:space="preserve">  encargada de la política energética nacional y del Plan Estratégico De Industrialización 2024-2054. Su labor es la identificación de apuestas y metas de largo plazo para la transformación estructural del sistema energético colombiano hacia una transición energética justa, bajo el planteamiento de alternativas tecnológicas, metas ambientales, diversificación energética, competitividad y sostenibilidad ambiental. Este plan estratégico, se plantea bajo la necesidad de aportar en la construcción de uno de los eslabones claves para habilitar la materialización de esas metas, la reindustrialización.</w:t>
      </w:r>
    </w:p>
    <w:p w:rsidR="0053053D" w:rsidP="001C54B2" w:rsidRDefault="0053053D" w14:paraId="71A652DC" w14:textId="77777777">
      <w:pPr>
        <w:pStyle w:val="ListParagraph"/>
        <w:numPr>
          <w:ilvl w:val="0"/>
          <w:numId w:val="50"/>
        </w:numPr>
        <w:suppressAutoHyphens/>
        <w:autoSpaceDN w:val="0"/>
        <w:spacing w:line="256" w:lineRule="auto"/>
        <w:contextualSpacing w:val="0"/>
        <w:jc w:val="both"/>
        <w:textAlignment w:val="baseline"/>
      </w:pPr>
      <w:r>
        <w:rPr>
          <w:b/>
        </w:rPr>
        <w:t>Servicio Geológico Colombiano (</w:t>
      </w:r>
      <w:r>
        <w:rPr>
          <w:rFonts w:ascii="Calibri" w:hAnsi="Calibri" w:eastAsia="Calibri" w:cs="Calibri"/>
          <w:b/>
          <w:lang w:val="es"/>
        </w:rPr>
        <w:t xml:space="preserve">SGC): </w:t>
      </w:r>
      <w:r>
        <w:rPr>
          <w:rFonts w:ascii="Calibri" w:hAnsi="Calibri" w:eastAsia="Calibri" w:cs="Calibri"/>
          <w:lang w:val="es"/>
        </w:rPr>
        <w:t>encargada de actualizar de manera bienal el Atlas Geoquímico de Colombia (AGC)</w:t>
      </w:r>
      <w:r>
        <w:rPr>
          <w:rFonts w:ascii="Calibri" w:hAnsi="Calibri" w:eastAsia="Calibri" w:cs="Calibri"/>
          <w:vertAlign w:val="superscript"/>
          <w:lang w:val="es"/>
        </w:rPr>
        <w:t>[3]</w:t>
      </w:r>
      <w:r>
        <w:rPr>
          <w:rFonts w:ascii="Calibri" w:hAnsi="Calibri" w:eastAsia="Calibri" w:cs="Calibri"/>
          <w:lang w:val="es"/>
        </w:rPr>
        <w:t>. Con la colección de mapas temáticos como el proyecto más representativo en términos de objetivos y cubrimiento del territorio; sus datos de más de 100 años de exploración geoquímica multipropósito en el país, permitirán brindar información valiosa sobre los minerales en áreas estratégicas.</w:t>
      </w:r>
      <w:r>
        <w:rPr>
          <w:rFonts w:eastAsia="Arial" w:cs="Arial"/>
          <w:lang w:val="es"/>
        </w:rPr>
        <w:t xml:space="preserve"> </w:t>
      </w:r>
    </w:p>
    <w:p w:rsidR="0053053D" w:rsidP="0053053D" w:rsidRDefault="0053053D" w14:paraId="14C5C007" w14:textId="77777777">
      <w:pPr>
        <w:jc w:val="both"/>
        <w:rPr>
          <w:rFonts w:eastAsia="Arial" w:cs="Arial"/>
        </w:rPr>
      </w:pPr>
      <w:r w:rsidRPr="7B1DC8DE">
        <w:rPr>
          <w:rFonts w:eastAsia="Arial" w:cs="Arial"/>
        </w:rPr>
        <w:t>Bajo esta línea estratégica, se busca incrementar la productividad del sector minero en Colombia y aportar a la reindustrialización, la transición energética justa, la soberanía alimentaria y la consolidación de cadenas productivas de alto valor agregado, en cumplimiento de la Política de Reindustrialización. Desde la presente política pública minera, se avanzará en los siguientes lineamientos:</w:t>
      </w:r>
    </w:p>
    <w:p w:rsidRPr="00E32ACE" w:rsidR="7C069907" w:rsidP="001C54B2" w:rsidRDefault="7C069907" w14:paraId="3AE433B9" w14:textId="7990F414">
      <w:pPr>
        <w:pStyle w:val="ListParagraph"/>
        <w:numPr>
          <w:ilvl w:val="0"/>
          <w:numId w:val="51"/>
        </w:numPr>
        <w:spacing w:after="0" w:line="240" w:lineRule="auto"/>
        <w:jc w:val="both"/>
        <w:rPr>
          <w:lang w:val="es"/>
        </w:rPr>
      </w:pPr>
      <w:r w:rsidRPr="00E32ACE">
        <w:rPr>
          <w:lang w:val="es"/>
        </w:rPr>
        <w:t>Impulsar una hoja de ruta para la transformación y generación de cadenas productivas de Minerales de tradición y estratégicos nacionales a partir de la identificación prospectiva y/o potencial mineral en el país.</w:t>
      </w:r>
    </w:p>
    <w:p w:rsidRPr="00E32ACE" w:rsidR="7B1DC8DE" w:rsidP="7B1DC8DE" w:rsidRDefault="7B1DC8DE" w14:paraId="6293D7D0" w14:textId="290B7E59">
      <w:pPr>
        <w:pStyle w:val="ListParagraph"/>
        <w:spacing w:after="0" w:line="240" w:lineRule="auto"/>
        <w:jc w:val="both"/>
        <w:rPr>
          <w:lang w:val="es"/>
        </w:rPr>
      </w:pPr>
    </w:p>
    <w:p w:rsidRPr="00E32ACE" w:rsidR="485C39E6" w:rsidP="001C54B2" w:rsidRDefault="485C39E6" w14:paraId="79C0C968" w14:textId="3FB9B441">
      <w:pPr>
        <w:pStyle w:val="ListParagraph"/>
        <w:numPr>
          <w:ilvl w:val="0"/>
          <w:numId w:val="51"/>
        </w:numPr>
        <w:spacing w:after="0" w:line="240" w:lineRule="auto"/>
        <w:jc w:val="both"/>
        <w:rPr>
          <w:rFonts w:eastAsia="Arial" w:cs="Arial"/>
          <w:lang w:val="es"/>
        </w:rPr>
      </w:pPr>
      <w:r w:rsidRPr="00E32ACE">
        <w:rPr>
          <w:rFonts w:eastAsia="Arial" w:cs="Arial"/>
          <w:lang w:val="es"/>
        </w:rPr>
        <w:t>Incluir en la propuesta del Plan de Convocatorias de la asignación de Ciencia Tecnología e Innovación ambiental del Sistema General de Regalías las líneas de investigación para la agregación de valor de minerales que sirvan como insumos para la transición energética justa, reindustrialización, soberanía alimentaria e infraestructura pública.</w:t>
      </w:r>
    </w:p>
    <w:p w:rsidRPr="00E32ACE" w:rsidR="7B1DC8DE" w:rsidP="7B1DC8DE" w:rsidRDefault="7B1DC8DE" w14:paraId="1D7445E4" w14:textId="5D81B9F7">
      <w:pPr>
        <w:pStyle w:val="ListParagraph"/>
        <w:spacing w:after="0" w:line="240" w:lineRule="auto"/>
        <w:jc w:val="both"/>
        <w:rPr>
          <w:rFonts w:eastAsia="Arial" w:cs="Arial"/>
          <w:lang w:val="es"/>
        </w:rPr>
      </w:pPr>
    </w:p>
    <w:p w:rsidRPr="00E32ACE" w:rsidR="485C39E6" w:rsidP="001C54B2" w:rsidRDefault="485C39E6" w14:paraId="175CE8C3" w14:textId="77777777">
      <w:pPr>
        <w:pStyle w:val="ListParagraph"/>
        <w:numPr>
          <w:ilvl w:val="0"/>
          <w:numId w:val="51"/>
        </w:numPr>
        <w:spacing w:after="0" w:line="256" w:lineRule="auto"/>
        <w:jc w:val="both"/>
        <w:rPr>
          <w:rFonts w:eastAsia="Arial" w:cs="Arial"/>
        </w:rPr>
      </w:pPr>
      <w:r w:rsidRPr="00E32ACE">
        <w:rPr>
          <w:rFonts w:eastAsia="Arial" w:cs="Arial"/>
          <w:lang w:val="es"/>
        </w:rPr>
        <w:t xml:space="preserve">Diseñar una estrategia de asociatividad de la pequeña y mediana minería para desarrollar servicios de proveeduría mediante el fomento a la economía solidaria. </w:t>
      </w:r>
    </w:p>
    <w:p w:rsidRPr="00E32ACE" w:rsidR="7B1DC8DE" w:rsidP="7B1DC8DE" w:rsidRDefault="7B1DC8DE" w14:paraId="58477E66" w14:textId="541AAA19">
      <w:pPr>
        <w:spacing w:after="0" w:line="256" w:lineRule="auto"/>
        <w:jc w:val="both"/>
        <w:rPr>
          <w:rFonts w:eastAsia="Arial" w:cs="Arial"/>
        </w:rPr>
      </w:pPr>
    </w:p>
    <w:p w:rsidRPr="00E32ACE" w:rsidR="6A026A98" w:rsidP="001C54B2" w:rsidRDefault="649C5893" w14:paraId="1F3A20C2" w14:textId="77777777">
      <w:pPr>
        <w:pStyle w:val="ListParagraph"/>
        <w:numPr>
          <w:ilvl w:val="0"/>
          <w:numId w:val="51"/>
        </w:numPr>
        <w:spacing w:after="0" w:line="256" w:lineRule="auto"/>
        <w:jc w:val="both"/>
        <w:rPr>
          <w:rFonts w:eastAsia="Arial" w:cs="Arial"/>
        </w:rPr>
      </w:pPr>
      <w:r w:rsidRPr="00E32ACE">
        <w:rPr>
          <w:rFonts w:eastAsia="Arial" w:cs="Arial"/>
          <w:lang w:val="es"/>
        </w:rPr>
        <w:t>Implementar un programa de proveedores para los titulares mineros a través de planes de mejoramiento para empresas ancla y proveedores de servicios alrededor de la industria minera.</w:t>
      </w:r>
    </w:p>
    <w:p w:rsidRPr="00E32ACE" w:rsidR="2A9888F1" w:rsidP="2A9888F1" w:rsidRDefault="2A9888F1" w14:paraId="69012BC3" w14:textId="1BF523C1">
      <w:pPr>
        <w:pStyle w:val="ListParagraph"/>
        <w:spacing w:after="0" w:line="256" w:lineRule="auto"/>
        <w:jc w:val="both"/>
        <w:rPr>
          <w:rFonts w:eastAsia="Arial" w:cs="Arial"/>
        </w:rPr>
      </w:pPr>
    </w:p>
    <w:p w:rsidRPr="00E32ACE" w:rsidR="1A51136E" w:rsidP="3B424C1C" w:rsidRDefault="1A51136E" w14:paraId="27B01042" w14:textId="56A7B49C">
      <w:pPr>
        <w:pStyle w:val="ListParagraph"/>
        <w:numPr>
          <w:ilvl w:val="0"/>
          <w:numId w:val="51"/>
        </w:numPr>
        <w:spacing w:after="0" w:line="256" w:lineRule="auto"/>
        <w:jc w:val="both"/>
        <w:rPr>
          <w:rFonts w:eastAsia="Arial" w:cs="Arial"/>
        </w:rPr>
      </w:pPr>
      <w:r w:rsidRPr="00E32ACE">
        <w:rPr>
          <w:rFonts w:eastAsia="Arial" w:cs="Arial"/>
        </w:rPr>
        <w:t>Implementar un sistema de trazabilidad y comercialización responsable de oro, a través de la huella digital y acuerdos internacionales de cooperación que contemplen las buenas prácticas en todo el ciclo de vida del proyecto minero.</w:t>
      </w:r>
    </w:p>
    <w:p w:rsidRPr="00E32ACE" w:rsidR="3B424C1C" w:rsidP="3B424C1C" w:rsidRDefault="3B424C1C" w14:paraId="39F9B81A" w14:textId="4B6AF958">
      <w:pPr>
        <w:spacing w:after="0" w:line="256" w:lineRule="auto"/>
        <w:jc w:val="both"/>
        <w:rPr>
          <w:rFonts w:eastAsia="Arial" w:cs="Arial"/>
        </w:rPr>
      </w:pPr>
    </w:p>
    <w:p w:rsidRPr="00E32ACE" w:rsidR="06A7428C" w:rsidP="3B424C1C" w:rsidRDefault="06A7428C" w14:paraId="3BCF0A65" w14:textId="210681C3">
      <w:pPr>
        <w:pStyle w:val="ListParagraph"/>
        <w:numPr>
          <w:ilvl w:val="0"/>
          <w:numId w:val="51"/>
        </w:numPr>
        <w:spacing w:after="0" w:line="256" w:lineRule="auto"/>
        <w:jc w:val="both"/>
        <w:rPr>
          <w:rFonts w:eastAsia="Arial" w:cs="Arial"/>
        </w:rPr>
      </w:pPr>
      <w:r w:rsidRPr="00E32ACE">
        <w:rPr>
          <w:rFonts w:eastAsia="Arial" w:cs="Arial"/>
        </w:rPr>
        <w:t>Gestionar con el Ministerio de Transporte la priorización de vías terciarias en zonas mineras, como condición básica para la competitividad, la reducción de costos logísticos y la integración territorial.</w:t>
      </w:r>
    </w:p>
    <w:p w:rsidRPr="00E32ACE" w:rsidR="3B424C1C" w:rsidP="3B424C1C" w:rsidRDefault="3B424C1C" w14:paraId="0F3B4466" w14:textId="051B7F2F">
      <w:pPr>
        <w:pStyle w:val="ListParagraph"/>
        <w:spacing w:after="0" w:line="256" w:lineRule="auto"/>
        <w:jc w:val="both"/>
        <w:rPr>
          <w:rFonts w:eastAsia="Arial" w:cs="Arial"/>
        </w:rPr>
      </w:pPr>
    </w:p>
    <w:p w:rsidRPr="00E32ACE" w:rsidR="2BDE0DAC" w:rsidP="3B424C1C" w:rsidRDefault="2BDE0DAC" w14:paraId="5D1E1258" w14:textId="658ED1E0">
      <w:pPr>
        <w:pStyle w:val="ListParagraph"/>
        <w:numPr>
          <w:ilvl w:val="0"/>
          <w:numId w:val="51"/>
        </w:numPr>
        <w:spacing w:after="0" w:line="256" w:lineRule="auto"/>
        <w:jc w:val="both"/>
        <w:rPr>
          <w:rFonts w:eastAsia="Arial" w:cs="Arial"/>
        </w:rPr>
      </w:pPr>
      <w:r w:rsidRPr="00E32ACE">
        <w:rPr>
          <w:rFonts w:eastAsia="Arial" w:cs="Arial"/>
          <w:lang w:val="es"/>
        </w:rPr>
        <w:t>Consolidar comercializadores públicos del mineral, que garanticen a los pequeños mineros y barequeros recibir el precio justo por el oro (inclusive mayor al precio internacional), si se certifica como “oro verde”. Las comercializadoras de oro actualmente bajo la dirección y administración de la Sociedad de Activos Especiales (SAE), ya saneadas, podrán cumplir esta tarea.</w:t>
      </w:r>
    </w:p>
    <w:p w:rsidRPr="00E32ACE" w:rsidR="3B424C1C" w:rsidP="3B424C1C" w:rsidRDefault="3B424C1C" w14:paraId="2FACD0ED" w14:textId="32134C44">
      <w:pPr>
        <w:pStyle w:val="ListParagraph"/>
        <w:spacing w:after="0" w:line="256" w:lineRule="auto"/>
        <w:jc w:val="both"/>
        <w:rPr>
          <w:rFonts w:eastAsia="Arial" w:cs="Arial"/>
        </w:rPr>
      </w:pPr>
    </w:p>
    <w:p w:rsidRPr="00E32ACE" w:rsidR="553B4DCC" w:rsidP="2A9888F1" w:rsidRDefault="62BF497D" w14:paraId="04EA7AB2" w14:textId="580D907D">
      <w:pPr>
        <w:pStyle w:val="ListParagraph"/>
        <w:numPr>
          <w:ilvl w:val="0"/>
          <w:numId w:val="51"/>
        </w:numPr>
        <w:spacing w:after="0" w:line="256" w:lineRule="auto"/>
        <w:jc w:val="both"/>
        <w:rPr>
          <w:rFonts w:eastAsia="Arial" w:cs="Arial"/>
        </w:rPr>
      </w:pPr>
      <w:r w:rsidRPr="00E32ACE">
        <w:rPr>
          <w:rFonts w:eastAsia="Arial" w:cs="Arial"/>
        </w:rPr>
        <w:t xml:space="preserve">Diseñar e implementar la Debida Diligencia y Sistema de Autocontrol y Gestión del Riesgo Integral de lavado de activos y financiación del terrorismo (SAGRILAFT) para todos los actores del sector como: entidades públicas, explotadores, plantas de beneficio, comercializadores, etc.; incluyendo, además, a los pequeños mineros y barequeros, con las medidas que les correspondan. La ANM para esto, deberá implementará el SAGRILAFT en todas las etapas del proceso contractual minero (precontractual, contractual y </w:t>
      </w:r>
      <w:proofErr w:type="spellStart"/>
      <w:r w:rsidRPr="00E32ACE">
        <w:rPr>
          <w:rFonts w:eastAsia="Arial" w:cs="Arial"/>
        </w:rPr>
        <w:t>postcontractual</w:t>
      </w:r>
      <w:proofErr w:type="spellEnd"/>
      <w:r w:rsidRPr="00E32ACE">
        <w:rPr>
          <w:rFonts w:eastAsia="Arial" w:cs="Arial"/>
        </w:rPr>
        <w:t>).</w:t>
      </w:r>
    </w:p>
    <w:p w:rsidRPr="00E32ACE" w:rsidR="2A9888F1" w:rsidP="2A9888F1" w:rsidRDefault="2A9888F1" w14:paraId="5BBA417F" w14:textId="50607DE1">
      <w:pPr>
        <w:pStyle w:val="ListParagraph"/>
        <w:spacing w:after="0" w:line="256" w:lineRule="auto"/>
        <w:jc w:val="both"/>
        <w:rPr>
          <w:rFonts w:eastAsia="Arial" w:cs="Arial"/>
        </w:rPr>
      </w:pPr>
    </w:p>
    <w:p w:rsidRPr="00E32ACE" w:rsidR="14E04E5E" w:rsidP="2A9888F1" w:rsidRDefault="14E04E5E" w14:paraId="403FC63B" w14:textId="6E01410F">
      <w:pPr>
        <w:pStyle w:val="ListParagraph"/>
        <w:numPr>
          <w:ilvl w:val="0"/>
          <w:numId w:val="51"/>
        </w:numPr>
        <w:spacing w:after="0" w:line="256" w:lineRule="auto"/>
        <w:jc w:val="both"/>
        <w:rPr>
          <w:rFonts w:eastAsia="Arial" w:cs="Arial"/>
        </w:rPr>
      </w:pPr>
      <w:r w:rsidRPr="00E32ACE">
        <w:rPr>
          <w:rFonts w:eastAsia="Arial" w:cs="Arial"/>
        </w:rPr>
        <w:t>Ajustar los criterios de asignación de Áreas Estratégicas Mineras ya delimitadas para minerales como cobre, fosfatos, oro y carbón, y para otros minerales estratégicos, incorporando criterios de generación de valor agregado y encadenamientos productivos.</w:t>
      </w:r>
    </w:p>
    <w:p w:rsidRPr="00E32ACE" w:rsidR="2A9888F1" w:rsidP="2A9888F1" w:rsidRDefault="2A9888F1" w14:paraId="59D4537C" w14:textId="21C820E5">
      <w:pPr>
        <w:pStyle w:val="ListParagraph"/>
        <w:spacing w:after="0" w:line="256" w:lineRule="auto"/>
        <w:jc w:val="both"/>
        <w:rPr>
          <w:rFonts w:eastAsia="Arial" w:cs="Arial"/>
        </w:rPr>
      </w:pPr>
    </w:p>
    <w:p w:rsidRPr="00E32ACE" w:rsidR="4CD5B050" w:rsidP="2A9888F1" w:rsidRDefault="4CD5B050" w14:paraId="4F288BEA" w14:textId="77777777">
      <w:pPr>
        <w:numPr>
          <w:ilvl w:val="0"/>
          <w:numId w:val="51"/>
        </w:numPr>
        <w:spacing w:line="256" w:lineRule="auto"/>
        <w:jc w:val="both"/>
        <w:rPr>
          <w:rFonts w:eastAsia="Arial" w:cs="Arial"/>
        </w:rPr>
      </w:pPr>
      <w:r w:rsidRPr="00E32ACE">
        <w:rPr>
          <w:rFonts w:eastAsia="Arial" w:cs="Arial"/>
        </w:rPr>
        <w:t>Crear un Programa Nacional de Reindustrialización Minera orientado al desarrollo de infraestructura industrial para la transformación local de minerales (fundición, refinado, manufactura).</w:t>
      </w:r>
    </w:p>
    <w:p w:rsidRPr="00E32ACE" w:rsidR="2A9888F1" w:rsidP="2A9888F1" w:rsidRDefault="2A9888F1" w14:paraId="7B9FECD6" w14:textId="0A6238AB">
      <w:pPr>
        <w:spacing w:after="0" w:line="256" w:lineRule="auto"/>
        <w:jc w:val="both"/>
        <w:rPr>
          <w:rFonts w:eastAsia="Arial" w:cs="Arial"/>
        </w:rPr>
      </w:pPr>
    </w:p>
    <w:p w:rsidRPr="00E32ACE" w:rsidR="2A9888F1" w:rsidP="2A9888F1" w:rsidRDefault="2A9888F1" w14:paraId="3BC065E4" w14:textId="01D7EDB4">
      <w:pPr>
        <w:pStyle w:val="ListParagraph"/>
        <w:spacing w:after="0" w:line="256" w:lineRule="auto"/>
        <w:jc w:val="both"/>
        <w:rPr>
          <w:rFonts w:eastAsia="Arial" w:cs="Arial"/>
        </w:rPr>
      </w:pPr>
    </w:p>
    <w:p w:rsidRPr="00E32ACE" w:rsidR="0053053D" w:rsidP="2A9888F1" w:rsidRDefault="73C664C0" w14:paraId="54443CA4" w14:textId="469FE9D2">
      <w:pPr>
        <w:pStyle w:val="ListParagraph"/>
        <w:numPr>
          <w:ilvl w:val="0"/>
          <w:numId w:val="51"/>
        </w:numPr>
        <w:suppressAutoHyphens/>
        <w:autoSpaceDN w:val="0"/>
        <w:spacing w:after="0" w:line="240" w:lineRule="auto"/>
        <w:jc w:val="both"/>
        <w:textAlignment w:val="baseline"/>
        <w:rPr>
          <w:rFonts w:eastAsia="Arial" w:cs="Arial"/>
          <w:lang w:val="es"/>
        </w:rPr>
      </w:pPr>
      <w:r w:rsidRPr="00E32ACE">
        <w:rPr>
          <w:rFonts w:eastAsia="Arial" w:cs="Arial"/>
        </w:rPr>
        <w:t>Realizar un estudio de viabilidad para la construcción y operación de una planta de procesos industriales de los minerales estratégicos en Colombia, con el fin de fortalecer la soberanía industrial, reducir la dependencia de importaciones y generar encadenamientos productivos de alto impacto.</w:t>
      </w:r>
    </w:p>
    <w:p w:rsidRPr="00E32ACE" w:rsidR="0053053D" w:rsidP="2A9888F1" w:rsidRDefault="0053053D" w14:paraId="3204D8A5" w14:textId="77777777">
      <w:pPr>
        <w:pStyle w:val="ListParagraph"/>
        <w:suppressAutoHyphens/>
        <w:autoSpaceDN w:val="0"/>
        <w:spacing w:after="0" w:line="240" w:lineRule="auto"/>
        <w:ind w:left="283"/>
        <w:jc w:val="both"/>
        <w:textAlignment w:val="baseline"/>
        <w:rPr>
          <w:rFonts w:eastAsia="Arial" w:cs="Arial"/>
          <w:lang w:val="es"/>
        </w:rPr>
      </w:pPr>
    </w:p>
    <w:p w:rsidRPr="00E32ACE" w:rsidR="0053053D" w:rsidP="00F53AA1" w:rsidRDefault="0053053D" w14:paraId="71957799" w14:textId="77777777">
      <w:pPr>
        <w:pStyle w:val="ListParagraph"/>
        <w:ind w:left="436"/>
        <w:rPr>
          <w:rFonts w:eastAsia="Arial" w:cs="Arial"/>
        </w:rPr>
      </w:pPr>
    </w:p>
    <w:p w:rsidRPr="00E32ACE" w:rsidR="73C664C0" w:rsidP="2A9888F1" w:rsidRDefault="73C664C0" w14:paraId="7CCA0A29" w14:textId="5314B21B">
      <w:pPr>
        <w:pStyle w:val="ListParagraph"/>
        <w:numPr>
          <w:ilvl w:val="0"/>
          <w:numId w:val="51"/>
        </w:numPr>
        <w:spacing w:after="0" w:line="240" w:lineRule="auto"/>
        <w:jc w:val="both"/>
        <w:rPr>
          <w:rFonts w:eastAsia="Arial" w:cs="Arial"/>
          <w:lang w:val="es"/>
        </w:rPr>
      </w:pPr>
      <w:r w:rsidRPr="00E32ACE">
        <w:rPr>
          <w:rFonts w:eastAsia="Arial" w:cs="Arial"/>
        </w:rPr>
        <w:t>Consolidar alianzas interinstitucionales para la conformación de clústeres industriales mineros, integrando empresas mineras, proveedores, fabricantes, empresas de servicios, universidades y centros de innovación, con visión de reindustrialización y diversificación productiva</w:t>
      </w:r>
      <w:r w:rsidRPr="00E32ACE" w:rsidR="309CC325">
        <w:rPr>
          <w:rFonts w:eastAsia="Arial" w:cs="Arial"/>
        </w:rPr>
        <w:t xml:space="preserve">, a la vez que se potencian los clústeres ya creados con participación de actores estratégicos y desarrollo de capacidades </w:t>
      </w:r>
      <w:r w:rsidRPr="00E32ACE" w:rsidR="242B58DC">
        <w:rPr>
          <w:rFonts w:eastAsia="Arial" w:cs="Arial"/>
        </w:rPr>
        <w:t>territoriales,</w:t>
      </w:r>
      <w:r w:rsidRPr="00E32ACE" w:rsidR="309CC325">
        <w:rPr>
          <w:rFonts w:eastAsia="Arial" w:cs="Arial"/>
        </w:rPr>
        <w:t xml:space="preserve"> en especial en regiones priorizadas con Distritos Mineros Especiales.</w:t>
      </w:r>
    </w:p>
    <w:p w:rsidRPr="00E32ACE" w:rsidR="00FD6F47" w:rsidP="00F53AA1" w:rsidRDefault="00FD6F47" w14:paraId="3131AB9C" w14:textId="77777777">
      <w:pPr>
        <w:pStyle w:val="ListParagraph"/>
        <w:ind w:left="436"/>
        <w:rPr>
          <w:rFonts w:eastAsia="Arial" w:cs="Arial"/>
        </w:rPr>
      </w:pPr>
    </w:p>
    <w:p w:rsidRPr="00E32ACE" w:rsidR="00F53AA1" w:rsidP="2A9888F1" w:rsidRDefault="5D294ECE" w14:paraId="1DB0F471" w14:textId="77777777">
      <w:pPr>
        <w:pStyle w:val="ListParagraph"/>
        <w:numPr>
          <w:ilvl w:val="0"/>
          <w:numId w:val="51"/>
        </w:numPr>
        <w:suppressAutoHyphens/>
        <w:autoSpaceDN w:val="0"/>
        <w:spacing w:after="0" w:line="240" w:lineRule="auto"/>
        <w:jc w:val="both"/>
        <w:textAlignment w:val="baseline"/>
        <w:rPr>
          <w:rFonts w:eastAsia="Arial" w:cs="Arial"/>
          <w:lang w:val="es"/>
        </w:rPr>
      </w:pPr>
      <w:bookmarkStart w:name="_Hlk209187992" w:id="1054"/>
      <w:bookmarkEnd w:id="1054"/>
      <w:r w:rsidRPr="00E32ACE">
        <w:rPr>
          <w:rFonts w:eastAsia="Arial" w:cs="Arial"/>
        </w:rPr>
        <w:t>Revisar permanentemente el comportamiento de la oferta y la demanda de minerales, con base en matrices de requerimientos y solicitudes realizadas al sector minero para el abastecimiento de diferentes industrias, ajustando la política a las necesidades reales del país.</w:t>
      </w:r>
    </w:p>
    <w:p w:rsidRPr="00E32ACE" w:rsidR="00F53AA1" w:rsidP="2A9888F1" w:rsidRDefault="00F53AA1" w14:paraId="289E46C1" w14:textId="77777777">
      <w:pPr>
        <w:pStyle w:val="ListParagraph"/>
        <w:ind w:left="436"/>
        <w:rPr>
          <w:rFonts w:eastAsia="Arial" w:cs="Arial"/>
        </w:rPr>
      </w:pPr>
    </w:p>
    <w:p w:rsidRPr="00E32ACE" w:rsidR="00FD6F47" w:rsidP="2A9888F1" w:rsidRDefault="5D294ECE" w14:paraId="1B1675C0" w14:textId="0FD5F1FB">
      <w:pPr>
        <w:pStyle w:val="ListParagraph"/>
        <w:numPr>
          <w:ilvl w:val="0"/>
          <w:numId w:val="51"/>
        </w:numPr>
        <w:suppressAutoHyphens/>
        <w:autoSpaceDN w:val="0"/>
        <w:spacing w:after="0" w:line="240" w:lineRule="auto"/>
        <w:jc w:val="both"/>
        <w:textAlignment w:val="baseline"/>
        <w:rPr>
          <w:rFonts w:eastAsia="Arial" w:cs="Arial"/>
          <w:lang w:val="es"/>
        </w:rPr>
      </w:pPr>
      <w:r w:rsidRPr="00E32ACE">
        <w:rPr>
          <w:rFonts w:eastAsia="Arial" w:cs="Arial"/>
        </w:rPr>
        <w:t>Promover la investigación de nuevos usos y aplicaciones de los minerales tradicionales y estratégicos, mediante alianzas con la academia y el sector privado, potenciando la innovación, el desarrollo tecnológico y la apertura de nuevos mercados.</w:t>
      </w:r>
    </w:p>
    <w:bookmarkEnd w:id="1053"/>
    <w:p w:rsidRPr="00E32ACE" w:rsidR="7B1DC8DE" w:rsidP="7B1DC8DE" w:rsidRDefault="7B1DC8DE" w14:paraId="71E0F403" w14:textId="78D27EB4">
      <w:pPr>
        <w:pStyle w:val="ListParagraph"/>
        <w:spacing w:after="0" w:line="240" w:lineRule="auto"/>
        <w:jc w:val="both"/>
        <w:rPr>
          <w:rFonts w:eastAsia="Arial" w:cs="Arial"/>
          <w:lang w:val="es"/>
        </w:rPr>
      </w:pPr>
    </w:p>
    <w:p w:rsidRPr="00E32ACE" w:rsidR="00FD6F47" w:rsidP="2A9888F1" w:rsidRDefault="5D294ECE" w14:paraId="224C8ACC" w14:textId="77777777">
      <w:pPr>
        <w:numPr>
          <w:ilvl w:val="0"/>
          <w:numId w:val="51"/>
        </w:numPr>
        <w:suppressAutoHyphens/>
        <w:autoSpaceDN w:val="0"/>
        <w:spacing w:line="256" w:lineRule="auto"/>
        <w:jc w:val="both"/>
        <w:textAlignment w:val="baseline"/>
        <w:rPr>
          <w:rFonts w:eastAsia="Arial" w:cs="Arial"/>
        </w:rPr>
      </w:pPr>
      <w:r w:rsidRPr="00E32ACE">
        <w:rPr>
          <w:rFonts w:eastAsia="Arial" w:cs="Arial"/>
        </w:rPr>
        <w:t>Incorporar procesos de formación y certificación de competencias laborales en minería, innovación y artesanías, en articulación con el Marco Nacional de Cualificaciones, el SENA y las universidades, fortaleciendo el capital humano y la inclusión laboral en los territorios.</w:t>
      </w:r>
    </w:p>
    <w:p w:rsidRPr="00E32ACE" w:rsidR="00FD6F47" w:rsidP="2A9888F1" w:rsidRDefault="42E2A05C" w14:paraId="50714782" w14:textId="77777777">
      <w:pPr>
        <w:numPr>
          <w:ilvl w:val="0"/>
          <w:numId w:val="51"/>
        </w:numPr>
        <w:suppressAutoHyphens/>
        <w:autoSpaceDN w:val="0"/>
        <w:spacing w:line="256" w:lineRule="auto"/>
        <w:jc w:val="both"/>
        <w:textAlignment w:val="baseline"/>
        <w:rPr>
          <w:rFonts w:eastAsia="Arial" w:cs="Arial"/>
        </w:rPr>
      </w:pPr>
      <w:r w:rsidRPr="00E32ACE">
        <w:rPr>
          <w:rFonts w:eastAsia="Arial" w:cs="Arial"/>
        </w:rPr>
        <w:t>Desarrollar proyectos ZASCA (Zonas de Aprovechamiento Social del Conocimiento y el Aprendizaje) como espacios de innovación social, transferencia tecnológica y articulación entre minería, agroindustria, artesanías y servicios locales, para dinamizar la economía territorial.</w:t>
      </w:r>
    </w:p>
    <w:p w:rsidRPr="00E32ACE" w:rsidR="00F53AA1" w:rsidP="001C54B2" w:rsidRDefault="289F3A1B" w14:paraId="08FF426F" w14:textId="1A39E968">
      <w:pPr>
        <w:numPr>
          <w:ilvl w:val="0"/>
          <w:numId w:val="51"/>
        </w:numPr>
        <w:suppressAutoHyphens/>
        <w:autoSpaceDN w:val="0"/>
        <w:spacing w:line="256" w:lineRule="auto"/>
        <w:jc w:val="both"/>
        <w:textAlignment w:val="baseline"/>
        <w:rPr>
          <w:rFonts w:eastAsia="Arial" w:cs="Arial"/>
        </w:rPr>
      </w:pPr>
      <w:r w:rsidRPr="00E32ACE">
        <w:t>Ampliar los acuerdos de cooperación internacional orientados a la comercialización y trazabilidad del oro —como la Iniciativa Suiza Oro Responsable para la Minería Artesanal y de Pequeña Escala (SBGI III)— con el fin de fortalecer la inserción de Colombia en cadenas globales de valor con altos estándares de sostenibilidad.</w:t>
      </w:r>
    </w:p>
    <w:p w:rsidRPr="00E32ACE" w:rsidR="7B1DC8DE" w:rsidP="7B1DC8DE" w:rsidRDefault="7B1DC8DE" w14:paraId="47E92869" w14:textId="1740FEF9">
      <w:pPr>
        <w:spacing w:line="256" w:lineRule="auto"/>
        <w:ind w:left="720"/>
        <w:jc w:val="both"/>
        <w:rPr>
          <w:rFonts w:eastAsia="Arial" w:cs="Arial"/>
        </w:rPr>
      </w:pPr>
    </w:p>
    <w:p w:rsidRPr="00E32ACE" w:rsidR="00F53AA1" w:rsidP="00F53AA1" w:rsidRDefault="289F3A1B" w14:paraId="3E778C57" w14:textId="77777777">
      <w:pPr>
        <w:jc w:val="both"/>
        <w:rPr>
          <w:rFonts w:eastAsia="Arial" w:cs="Arial"/>
        </w:rPr>
      </w:pPr>
      <w:r w:rsidRPr="00E32ACE">
        <w:rPr>
          <w:rFonts w:eastAsia="Arial" w:cs="Arial"/>
        </w:rPr>
        <w:t xml:space="preserve">Por último, para alcanzar los objetivos estratégicos de esta línea, la política minera debe impulsar la creación de una empresa pública minera —o de economía mixta— que actúe como instrumento del Estado para la exploración, explotación y transformación de minerales estratégicos, siguiendo experiencias exitosas como Ecopetrol en Colombia o ENAMI en Chile. Esta empresa no solo garantizará el manejo autónomo de recursos fundamentales, sino que permitirá estructurar cadenas de valor agregado, promover la fabricación y exportación de bienes finales y </w:t>
      </w:r>
      <w:proofErr w:type="spellStart"/>
      <w:r w:rsidRPr="00E32ACE">
        <w:rPr>
          <w:rFonts w:eastAsia="Arial" w:cs="Arial"/>
        </w:rPr>
        <w:t>semifabricados</w:t>
      </w:r>
      <w:proofErr w:type="spellEnd"/>
      <w:r w:rsidRPr="00E32ACE">
        <w:rPr>
          <w:rFonts w:eastAsia="Arial" w:cs="Arial"/>
        </w:rPr>
        <w:t>, asegurar la trazabilidad y formalización en la comercialización de minerales como el oro, y contribuir a metas nacionales en materia de reindustrialización, transición energética justa, soberanía alimentaria e infraestructura pública.</w:t>
      </w:r>
    </w:p>
    <w:p w:rsidRPr="00E32ACE" w:rsidR="7B1DC8DE" w:rsidP="2A9888F1" w:rsidRDefault="299AB67D" w14:paraId="51269D3C" w14:textId="78E84AAE">
      <w:pPr>
        <w:pStyle w:val="ListParagraph"/>
        <w:numPr>
          <w:ilvl w:val="0"/>
          <w:numId w:val="52"/>
        </w:numPr>
        <w:spacing w:line="256" w:lineRule="auto"/>
        <w:jc w:val="both"/>
        <w:rPr>
          <w:rFonts w:eastAsia="Arial" w:cs="Arial"/>
          <w:lang w:val="es"/>
        </w:rPr>
      </w:pPr>
      <w:r w:rsidRPr="00E32ACE">
        <w:t>Crear una empresa pública o de economía mixta de minería para desarrollar proyectos mineros mediante exploración y explotación de los minerales.</w:t>
      </w:r>
    </w:p>
    <w:p w:rsidRPr="00E32ACE" w:rsidR="7B1DC8DE" w:rsidP="7B1DC8DE" w:rsidRDefault="7B1DC8DE" w14:paraId="51406190" w14:textId="2BFFB313">
      <w:pPr>
        <w:jc w:val="both"/>
        <w:rPr>
          <w:rFonts w:eastAsia="Arial" w:cs="Arial"/>
        </w:rPr>
      </w:pPr>
    </w:p>
    <w:p w:rsidRPr="00E32ACE" w:rsidR="00C443D6" w:rsidP="006D15DE" w:rsidRDefault="5D5A67DA" w14:paraId="52871D25" w14:textId="0B222338">
      <w:pPr>
        <w:pStyle w:val="Heading2"/>
        <w:ind w:left="284"/>
        <w:rPr>
          <w:lang w:val="es-ES"/>
        </w:rPr>
      </w:pPr>
      <w:bookmarkStart w:name="_Toc135903141" w:id="1055"/>
      <w:bookmarkStart w:name="_Toc199511986" w:id="1056"/>
      <w:bookmarkStart w:name="_Toc112470129" w:id="1057"/>
      <w:bookmarkStart w:name="_Toc556833361" w:id="1058"/>
      <w:bookmarkStart w:name="_Toc609721080" w:id="1059"/>
      <w:bookmarkStart w:name="_Toc2024087071" w:id="1060"/>
      <w:bookmarkStart w:name="_Toc1065165482" w:id="1061"/>
      <w:bookmarkStart w:name="_Toc1076028927" w:id="1062"/>
      <w:bookmarkStart w:name="_Toc1329152932" w:id="1063"/>
      <w:bookmarkStart w:name="_Toc816823658" w:id="1064"/>
      <w:bookmarkStart w:name="_Toc2095608955" w:id="1065"/>
      <w:bookmarkStart w:name="_Toc1468333868" w:id="1066"/>
      <w:bookmarkStart w:name="_Toc856686305" w:id="1067"/>
      <w:bookmarkStart w:name="_Toc526577963" w:id="1068"/>
      <w:bookmarkStart w:name="_Toc1322630283" w:id="1069"/>
      <w:bookmarkStart w:name="_Toc627304253" w:id="1070"/>
      <w:bookmarkStart w:name="_Toc639165102" w:id="1071"/>
      <w:bookmarkStart w:name="_Toc985784670" w:id="1072"/>
      <w:bookmarkStart w:name="_Toc1505795645" w:id="1073"/>
      <w:bookmarkStart w:name="_Toc402819244" w:id="1074"/>
      <w:bookmarkStart w:name="_Toc1162713614" w:id="1075"/>
      <w:bookmarkStart w:name="_Toc1167396466" w:id="1076"/>
      <w:bookmarkStart w:name="_Toc363531127" w:id="1077"/>
      <w:bookmarkStart w:name="_Toc1748139580" w:id="1078"/>
      <w:bookmarkStart w:name="_Toc878494254" w:id="1079"/>
      <w:bookmarkStart w:name="_Toc1971824804" w:id="1080"/>
      <w:bookmarkStart w:name="_Toc1449186839" w:id="1081"/>
      <w:bookmarkStart w:name="_Toc1272069730" w:id="1082"/>
      <w:bookmarkStart w:name="_Toc210292994" w:id="1083"/>
      <w:r w:rsidRPr="00E32ACE">
        <w:rPr>
          <w:lang w:val="es-ES"/>
        </w:rPr>
        <w:t xml:space="preserve">8. </w:t>
      </w:r>
      <w:r w:rsidRPr="00E32ACE" w:rsidR="5EFA0007">
        <w:rPr>
          <w:lang w:val="es-ES"/>
        </w:rPr>
        <w:t>Las buenas prácticas mineras, con énfasis en economía circular</w:t>
      </w:r>
      <w:r w:rsidRPr="00E32ACE" w:rsidR="5FA664AE">
        <w:rPr>
          <w:lang w:val="es-ES"/>
        </w:rPr>
        <w:t xml:space="preserve"> y uso eficiente del agua.</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rsidRPr="00E32ACE" w:rsidR="00C443D6" w:rsidP="00DA6590" w:rsidRDefault="00C443D6" w14:paraId="2475FB3F" w14:textId="77777777">
      <w:pPr>
        <w:rPr>
          <w:lang w:val="es-ES"/>
        </w:rPr>
      </w:pPr>
    </w:p>
    <w:p w:rsidRPr="00E32ACE" w:rsidR="00152C55" w:rsidP="00152C55" w:rsidRDefault="00152C55" w14:paraId="37AB262F" w14:textId="77777777">
      <w:pPr>
        <w:jc w:val="both"/>
      </w:pPr>
      <w:r w:rsidRPr="00E32ACE">
        <w:t xml:space="preserve">Con el propósito reducir de los impactos generados por la actividad minera en todas las fases del ciclo, se buscará incorporar los estándares de buenas prácticas en los documentos técnicos que conforman los Planes de Trabajos y Obras (PTO). Estos estándares, deben ser diferenciados, según la escala minera y tipo de mineral explotado. Para ello se avanzará en las siguientes acciones: </w:t>
      </w:r>
    </w:p>
    <w:p w:rsidRPr="00E32ACE" w:rsidR="00152C55" w:rsidP="2A9888F1" w:rsidRDefault="7E6C5815" w14:paraId="3BE4AE91" w14:textId="77777777">
      <w:pPr>
        <w:pStyle w:val="ListParagraph"/>
        <w:numPr>
          <w:ilvl w:val="0"/>
          <w:numId w:val="28"/>
        </w:numPr>
        <w:suppressAutoHyphens/>
        <w:autoSpaceDN w:val="0"/>
        <w:spacing w:line="254" w:lineRule="auto"/>
        <w:jc w:val="both"/>
        <w:textAlignment w:val="baseline"/>
      </w:pPr>
      <w:r w:rsidRPr="00E32ACE">
        <w:t>Elaborar y adoptar documentos de referencia obligatoria con estándares de buenas prácticas, mejores técnicas disponibles y estrategias de economía circular, diferenciados por tipo de mineral y escala minera, incluyendo orientaciones técnicas sobre medidas, eficiencias, costos, ventajas y barreras de implementación.</w:t>
      </w:r>
    </w:p>
    <w:p w:rsidRPr="00E32ACE" w:rsidR="00AA6902" w:rsidP="2A9888F1" w:rsidRDefault="01CC777E" w14:paraId="17E47BD9" w14:textId="051F90BD">
      <w:pPr>
        <w:pStyle w:val="ListParagraph"/>
        <w:numPr>
          <w:ilvl w:val="0"/>
          <w:numId w:val="29"/>
        </w:numPr>
        <w:suppressAutoHyphens/>
        <w:autoSpaceDN w:val="0"/>
        <w:spacing w:line="254" w:lineRule="auto"/>
        <w:jc w:val="both"/>
        <w:textAlignment w:val="baseline"/>
      </w:pPr>
      <w:r w:rsidRPr="00E32ACE">
        <w:t>Adoptar los estándares de buenas prácticas en minería tomando como base los compromisos internacionales en gestión ambiental y producción responsable.</w:t>
      </w:r>
    </w:p>
    <w:p w:rsidRPr="00E32ACE" w:rsidR="0D55DF05" w:rsidP="2A9888F1" w:rsidRDefault="0D55DF05" w14:paraId="63AEA9A8" w14:textId="3C2C3B2A">
      <w:pPr>
        <w:pStyle w:val="ListParagraph"/>
        <w:numPr>
          <w:ilvl w:val="0"/>
          <w:numId w:val="29"/>
        </w:numPr>
        <w:spacing w:line="254" w:lineRule="auto"/>
        <w:jc w:val="both"/>
      </w:pPr>
      <w:r w:rsidRPr="00E32ACE">
        <w:t xml:space="preserve">Desarrollar una estrategia de articulación de las buenas prácticas mineras con los reglamentos de higiene y seguridad minera actualmente en vigencia (Decreto 539 de 2022 y Decreto 944 de 2022) y con la Política Nacional de Seguridad Minera. </w:t>
      </w:r>
    </w:p>
    <w:p w:rsidRPr="00E32ACE" w:rsidR="2A9888F1" w:rsidP="2A9888F1" w:rsidRDefault="2A9888F1" w14:paraId="7A14957E" w14:textId="19BF75D8">
      <w:pPr>
        <w:pStyle w:val="ListParagraph"/>
        <w:spacing w:line="254" w:lineRule="auto"/>
        <w:ind w:hanging="360"/>
        <w:jc w:val="both"/>
      </w:pPr>
    </w:p>
    <w:p w:rsidRPr="00E32ACE" w:rsidR="4F883F44" w:rsidP="2A9888F1" w:rsidRDefault="4F883F44" w14:paraId="746B3AC6" w14:textId="60624DF4">
      <w:pPr>
        <w:pStyle w:val="ListParagraph"/>
        <w:numPr>
          <w:ilvl w:val="0"/>
          <w:numId w:val="29"/>
        </w:numPr>
        <w:spacing w:line="254" w:lineRule="auto"/>
        <w:jc w:val="both"/>
      </w:pPr>
      <w:r w:rsidRPr="00E32ACE">
        <w:t>Adoptar e incorporar los estándares exigibles dentro de los requisitos para la presentación de Planes de Trabajo y Obras - PTOS ante la Autoridad Minera.</w:t>
      </w:r>
    </w:p>
    <w:p w:rsidRPr="00E32ACE" w:rsidR="31226965" w:rsidP="2A9888F1" w:rsidRDefault="31226965" w14:paraId="03FC3953" w14:textId="40B571B2">
      <w:pPr>
        <w:pStyle w:val="ListParagraph"/>
        <w:numPr>
          <w:ilvl w:val="0"/>
          <w:numId w:val="1"/>
        </w:numPr>
        <w:spacing w:line="254" w:lineRule="auto"/>
        <w:jc w:val="both"/>
      </w:pPr>
    </w:p>
    <w:p w:rsidRPr="00E32ACE" w:rsidR="7E6C5815" w:rsidP="2A9888F1" w:rsidRDefault="7E6C5815" w14:paraId="40A724ED" w14:textId="35EE595E">
      <w:pPr>
        <w:jc w:val="both"/>
      </w:pPr>
      <w:r w:rsidRPr="00E32ACE">
        <w:t xml:space="preserve">Los documentos con estándares de buenas prácticas mineras deben complementarse con estrategias orientadas al fortalecimiento de capacidades y habilidades de los titulares mineros. Las estrategias deben abordar los contenidos relacionados con las buenas prácticas, mejores técnicas disponibles y estrategias de economía circular para el sector minero. El objetivo es dotar a los actores del sector con las herramientas técnicas y operativas que permitan maximizar los beneficios sociales y económicos, al tiempo que minimizan impactos negativos a través de acciones como: </w:t>
      </w:r>
    </w:p>
    <w:p w:rsidRPr="00E32ACE" w:rsidR="2A9888F1" w:rsidP="2A9888F1" w:rsidRDefault="2A9888F1" w14:paraId="27F81856" w14:textId="16838C6F">
      <w:pPr>
        <w:pStyle w:val="ListParagraph"/>
        <w:ind w:left="1440"/>
        <w:jc w:val="both"/>
      </w:pPr>
    </w:p>
    <w:p w:rsidRPr="00E32ACE" w:rsidR="73A0AF9A" w:rsidP="2A9888F1" w:rsidRDefault="73A0AF9A" w14:paraId="6281CADD" w14:textId="587F8FF0">
      <w:pPr>
        <w:pStyle w:val="ListParagraph"/>
        <w:numPr>
          <w:ilvl w:val="0"/>
          <w:numId w:val="30"/>
        </w:numPr>
        <w:spacing w:line="254" w:lineRule="auto"/>
        <w:ind w:left="567"/>
        <w:jc w:val="both"/>
      </w:pPr>
      <w:r w:rsidRPr="00E32ACE">
        <w:t>Realizar un diagnóstico de capacidades y habilidades a fortalecer para implementar la aplicación de buenas prácticas mejores técnicas disponibles y estrategias de economía circular en los proyectos mineros.</w:t>
      </w:r>
    </w:p>
    <w:p w:rsidRPr="00E32ACE" w:rsidR="73A0AF9A" w:rsidP="2A9888F1" w:rsidRDefault="73A0AF9A" w14:paraId="69C9B02D" w14:textId="4C51E362">
      <w:pPr>
        <w:pStyle w:val="ListParagraph"/>
        <w:numPr>
          <w:ilvl w:val="0"/>
          <w:numId w:val="30"/>
        </w:numPr>
        <w:spacing w:line="254" w:lineRule="auto"/>
        <w:ind w:left="567"/>
        <w:jc w:val="both"/>
      </w:pPr>
      <w:r w:rsidRPr="00E32ACE">
        <w:t>Implementar las estrategias del Gobierno Nacional, en lo concerniente al reciclaje y posterior uso de los productos derivados de minerales o los resultantes de la actividad minera para ser reutilizados en la misma u otras industrias</w:t>
      </w:r>
    </w:p>
    <w:p w:rsidRPr="00E32ACE" w:rsidR="2A9888F1" w:rsidP="2A9888F1" w:rsidRDefault="2A9888F1" w14:paraId="6F69E216" w14:textId="4D12D1E4">
      <w:pPr>
        <w:spacing w:line="254" w:lineRule="auto"/>
        <w:jc w:val="both"/>
      </w:pPr>
    </w:p>
    <w:p w:rsidRPr="00E32ACE" w:rsidR="00EC1C7F" w:rsidP="00AA6902" w:rsidRDefault="00EC1C7F" w14:paraId="0C677320" w14:textId="77777777">
      <w:pPr>
        <w:suppressAutoHyphens/>
        <w:autoSpaceDN w:val="0"/>
        <w:spacing w:line="254" w:lineRule="auto"/>
        <w:ind w:left="207"/>
        <w:jc w:val="both"/>
        <w:textAlignment w:val="baseline"/>
      </w:pPr>
      <w:r w:rsidRPr="00E32ACE">
        <w:t>Se debe contar con una estrategia de divulgación de carácter nacional de fácil acceso, en especial a los titulares mineros, que permita dar a conocer las buenas prácticas en las actividades mineras, con el fin de prevenir, corregir y mitigar los impactos negativos. Estas estrategias contribuirán a que los actores mineros tengan fácil acceso a información relevante a través de lo siguiente:</w:t>
      </w:r>
    </w:p>
    <w:p w:rsidRPr="00E32ACE" w:rsidR="00EC1C7F" w:rsidP="2A9888F1" w:rsidRDefault="43FB0376" w14:paraId="77B845B9" w14:textId="77777777">
      <w:pPr>
        <w:pStyle w:val="ListParagraph"/>
        <w:numPr>
          <w:ilvl w:val="0"/>
          <w:numId w:val="30"/>
        </w:numPr>
        <w:suppressAutoHyphens/>
        <w:autoSpaceDN w:val="0"/>
        <w:spacing w:line="254" w:lineRule="auto"/>
        <w:ind w:left="567"/>
        <w:jc w:val="both"/>
        <w:textAlignment w:val="baseline"/>
      </w:pPr>
      <w:r w:rsidRPr="00E32ACE">
        <w:t>Estructurar un programa a nivel nacional de divulgación de buenas prácticas, mejores técnicas disponibles y estrategias de economía circular. Este deberá estar enfocado especialmente en fortalecer la implementación en las actividades de pequeña minería y en la cadena de valor de los minerales requeridos para la transición energética justa, la reindustrialización y la seguridad alimentaria.</w:t>
      </w:r>
    </w:p>
    <w:p w:rsidRPr="00E32ACE" w:rsidR="29C2794A" w:rsidP="2A9888F1" w:rsidRDefault="29C2794A" w14:paraId="7AA51202" w14:textId="15B70B5B">
      <w:pPr>
        <w:pStyle w:val="ListParagraph"/>
        <w:numPr>
          <w:ilvl w:val="0"/>
          <w:numId w:val="30"/>
        </w:numPr>
        <w:spacing w:line="254" w:lineRule="auto"/>
        <w:ind w:left="567"/>
        <w:jc w:val="both"/>
      </w:pPr>
      <w:r w:rsidRPr="00E32ACE">
        <w:t>Crear un repositorio de información existente y actualizada sobre buenas prácticas en minería, mejores técnicas disponibles y estrategias de economía circular, alimentado con casos exitosos identificados en espacios de formación y redes de intercambio, con el fin de evaluar y seleccionar las más pertinentes para elevarlas a normas técnicas nacionales e internacionales (ISO, NTC).</w:t>
      </w:r>
    </w:p>
    <w:p w:rsidRPr="00E32ACE" w:rsidR="00EC1C7F" w:rsidP="2A9888F1" w:rsidRDefault="01CC777E" w14:paraId="7357C5C3" w14:textId="792743BE">
      <w:pPr>
        <w:pStyle w:val="ListParagraph"/>
        <w:numPr>
          <w:ilvl w:val="0"/>
          <w:numId w:val="30"/>
        </w:numPr>
        <w:suppressAutoHyphens/>
        <w:autoSpaceDN w:val="0"/>
        <w:spacing w:line="254" w:lineRule="auto"/>
        <w:ind w:left="567"/>
        <w:jc w:val="both"/>
        <w:textAlignment w:val="baseline"/>
      </w:pPr>
      <w:r w:rsidRPr="00E32ACE">
        <w:t>Diseñar estrategia para socializar casos exitosos e intercambio de experiencias de aplicación de buena prácticas, mejores técnicas disponibles y economía circular.</w:t>
      </w:r>
    </w:p>
    <w:p w:rsidRPr="00E32ACE" w:rsidR="00EC1C7F" w:rsidP="00136184" w:rsidRDefault="00EC1C7F" w14:paraId="127E390B" w14:textId="77777777">
      <w:pPr>
        <w:suppressAutoHyphens/>
        <w:autoSpaceDN w:val="0"/>
        <w:spacing w:line="254" w:lineRule="auto"/>
        <w:ind w:left="207"/>
        <w:jc w:val="both"/>
        <w:textAlignment w:val="baseline"/>
      </w:pPr>
      <w:r w:rsidRPr="00E32ACE">
        <w:t>Además de la divulgación y capacitación en buenas prácticas mineras, mejores técnicas disponibles y estrategias de economía circular aplicadas al sector minero, se debe fomentar el acceso de los pequeños mineros a mecanismos de financiación para la aplicación de dichas estrategias, para lo cual se propone:</w:t>
      </w:r>
    </w:p>
    <w:p w:rsidRPr="00E32ACE" w:rsidR="00EC1C7F" w:rsidP="2A9888F1" w:rsidRDefault="43FB0376" w14:paraId="0F5F14D8" w14:textId="77777777">
      <w:pPr>
        <w:pStyle w:val="ListParagraph"/>
        <w:numPr>
          <w:ilvl w:val="0"/>
          <w:numId w:val="30"/>
        </w:numPr>
        <w:suppressAutoHyphens/>
        <w:autoSpaceDN w:val="0"/>
        <w:spacing w:line="254" w:lineRule="auto"/>
        <w:ind w:left="567"/>
        <w:jc w:val="both"/>
        <w:textAlignment w:val="baseline"/>
      </w:pPr>
      <w:r w:rsidRPr="00E32ACE">
        <w:t>Incluir dentro de las líneas prioritarias del Fondo de Fomento Minero, la financiación para la aplicabilidad de las buenas prácticas, mejores técnicas disponibles y estrategias de economía circular por parte de los pequeños mineros.</w:t>
      </w:r>
    </w:p>
    <w:p w:rsidRPr="00E32ACE" w:rsidR="00EC1C7F" w:rsidP="2A9888F1" w:rsidRDefault="5D2B61CF" w14:paraId="4DAF5EA3" w14:textId="112F04E5">
      <w:pPr>
        <w:pStyle w:val="ListParagraph"/>
        <w:numPr>
          <w:ilvl w:val="0"/>
          <w:numId w:val="30"/>
        </w:numPr>
        <w:suppressAutoHyphens/>
        <w:autoSpaceDN w:val="0"/>
        <w:spacing w:line="254" w:lineRule="auto"/>
        <w:ind w:left="567"/>
        <w:jc w:val="both"/>
        <w:textAlignment w:val="baseline"/>
      </w:pPr>
      <w:r w:rsidRPr="00E32ACE">
        <w:t>Estructurar de manera conjunta con universidades y el SENA programas de capacitación para asistencia técnica sobre Buenas prácticas, mejores técnicas disponibles y economía circular. Los programas de capacitación deberán ser difundidos e incorporados en el Centro de Aprendizaje Minero.</w:t>
      </w:r>
      <w:r w:rsidRPr="00E32ACE" w:rsidR="43FB0376">
        <w:t xml:space="preserve"> Esta asistencia técnica debe diseñarse de forma diferencial según la escala de la actividad minera y tipo de mineral.</w:t>
      </w:r>
    </w:p>
    <w:p w:rsidRPr="00E32ACE" w:rsidR="00EC1C7F" w:rsidP="2A9888F1" w:rsidRDefault="43FB0376" w14:paraId="5BCE6795" w14:textId="77777777">
      <w:pPr>
        <w:pStyle w:val="ListParagraph"/>
        <w:numPr>
          <w:ilvl w:val="0"/>
          <w:numId w:val="30"/>
        </w:numPr>
        <w:suppressAutoHyphens/>
        <w:autoSpaceDN w:val="0"/>
        <w:spacing w:line="254" w:lineRule="auto"/>
        <w:ind w:left="567"/>
        <w:jc w:val="both"/>
        <w:textAlignment w:val="baseline"/>
      </w:pPr>
      <w:r w:rsidRPr="00E32ACE">
        <w:t>Diseñar e implementar un programa de incentivos o beneficios para aquellos mineros que han mejorado el desempeño de sus operaciones mineras.</w:t>
      </w:r>
    </w:p>
    <w:p w:rsidRPr="00E32ACE" w:rsidR="00EC1C7F" w:rsidP="00EC1C7F" w:rsidRDefault="00EC1C7F" w14:paraId="1868AD34" w14:textId="77777777">
      <w:pPr>
        <w:jc w:val="both"/>
      </w:pPr>
      <w:r w:rsidRPr="00E32ACE">
        <w:t>Desde el enfoque de la gestión del cambio climático planteado para el sector minero energético, se pueden destacar las siguientes acciones para el trabajo específico que puede desarrollarse en el subsector de minería en los siguientes componentes:</w:t>
      </w:r>
    </w:p>
    <w:p w:rsidRPr="00E32ACE" w:rsidR="00136184" w:rsidP="2A9888F1" w:rsidRDefault="2C40C798" w14:paraId="73FF271E" w14:textId="51EEDCC5">
      <w:pPr>
        <w:pStyle w:val="ListParagraph"/>
        <w:numPr>
          <w:ilvl w:val="0"/>
          <w:numId w:val="31"/>
        </w:numPr>
        <w:suppressAutoHyphens/>
        <w:autoSpaceDN w:val="0"/>
        <w:spacing w:line="254" w:lineRule="auto"/>
        <w:ind w:left="567"/>
        <w:jc w:val="both"/>
        <w:textAlignment w:val="baseline"/>
      </w:pPr>
      <w:r w:rsidRPr="00E32ACE">
        <w:t>Aplicar</w:t>
      </w:r>
      <w:r w:rsidRPr="00E32ACE" w:rsidR="0950DC1B">
        <w:t xml:space="preserve"> acciones específicas en las líneas estratégicas de mitigación, adaptación y gobernanza propuestas en el </w:t>
      </w:r>
      <w:proofErr w:type="spellStart"/>
      <w:r w:rsidRPr="00E32ACE" w:rsidR="0950DC1B">
        <w:t>PIGCCme</w:t>
      </w:r>
      <w:proofErr w:type="spellEnd"/>
      <w:r w:rsidRPr="00E32ACE" w:rsidR="0950DC1B">
        <w:t>, que establece un programa que promueve la carbono neutralidad y resiliencia climática al año 2050 (</w:t>
      </w:r>
      <w:proofErr w:type="spellStart"/>
      <w:r w:rsidRPr="00E32ACE" w:rsidR="0950DC1B">
        <w:t>MinEnergía</w:t>
      </w:r>
      <w:proofErr w:type="spellEnd"/>
      <w:r w:rsidRPr="00E32ACE" w:rsidR="0950DC1B">
        <w:t>, 2021)</w:t>
      </w:r>
      <w:r w:rsidRPr="00E32ACE" w:rsidR="5801838F">
        <w:t xml:space="preserve"> priorizando medidas de eficiencia energética y autogeneración eléctrica renovable.</w:t>
      </w:r>
    </w:p>
    <w:p w:rsidRPr="00E32ACE" w:rsidR="00136184" w:rsidP="00136184" w:rsidRDefault="00136184" w14:paraId="711D7867" w14:textId="77777777">
      <w:pPr>
        <w:pStyle w:val="ListParagraph"/>
        <w:suppressAutoHyphens/>
        <w:autoSpaceDN w:val="0"/>
        <w:spacing w:line="254" w:lineRule="auto"/>
        <w:ind w:left="567"/>
        <w:jc w:val="both"/>
        <w:textAlignment w:val="baseline"/>
      </w:pPr>
    </w:p>
    <w:p w:rsidRPr="00E32ACE" w:rsidR="00136184" w:rsidP="2A9888F1" w:rsidRDefault="06459EA1" w14:paraId="4F4435B6" w14:textId="77777777">
      <w:pPr>
        <w:pStyle w:val="ListParagraph"/>
        <w:numPr>
          <w:ilvl w:val="0"/>
          <w:numId w:val="31"/>
        </w:numPr>
        <w:suppressAutoHyphens/>
        <w:autoSpaceDN w:val="0"/>
        <w:spacing w:line="254" w:lineRule="auto"/>
        <w:ind w:left="567"/>
        <w:jc w:val="both"/>
        <w:textAlignment w:val="baseline"/>
      </w:pPr>
      <w:r w:rsidRPr="00E32ACE">
        <w:t xml:space="preserve">Crear una estrategia de coordinación con actores públicos y privados del sector, para la gestión de los riesgos climáticos que se pueden presentar en los territorios con actividad minera, empleando soluciones basadas en la naturaleza, con principios de la conservación ambiental y la biodiversidad. </w:t>
      </w:r>
    </w:p>
    <w:p w:rsidRPr="00E32ACE" w:rsidR="00136184" w:rsidP="00136184" w:rsidRDefault="00136184" w14:paraId="06CD72B8" w14:textId="77777777">
      <w:pPr>
        <w:pStyle w:val="ListParagraph"/>
      </w:pPr>
    </w:p>
    <w:p w:rsidRPr="00E32ACE" w:rsidR="00136184" w:rsidP="2A9888F1" w:rsidRDefault="06459EA1" w14:paraId="43C34159" w14:textId="55F91269">
      <w:pPr>
        <w:pStyle w:val="ListParagraph"/>
        <w:numPr>
          <w:ilvl w:val="0"/>
          <w:numId w:val="31"/>
        </w:numPr>
        <w:suppressAutoHyphens/>
        <w:autoSpaceDN w:val="0"/>
        <w:spacing w:line="254" w:lineRule="auto"/>
        <w:ind w:left="567"/>
        <w:jc w:val="both"/>
        <w:textAlignment w:val="baseline"/>
      </w:pPr>
      <w:r w:rsidRPr="00E32ACE">
        <w:t xml:space="preserve">Diseñar una estrategia para búsqueda de fuentes de financiación nacional e internacional para la implementación de estrategias de buenas prácticas en minería con énfasis en economía circular y contribuyan a la reducción de emisiones y promuevan la adaptación al cambio climático, en las actividades mineras. </w:t>
      </w:r>
    </w:p>
    <w:p w:rsidRPr="00E32ACE" w:rsidR="2A9888F1" w:rsidP="2A9888F1" w:rsidRDefault="2A9888F1" w14:paraId="25BF112C" w14:textId="4BE8BB06">
      <w:pPr>
        <w:pStyle w:val="ListParagraph"/>
        <w:spacing w:line="254" w:lineRule="auto"/>
        <w:ind w:left="567"/>
        <w:jc w:val="both"/>
      </w:pPr>
    </w:p>
    <w:p w:rsidRPr="00E32ACE" w:rsidR="006D4A58" w:rsidP="2A9888F1" w:rsidRDefault="43FB0376" w14:paraId="646B712E" w14:textId="1941693A">
      <w:pPr>
        <w:pStyle w:val="ListParagraph"/>
        <w:numPr>
          <w:ilvl w:val="0"/>
          <w:numId w:val="31"/>
        </w:numPr>
        <w:suppressAutoHyphens/>
        <w:autoSpaceDN w:val="0"/>
        <w:spacing w:line="254" w:lineRule="auto"/>
        <w:ind w:left="567"/>
        <w:jc w:val="both"/>
        <w:textAlignment w:val="baseline"/>
      </w:pPr>
      <w:r w:rsidRPr="00E32ACE">
        <w:t>Promover el uso eficiente de la energía y la inclusión de energías renovables en los diferentes procesos y operaciones de la actividad minera en articulación con el cierre de minas y el post cierre.</w:t>
      </w:r>
    </w:p>
    <w:p w:rsidRPr="00E32ACE" w:rsidR="31226965" w:rsidP="31226965" w:rsidRDefault="31226965" w14:paraId="65C22D22" w14:textId="026CB591">
      <w:pPr>
        <w:spacing w:line="254" w:lineRule="auto"/>
        <w:jc w:val="both"/>
      </w:pPr>
    </w:p>
    <w:p w:rsidRPr="00E32ACE" w:rsidR="00C443D6" w:rsidP="006D15DE" w:rsidRDefault="5D5A67DA" w14:paraId="4C66F771" w14:textId="16405404">
      <w:pPr>
        <w:pStyle w:val="Heading2"/>
        <w:rPr>
          <w:lang w:val="es-ES"/>
        </w:rPr>
      </w:pPr>
      <w:bookmarkStart w:name="_Toc135903142" w:id="1084"/>
      <w:bookmarkStart w:name="_Toc199511987" w:id="1085"/>
      <w:bookmarkStart w:name="_Toc1707226425" w:id="1086"/>
      <w:bookmarkStart w:name="_Toc2055482967" w:id="1087"/>
      <w:bookmarkStart w:name="_Toc958427389" w:id="1088"/>
      <w:bookmarkStart w:name="_Toc639110975" w:id="1089"/>
      <w:bookmarkStart w:name="_Toc1724365442" w:id="1090"/>
      <w:bookmarkStart w:name="_Toc1511516205" w:id="1091"/>
      <w:bookmarkStart w:name="_Toc1137134781" w:id="1092"/>
      <w:bookmarkStart w:name="_Toc979895627" w:id="1093"/>
      <w:bookmarkStart w:name="_Toc958846868" w:id="1094"/>
      <w:bookmarkStart w:name="_Toc762088399" w:id="1095"/>
      <w:bookmarkStart w:name="_Toc1682747962" w:id="1096"/>
      <w:bookmarkStart w:name="_Toc1834247606" w:id="1097"/>
      <w:bookmarkStart w:name="_Toc970889359" w:id="1098"/>
      <w:bookmarkStart w:name="_Toc1720211452" w:id="1099"/>
      <w:bookmarkStart w:name="_Toc1622784597" w:id="1100"/>
      <w:bookmarkStart w:name="_Toc1750043689" w:id="1101"/>
      <w:bookmarkStart w:name="_Toc1353523064" w:id="1102"/>
      <w:bookmarkStart w:name="_Toc2021081339" w:id="1103"/>
      <w:bookmarkStart w:name="_Toc449686219" w:id="1104"/>
      <w:bookmarkStart w:name="_Toc1235525272" w:id="1105"/>
      <w:bookmarkStart w:name="_Toc1029206380" w:id="1106"/>
      <w:bookmarkStart w:name="_Toc2063238706" w:id="1107"/>
      <w:bookmarkStart w:name="_Toc609305589" w:id="1108"/>
      <w:bookmarkStart w:name="_Toc159852098" w:id="1109"/>
      <w:bookmarkStart w:name="_Toc296967347" w:id="1110"/>
      <w:bookmarkStart w:name="_Toc694497158" w:id="1111"/>
      <w:bookmarkStart w:name="_Toc210292995" w:id="1112"/>
      <w:r w:rsidRPr="00E32ACE">
        <w:rPr>
          <w:lang w:val="es-ES"/>
        </w:rPr>
        <w:t xml:space="preserve">9. </w:t>
      </w:r>
      <w:r w:rsidRPr="00E32ACE" w:rsidR="5EFA0007">
        <w:rPr>
          <w:lang w:val="es-ES"/>
        </w:rPr>
        <w:t>Cierre minero integral y responsable.</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p w:rsidRPr="00E32ACE" w:rsidR="00C443D6" w:rsidP="00C443D6" w:rsidRDefault="00C443D6" w14:paraId="252F9414" w14:textId="77777777">
      <w:pPr>
        <w:pStyle w:val="ListParagraph"/>
        <w:ind w:left="0"/>
        <w:rPr>
          <w:lang w:val="es-ES"/>
        </w:rPr>
      </w:pPr>
    </w:p>
    <w:p w:rsidRPr="00E32ACE" w:rsidR="00C443D6" w:rsidP="10A5A027" w:rsidRDefault="00C443D6" w14:paraId="2D507791" w14:textId="32BF8BF3">
      <w:pPr>
        <w:jc w:val="both"/>
        <w:rPr>
          <w:rFonts w:eastAsia="Arial Nova" w:cs="Arial"/>
          <w:b/>
          <w:bCs/>
          <w:lang w:val="es-ES"/>
        </w:rPr>
      </w:pPr>
      <w:bookmarkStart w:name="_Toc135148127" w:id="1113"/>
      <w:bookmarkStart w:name="_Toc135148579" w:id="1114"/>
      <w:bookmarkStart w:name="_Toc135150457" w:id="1115"/>
      <w:bookmarkStart w:name="_Toc135298992" w:id="1116"/>
      <w:bookmarkStart w:name="_Toc135311373" w:id="1117"/>
      <w:bookmarkStart w:name="_Toc135325764" w:id="1118"/>
      <w:bookmarkStart w:name="_Toc135651377" w:id="1119"/>
      <w:bookmarkStart w:name="_Toc135746298" w:id="1120"/>
      <w:bookmarkStart w:name="_Toc135751560" w:id="1121"/>
      <w:bookmarkStart w:name="_Toc135752088" w:id="1122"/>
      <w:bookmarkStart w:name="_Toc135752937" w:id="1123"/>
      <w:r w:rsidRPr="00E32ACE">
        <w:rPr>
          <w:lang w:val="es-ES"/>
        </w:rPr>
        <w:t xml:space="preserve">Para el Gobierno Nacional, tal como se contempla en el PND, es una prioridad adelantar la reforma de la normativa minera que contemple </w:t>
      </w:r>
      <w:r w:rsidRPr="00E32ACE">
        <w:rPr>
          <w:rFonts w:eastAsia="Arial Nova" w:cs="Arial"/>
          <w:lang w:val="es-ES"/>
        </w:rPr>
        <w:t>instrumentos para la gestión del cierre minero y ambiental</w:t>
      </w:r>
      <w:r w:rsidRPr="00E32ACE" w:rsidR="008833AE">
        <w:rPr>
          <w:rFonts w:eastAsia="Arial Nova" w:cs="Arial"/>
          <w:lang w:val="es-ES"/>
        </w:rPr>
        <w:t>. Esta gestión debe incluir</w:t>
      </w:r>
      <w:r w:rsidRPr="00E32ACE">
        <w:rPr>
          <w:rFonts w:eastAsia="Arial Nova" w:cs="Arial"/>
          <w:lang w:val="es-ES"/>
        </w:rPr>
        <w:t xml:space="preserve"> el aprovisionamiento de recursos financieros con el fin de lograr los objetivos de control ambiental</w:t>
      </w:r>
      <w:r w:rsidRPr="00E32ACE" w:rsidR="007C3E61">
        <w:rPr>
          <w:rFonts w:eastAsia="Arial Nova" w:cs="Arial"/>
          <w:lang w:val="es-ES"/>
        </w:rPr>
        <w:t xml:space="preserve"> y</w:t>
      </w:r>
      <w:r w:rsidRPr="00E32ACE">
        <w:rPr>
          <w:rFonts w:eastAsia="Arial Nova" w:cs="Arial"/>
          <w:lang w:val="es-ES"/>
        </w:rPr>
        <w:t xml:space="preserve"> técnico</w:t>
      </w:r>
      <w:r w:rsidRPr="00E32ACE" w:rsidR="007C3E61">
        <w:rPr>
          <w:rFonts w:eastAsia="Arial Nova" w:cs="Arial"/>
          <w:lang w:val="es-ES"/>
        </w:rPr>
        <w:t>, así como la</w:t>
      </w:r>
      <w:r w:rsidRPr="00E32ACE">
        <w:rPr>
          <w:rFonts w:eastAsia="Arial Nova" w:cs="Arial"/>
          <w:lang w:val="es-ES"/>
        </w:rPr>
        <w:t xml:space="preserve"> mitigación de los impactos negativos sobre los componentes físico-bióticos y socioeconómicos, acorde con un cierre de mina ordenado, seguro, y socialmente responsable.</w:t>
      </w:r>
      <w:bookmarkEnd w:id="1113"/>
      <w:bookmarkEnd w:id="1114"/>
      <w:bookmarkEnd w:id="1115"/>
      <w:bookmarkEnd w:id="1116"/>
      <w:bookmarkEnd w:id="1117"/>
      <w:bookmarkEnd w:id="1118"/>
      <w:bookmarkEnd w:id="1119"/>
      <w:bookmarkEnd w:id="1120"/>
      <w:bookmarkEnd w:id="1121"/>
      <w:bookmarkEnd w:id="1122"/>
      <w:bookmarkEnd w:id="1123"/>
    </w:p>
    <w:p w:rsidRPr="00E32ACE" w:rsidR="00C443D6" w:rsidP="3DF0D248" w:rsidRDefault="716D0EC3" w14:paraId="5C749AD9" w14:textId="2E51B5A2">
      <w:pPr>
        <w:jc w:val="both"/>
        <w:rPr>
          <w:rFonts w:eastAsia="Arial Nova" w:cs="Arial"/>
          <w:b/>
          <w:bCs/>
          <w:lang w:val="es-ES"/>
        </w:rPr>
      </w:pPr>
      <w:bookmarkStart w:name="_Toc135148128" w:id="1124"/>
      <w:bookmarkStart w:name="_Toc135148580" w:id="1125"/>
      <w:bookmarkStart w:name="_Toc135150458" w:id="1126"/>
      <w:bookmarkStart w:name="_Toc135298993" w:id="1127"/>
      <w:bookmarkStart w:name="_Toc135311374" w:id="1128"/>
      <w:bookmarkStart w:name="_Toc135325765" w:id="1129"/>
      <w:bookmarkStart w:name="_Toc135651378" w:id="1130"/>
      <w:bookmarkStart w:name="_Toc135746299" w:id="1131"/>
      <w:bookmarkStart w:name="_Toc135751561" w:id="1132"/>
      <w:bookmarkStart w:name="_Toc135752089" w:id="1133"/>
      <w:bookmarkStart w:name="_Toc135752938" w:id="1134"/>
      <w:r w:rsidRPr="00E32ACE">
        <w:rPr>
          <w:lang w:val="es-ES"/>
        </w:rPr>
        <w:t>Así mismo</w:t>
      </w:r>
      <w:r w:rsidRPr="00E32ACE" w:rsidR="00D2070E">
        <w:rPr>
          <w:lang w:val="es-ES"/>
        </w:rPr>
        <w:t>,</w:t>
      </w:r>
      <w:r w:rsidRPr="00E32ACE">
        <w:rPr>
          <w:lang w:val="es-ES"/>
        </w:rPr>
        <w:t xml:space="preserve"> el cierre minero también implica consideraciones sociales, ya que </w:t>
      </w:r>
      <w:r w:rsidRPr="00E32ACE" w:rsidR="7739480F">
        <w:rPr>
          <w:rFonts w:eastAsia="Arial Nova" w:cs="Arial"/>
          <w:lang w:val="es-ES"/>
        </w:rPr>
        <w:t>debe minimizarse</w:t>
      </w:r>
      <w:r w:rsidRPr="00E32ACE">
        <w:rPr>
          <w:rFonts w:eastAsia="Arial Nova" w:cs="Arial"/>
          <w:lang w:val="es-ES"/>
        </w:rPr>
        <w:t xml:space="preserve"> el impacto en las comunidades locales</w:t>
      </w:r>
      <w:r w:rsidRPr="00E32ACE" w:rsidR="00446A50">
        <w:rPr>
          <w:rFonts w:eastAsia="Arial Nova" w:cs="Arial"/>
          <w:lang w:val="es-ES"/>
        </w:rPr>
        <w:t xml:space="preserve"> y los trabajadores del sector</w:t>
      </w:r>
      <w:r w:rsidRPr="00E32ACE">
        <w:rPr>
          <w:rFonts w:eastAsia="Arial Nova" w:cs="Arial"/>
          <w:lang w:val="es-ES"/>
        </w:rPr>
        <w:t>. Se deben tener en cuenta aspectos como el cese de la actividad económica minera y la generación de alternativas laborales y proyectos productivos para los trabajadores y comunidades afectada</w:t>
      </w:r>
      <w:r w:rsidRPr="00E32ACE" w:rsidR="4AC9D052">
        <w:rPr>
          <w:rFonts w:eastAsia="Arial Nova" w:cs="Arial"/>
          <w:lang w:val="es-ES"/>
        </w:rPr>
        <w:t>s</w:t>
      </w:r>
      <w:r w:rsidRPr="00E32ACE">
        <w:rPr>
          <w:rFonts w:eastAsia="Arial Nova" w:cs="Arial"/>
          <w:lang w:val="es-ES"/>
        </w:rPr>
        <w:t>, entre otros aspectos.</w:t>
      </w:r>
      <w:bookmarkEnd w:id="1124"/>
      <w:bookmarkEnd w:id="1125"/>
      <w:bookmarkEnd w:id="1126"/>
      <w:bookmarkEnd w:id="1127"/>
      <w:bookmarkEnd w:id="1128"/>
      <w:bookmarkEnd w:id="1129"/>
      <w:bookmarkEnd w:id="1130"/>
      <w:bookmarkEnd w:id="1131"/>
      <w:bookmarkEnd w:id="1132"/>
      <w:bookmarkEnd w:id="1133"/>
      <w:bookmarkEnd w:id="1134"/>
    </w:p>
    <w:p w:rsidRPr="00E32ACE" w:rsidR="00C443D6" w:rsidP="00BB2A04" w:rsidRDefault="124C04F4" w14:paraId="7B08C32B" w14:textId="0902020B">
      <w:pPr>
        <w:jc w:val="both"/>
        <w:rPr>
          <w:rFonts w:cs="Arial"/>
          <w:lang w:val="es-ES"/>
        </w:rPr>
      </w:pPr>
      <w:r w:rsidRPr="00E32ACE">
        <w:rPr>
          <w:rFonts w:cs="Arial"/>
          <w:lang w:val="es-ES"/>
        </w:rPr>
        <w:t>Es necesario establecer mecanismos normativos y técnicos para la correcta gestión del cierre minero</w:t>
      </w:r>
      <w:r w:rsidRPr="00E32ACE" w:rsidR="47F66CC4">
        <w:rPr>
          <w:rFonts w:cs="Arial"/>
          <w:lang w:val="es-ES"/>
        </w:rPr>
        <w:t>. De esta manera,</w:t>
      </w:r>
      <w:r w:rsidRPr="00E32ACE">
        <w:rPr>
          <w:rFonts w:cs="Arial"/>
          <w:lang w:val="es-ES"/>
        </w:rPr>
        <w:t xml:space="preserve"> en el corto plazo se avanzará en:</w:t>
      </w:r>
    </w:p>
    <w:p w:rsidRPr="00E32ACE" w:rsidR="4C206025" w:rsidP="2A9888F1" w:rsidRDefault="4C206025" w14:paraId="672EDCE2" w14:textId="38209207">
      <w:pPr>
        <w:pStyle w:val="ListParagraph"/>
        <w:numPr>
          <w:ilvl w:val="0"/>
          <w:numId w:val="14"/>
        </w:numPr>
        <w:spacing w:after="0" w:line="257" w:lineRule="auto"/>
        <w:jc w:val="both"/>
        <w:rPr>
          <w:lang w:val="es"/>
        </w:rPr>
      </w:pPr>
      <w:r w:rsidRPr="00E32ACE">
        <w:rPr>
          <w:lang w:val="es"/>
        </w:rPr>
        <w:t>Proponer y adoptar un nuevo u</w:t>
      </w:r>
      <w:r w:rsidRPr="00E32ACE" w:rsidR="1F8AF43A">
        <w:rPr>
          <w:lang w:val="es-ES"/>
        </w:rPr>
        <w:t>n marco normativo integral para el cierre, en los componentes técnicos ambientales y la gestión del post cierre de operaciones mineras, que considere todos los parámetros socioambientales, culturales, mineros, económicos, laborales, geotécnicos, hidrogeológicos y geoquímicos, entre otros.</w:t>
      </w:r>
    </w:p>
    <w:p w:rsidRPr="00E32ACE" w:rsidR="2A9888F1" w:rsidP="2A9888F1" w:rsidRDefault="2A9888F1" w14:paraId="10733A91" w14:textId="0F28A5CA">
      <w:pPr>
        <w:pStyle w:val="ListParagraph"/>
        <w:spacing w:after="0" w:line="257" w:lineRule="auto"/>
        <w:jc w:val="both"/>
        <w:rPr>
          <w:lang w:val="es"/>
        </w:rPr>
      </w:pPr>
    </w:p>
    <w:p w:rsidRPr="00E32ACE" w:rsidR="5181F3D8" w:rsidP="2A9888F1" w:rsidRDefault="5181F3D8" w14:paraId="52CDD573" w14:textId="0AB0DA42">
      <w:pPr>
        <w:pStyle w:val="ListParagraph"/>
        <w:numPr>
          <w:ilvl w:val="0"/>
          <w:numId w:val="14"/>
        </w:numPr>
        <w:spacing w:after="0" w:line="257" w:lineRule="auto"/>
        <w:jc w:val="both"/>
        <w:rPr>
          <w:rFonts w:cs="Arial"/>
          <w:lang w:val="es-ES"/>
        </w:rPr>
      </w:pPr>
      <w:r w:rsidRPr="00E32ACE">
        <w:rPr>
          <w:rFonts w:eastAsia="Arial" w:cs="Arial"/>
          <w:lang w:val="es"/>
        </w:rPr>
        <w:t xml:space="preserve">Reglamentar el artículo 24 de la </w:t>
      </w:r>
      <w:r w:rsidRPr="00E32ACE" w:rsidR="18238293">
        <w:rPr>
          <w:rFonts w:eastAsia="Arial" w:cs="Arial"/>
          <w:lang w:val="es"/>
        </w:rPr>
        <w:t>L</w:t>
      </w:r>
      <w:r w:rsidRPr="00E32ACE">
        <w:rPr>
          <w:rFonts w:eastAsia="Arial" w:cs="Arial"/>
          <w:lang w:val="es"/>
        </w:rPr>
        <w:t>ey 1753 de 2015</w:t>
      </w:r>
      <w:r w:rsidRPr="00E32ACE" w:rsidR="7BF1A267">
        <w:rPr>
          <w:rFonts w:eastAsia="Arial" w:cs="Arial"/>
          <w:lang w:val="es"/>
        </w:rPr>
        <w:t xml:space="preserve"> o la que haga sus veces</w:t>
      </w:r>
      <w:r w:rsidRPr="00E32ACE">
        <w:rPr>
          <w:rFonts w:eastAsia="Arial" w:cs="Arial"/>
          <w:lang w:val="es"/>
        </w:rPr>
        <w:t xml:space="preserve">, actualizando la normatividad minera y ambiental relacionada con el cierre minero integral del área intervenida; donde se detallen los escenarios y requisitos para realizar cierres parciales y definitivos. </w:t>
      </w:r>
      <w:r w:rsidRPr="00E32ACE">
        <w:rPr>
          <w:rFonts w:cs="Arial"/>
          <w:lang w:val="es-ES"/>
        </w:rPr>
        <w:t xml:space="preserve">Incluye actividades de cierre y </w:t>
      </w:r>
      <w:proofErr w:type="spellStart"/>
      <w:r w:rsidRPr="00E32ACE">
        <w:rPr>
          <w:rFonts w:cs="Arial"/>
          <w:lang w:val="es-ES"/>
        </w:rPr>
        <w:t>postcierre</w:t>
      </w:r>
      <w:proofErr w:type="spellEnd"/>
      <w:r w:rsidRPr="00E32ACE">
        <w:rPr>
          <w:rFonts w:cs="Arial"/>
          <w:lang w:val="es-ES"/>
        </w:rPr>
        <w:t xml:space="preserve"> donde se establezcan sus condiciones técnicas, garantías financieras, sociales y ambientales.</w:t>
      </w:r>
    </w:p>
    <w:p w:rsidRPr="00E32ACE" w:rsidR="2A9888F1" w:rsidP="2A9888F1" w:rsidRDefault="2A9888F1" w14:paraId="6C51D36E" w14:textId="2A2349AB">
      <w:pPr>
        <w:pStyle w:val="ListParagraph"/>
        <w:spacing w:after="0" w:line="257" w:lineRule="auto"/>
        <w:jc w:val="both"/>
      </w:pPr>
    </w:p>
    <w:p w:rsidRPr="00E32ACE" w:rsidR="29D10A2F" w:rsidP="2A9888F1" w:rsidRDefault="29D10A2F" w14:paraId="2B1B4B28" w14:textId="78AFAE8B">
      <w:pPr>
        <w:pStyle w:val="ListParagraph"/>
        <w:numPr>
          <w:ilvl w:val="0"/>
          <w:numId w:val="14"/>
        </w:numPr>
        <w:spacing w:after="0" w:line="257" w:lineRule="auto"/>
        <w:jc w:val="both"/>
      </w:pPr>
      <w:r w:rsidRPr="00E32ACE">
        <w:rPr>
          <w:lang w:val="es-ES"/>
        </w:rPr>
        <w:t>Actualizar los Términos de Referencia para el Programa de Trabajos y Obras en el componente técnico del Plan de Cierre Minero.</w:t>
      </w:r>
    </w:p>
    <w:p w:rsidRPr="00E32ACE" w:rsidR="2A9888F1" w:rsidP="2A9888F1" w:rsidRDefault="2A9888F1" w14:paraId="774B564E" w14:textId="263B5013">
      <w:pPr>
        <w:pStyle w:val="ListParagraph"/>
        <w:spacing w:after="0" w:line="257" w:lineRule="auto"/>
        <w:jc w:val="both"/>
      </w:pPr>
    </w:p>
    <w:p w:rsidRPr="00E32ACE" w:rsidR="006D15DE" w:rsidP="001C54B2" w:rsidRDefault="463DF58C" w14:paraId="75303E40" w14:textId="74BD14A0">
      <w:pPr>
        <w:pStyle w:val="ListParagraph"/>
        <w:numPr>
          <w:ilvl w:val="0"/>
          <w:numId w:val="14"/>
        </w:numPr>
        <w:spacing w:after="0" w:line="257" w:lineRule="auto"/>
        <w:jc w:val="both"/>
        <w:rPr>
          <w:rFonts w:eastAsia="Calibri" w:cs="Arial"/>
          <w:lang w:val="es"/>
        </w:rPr>
      </w:pPr>
      <w:r w:rsidRPr="00E32ACE">
        <w:rPr>
          <w:rFonts w:cs="Arial"/>
          <w:lang w:val="es-ES"/>
        </w:rPr>
        <w:t xml:space="preserve">Articular </w:t>
      </w:r>
      <w:r w:rsidRPr="00E32ACE" w:rsidR="1C18F5A1">
        <w:rPr>
          <w:rFonts w:cs="Arial"/>
          <w:lang w:val="es-ES"/>
        </w:rPr>
        <w:t>el seguimiento</w:t>
      </w:r>
      <w:r w:rsidRPr="00E32ACE" w:rsidR="26FE7C7B">
        <w:rPr>
          <w:rFonts w:cs="Arial"/>
          <w:lang w:val="es-ES"/>
        </w:rPr>
        <w:t>,</w:t>
      </w:r>
      <w:r w:rsidRPr="00E32ACE" w:rsidR="1C18F5A1">
        <w:rPr>
          <w:rFonts w:cs="Arial"/>
          <w:lang w:val="es-ES"/>
        </w:rPr>
        <w:t xml:space="preserve"> por parte de la </w:t>
      </w:r>
      <w:r w:rsidRPr="00E32ACE" w:rsidR="6D637729">
        <w:rPr>
          <w:rFonts w:cs="Arial"/>
          <w:lang w:val="es-ES"/>
        </w:rPr>
        <w:t>autoridad minera</w:t>
      </w:r>
      <w:r w:rsidRPr="00E32ACE" w:rsidR="3E0FCD92">
        <w:rPr>
          <w:rFonts w:cs="Arial"/>
          <w:lang w:val="es-ES"/>
        </w:rPr>
        <w:t xml:space="preserve"> y </w:t>
      </w:r>
      <w:r w:rsidRPr="00E32ACE" w:rsidR="6D637729">
        <w:rPr>
          <w:rFonts w:cs="Arial"/>
          <w:lang w:val="es-ES"/>
        </w:rPr>
        <w:t>ambiental</w:t>
      </w:r>
      <w:r w:rsidRPr="00E32ACE" w:rsidR="00765299">
        <w:rPr>
          <w:rFonts w:cs="Arial"/>
          <w:lang w:val="es-ES"/>
        </w:rPr>
        <w:t>,</w:t>
      </w:r>
      <w:r w:rsidRPr="00E32ACE" w:rsidR="3E0FCD92">
        <w:rPr>
          <w:rFonts w:cs="Arial"/>
          <w:lang w:val="es-ES"/>
        </w:rPr>
        <w:t xml:space="preserve"> </w:t>
      </w:r>
      <w:r w:rsidRPr="00E32ACE" w:rsidR="1C18F5A1">
        <w:rPr>
          <w:rFonts w:cs="Arial"/>
          <w:lang w:val="es-ES"/>
        </w:rPr>
        <w:t xml:space="preserve">a las </w:t>
      </w:r>
      <w:r w:rsidRPr="00E32ACE">
        <w:rPr>
          <w:rFonts w:cs="Arial"/>
          <w:lang w:val="es-ES"/>
        </w:rPr>
        <w:t xml:space="preserve">actividades de cierre integral minero y ambiental en el desarrollo de las etapas contractuales en las áreas intervenidas, así como la aplicación de la normatividad que regula las mismas.  </w:t>
      </w:r>
    </w:p>
    <w:p w:rsidRPr="00E32ACE" w:rsidR="006D15DE" w:rsidP="2A9888F1" w:rsidRDefault="006D15DE" w14:paraId="2AB79940" w14:textId="444C1608">
      <w:pPr>
        <w:pStyle w:val="ListParagraph"/>
        <w:spacing w:after="0" w:line="257" w:lineRule="auto"/>
        <w:jc w:val="both"/>
        <w:rPr>
          <w:rFonts w:eastAsia="Calibri" w:cs="Arial"/>
          <w:lang w:val="es"/>
        </w:rPr>
      </w:pPr>
    </w:p>
    <w:p w:rsidRPr="00E32ACE" w:rsidR="006D15DE" w:rsidP="2A9888F1" w:rsidRDefault="45B166B6" w14:paraId="56A03A19" w14:textId="730F473A">
      <w:pPr>
        <w:pStyle w:val="ListParagraph"/>
        <w:numPr>
          <w:ilvl w:val="0"/>
          <w:numId w:val="14"/>
        </w:numPr>
        <w:spacing w:after="0" w:line="257" w:lineRule="auto"/>
        <w:jc w:val="both"/>
        <w:rPr>
          <w:rFonts w:eastAsia="Calibri" w:cs="Arial"/>
          <w:lang w:val="es"/>
        </w:rPr>
      </w:pPr>
      <w:r w:rsidRPr="00E32ACE">
        <w:t>Implementación de la Resolución No. 40279 de 2022 referente a los programas de sustitución de actividades mineras y reconversión o reubicación laboral de los pequeños mineros tradicionales ubicados en ecosistemas de páramo delimitados, en las fases de cierre y desmantelamiento de minas.</w:t>
      </w:r>
    </w:p>
    <w:p w:rsidRPr="00E32ACE" w:rsidR="006D15DE" w:rsidP="2A9888F1" w:rsidRDefault="006D15DE" w14:paraId="5B2A00BF" w14:textId="7E594A7D">
      <w:pPr>
        <w:spacing w:after="0" w:line="257" w:lineRule="auto"/>
        <w:ind w:left="708"/>
        <w:jc w:val="both"/>
        <w:rPr>
          <w:rFonts w:eastAsia="Calibri" w:cs="Arial"/>
          <w:lang w:val="es"/>
        </w:rPr>
      </w:pPr>
    </w:p>
    <w:p w:rsidRPr="00E32ACE" w:rsidR="00E32ACE" w:rsidP="006D15DE" w:rsidRDefault="61DF4957" w14:paraId="37597165" w14:textId="33B0229D">
      <w:pPr>
        <w:pStyle w:val="ListParagraph"/>
        <w:numPr>
          <w:ilvl w:val="0"/>
          <w:numId w:val="14"/>
        </w:numPr>
        <w:spacing w:after="0" w:line="257" w:lineRule="auto"/>
        <w:jc w:val="both"/>
        <w:rPr>
          <w:rFonts w:eastAsia="Calibri" w:cs="Arial"/>
          <w:lang w:val="es"/>
        </w:rPr>
      </w:pPr>
      <w:r w:rsidRPr="00E32ACE">
        <w:rPr>
          <w:lang w:val="es-ES"/>
        </w:rPr>
        <w:t xml:space="preserve">Diseñar e implementar una herramienta tecnológica que facilite el acceso y gestión de información relevante para el seguimiento coordinado de proyectos en etapas tempranas de cierre minero, fortaleciendo la articulación entre autoridades mineras y ambientales y optimizando el apoyo interinstitucional en los procesos de control y acompañamiento </w:t>
      </w:r>
      <w:r w:rsidRPr="00E32ACE" w:rsidR="786674ED">
        <w:rPr>
          <w:rFonts w:cs="Arial"/>
          <w:lang w:val="es-ES"/>
        </w:rPr>
        <w:t>a los proyectos con etapas tempranas de cierre.</w:t>
      </w:r>
      <w:bookmarkStart w:name="_Toc135903143" w:id="1135"/>
      <w:bookmarkStart w:name="_Toc199511988" w:id="1136"/>
      <w:bookmarkStart w:name="_Toc715877775" w:id="1137"/>
      <w:bookmarkStart w:name="_Toc469520038" w:id="1138"/>
      <w:bookmarkStart w:name="_Toc1873260848" w:id="1139"/>
      <w:bookmarkStart w:name="_Toc985740011" w:id="1140"/>
      <w:bookmarkStart w:name="_Toc497534523" w:id="1141"/>
      <w:bookmarkStart w:name="_Toc1017053152" w:id="1142"/>
      <w:bookmarkStart w:name="_Toc329299239" w:id="1143"/>
      <w:bookmarkStart w:name="_Toc257046641" w:id="1144"/>
      <w:bookmarkStart w:name="_Toc207055902" w:id="1145"/>
      <w:bookmarkStart w:name="_Toc1541965670" w:id="1146"/>
      <w:bookmarkStart w:name="_Toc1495989479" w:id="1147"/>
      <w:bookmarkStart w:name="_Toc1170792655" w:id="1148"/>
      <w:bookmarkStart w:name="_Toc444121252" w:id="1149"/>
      <w:bookmarkStart w:name="_Toc1947521938" w:id="1150"/>
      <w:bookmarkStart w:name="_Toc60848396" w:id="1151"/>
      <w:bookmarkStart w:name="_Toc210650057" w:id="1152"/>
      <w:bookmarkStart w:name="_Toc532604512" w:id="1153"/>
      <w:bookmarkStart w:name="_Toc963044277" w:id="1154"/>
      <w:bookmarkStart w:name="_Toc1439804361" w:id="1155"/>
      <w:bookmarkStart w:name="_Toc1424647820" w:id="1156"/>
      <w:bookmarkStart w:name="_Toc60498883" w:id="1157"/>
      <w:bookmarkStart w:name="_Toc938704299" w:id="1158"/>
      <w:bookmarkStart w:name="_Toc1809023938" w:id="1159"/>
      <w:bookmarkStart w:name="_Toc1866381961" w:id="1160"/>
      <w:bookmarkStart w:name="_Toc908826497" w:id="1161"/>
      <w:bookmarkStart w:name="_Toc952890016" w:id="1162"/>
    </w:p>
    <w:p w:rsidRPr="00E32ACE" w:rsidR="00E32ACE" w:rsidP="00E32ACE" w:rsidRDefault="00E32ACE" w14:paraId="662D6477" w14:textId="77777777">
      <w:pPr>
        <w:pStyle w:val="ListParagraph"/>
        <w:rPr>
          <w:rFonts w:eastAsia="Calibri" w:cs="Arial"/>
          <w:lang w:val="es"/>
        </w:rPr>
      </w:pPr>
    </w:p>
    <w:p w:rsidRPr="00E32ACE" w:rsidR="00E32ACE" w:rsidP="00E32ACE" w:rsidRDefault="00E32ACE" w14:paraId="5A20F403" w14:textId="77777777">
      <w:pPr>
        <w:pStyle w:val="ListParagraph"/>
        <w:spacing w:after="0" w:line="257" w:lineRule="auto"/>
        <w:jc w:val="both"/>
        <w:rPr>
          <w:rFonts w:eastAsia="Calibri" w:cs="Arial"/>
          <w:lang w:val="es"/>
        </w:rPr>
      </w:pPr>
    </w:p>
    <w:p w:rsidRPr="00E32ACE" w:rsidR="00C443D6" w:rsidP="006D15DE" w:rsidRDefault="5D5A67DA" w14:paraId="2A02F298" w14:textId="47FFB1EB">
      <w:pPr>
        <w:pStyle w:val="Heading2"/>
        <w:rPr>
          <w:lang w:val="es-ES"/>
        </w:rPr>
      </w:pPr>
      <w:bookmarkStart w:name="_Toc210292996" w:id="1163"/>
      <w:r w:rsidRPr="00E32ACE">
        <w:rPr>
          <w:lang w:val="es-ES"/>
        </w:rPr>
        <w:t xml:space="preserve">10. </w:t>
      </w:r>
      <w:r w:rsidRPr="00E32ACE" w:rsidR="5EFA0007">
        <w:rPr>
          <w:lang w:val="es-ES"/>
        </w:rPr>
        <w:t xml:space="preserve">Prevención y apoyo </w:t>
      </w:r>
      <w:r w:rsidRPr="00E32ACE" w:rsidR="367F97D2">
        <w:rPr>
          <w:lang w:val="es-ES"/>
        </w:rPr>
        <w:t>a las acciones</w:t>
      </w:r>
      <w:r w:rsidRPr="00E32ACE" w:rsidR="5EFA0007">
        <w:rPr>
          <w:lang w:val="es-ES"/>
        </w:rPr>
        <w:t xml:space="preserve"> contra la explotación no autorizada y la explotación ilícita de minerales.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rsidRPr="00E32ACE" w:rsidR="00C443D6" w:rsidP="00C443D6" w:rsidRDefault="00C443D6" w14:paraId="4E217DCC" w14:textId="438286C9">
      <w:pPr>
        <w:rPr>
          <w:lang w:val="es-ES"/>
        </w:rPr>
      </w:pPr>
    </w:p>
    <w:p w:rsidRPr="00E32ACE" w:rsidR="00360095" w:rsidP="00360095" w:rsidRDefault="00C443D6" w14:paraId="70F7E410" w14:textId="77777777">
      <w:pPr>
        <w:keepNext/>
        <w:widowControl w:val="0"/>
        <w:spacing w:after="0" w:line="240" w:lineRule="auto"/>
        <w:jc w:val="both"/>
        <w:textAlignment w:val="baseline"/>
        <w:rPr>
          <w:lang w:val="es-ES"/>
        </w:rPr>
      </w:pPr>
      <w:r w:rsidRPr="00E32ACE">
        <w:rPr>
          <w:lang w:val="es-ES"/>
        </w:rPr>
        <w:t xml:space="preserve">Desde el </w:t>
      </w:r>
      <w:proofErr w:type="spellStart"/>
      <w:r w:rsidRPr="00E32ACE" w:rsidR="000A32D7">
        <w:rPr>
          <w:rFonts w:eastAsia="Arial Nova" w:cs="Arial"/>
          <w:lang w:val="es-ES"/>
        </w:rPr>
        <w:t>MinEnergía</w:t>
      </w:r>
      <w:proofErr w:type="spellEnd"/>
      <w:r w:rsidRPr="00E32ACE">
        <w:rPr>
          <w:lang w:val="es-ES"/>
        </w:rPr>
        <w:t xml:space="preserve"> se seguirá apoyando el desarrollo de estrategias para la prevención y apoyo al control de las explotaciones no autorizadas de minerales. En este sentido se planea desarrollar las siguientes acciones:</w:t>
      </w:r>
    </w:p>
    <w:p w:rsidRPr="00E32ACE" w:rsidR="00360095" w:rsidP="00360095" w:rsidRDefault="00360095" w14:paraId="4A9CA03A" w14:textId="77777777">
      <w:pPr>
        <w:keepNext/>
        <w:widowControl w:val="0"/>
        <w:spacing w:after="0" w:line="240" w:lineRule="auto"/>
        <w:jc w:val="both"/>
        <w:textAlignment w:val="baseline"/>
        <w:rPr>
          <w:lang w:val="es-ES"/>
        </w:rPr>
      </w:pPr>
    </w:p>
    <w:p w:rsidRPr="00E32ACE" w:rsidR="006D15DE" w:rsidP="2A9888F1" w:rsidRDefault="34476658" w14:paraId="63BAD7A2" w14:textId="389BA97C">
      <w:pPr>
        <w:pStyle w:val="ListParagraph"/>
        <w:numPr>
          <w:ilvl w:val="0"/>
          <w:numId w:val="10"/>
        </w:numPr>
        <w:spacing w:after="0" w:line="240" w:lineRule="auto"/>
        <w:ind w:left="567"/>
        <w:jc w:val="both"/>
        <w:rPr>
          <w:lang w:val="es-ES"/>
        </w:rPr>
      </w:pPr>
      <w:r w:rsidRPr="00E32ACE">
        <w:rPr>
          <w:lang w:val="es-ES"/>
        </w:rPr>
        <w:t xml:space="preserve">Fortalecer la estrategia de sensibilización sobre explotación no autorizada de minerales </w:t>
      </w:r>
      <w:r w:rsidRPr="00E32ACE" w:rsidR="12B8E0EC">
        <w:rPr>
          <w:lang w:val="es-ES"/>
        </w:rPr>
        <w:t>con</w:t>
      </w:r>
      <w:r w:rsidRPr="00E32ACE">
        <w:rPr>
          <w:lang w:val="es-ES"/>
        </w:rPr>
        <w:t xml:space="preserve"> autoridades locales, departamentales, fuerza pública, comunidades mineras y a los actores de la cadena de suministro de los minerales.</w:t>
      </w:r>
    </w:p>
    <w:p w:rsidRPr="00E32ACE" w:rsidR="00360095" w:rsidP="2A9888F1" w:rsidRDefault="00360095" w14:paraId="3421B270" w14:textId="77777777">
      <w:pPr>
        <w:spacing w:after="0" w:line="240" w:lineRule="auto"/>
        <w:ind w:left="567"/>
        <w:jc w:val="both"/>
        <w:rPr>
          <w:lang w:val="es-ES"/>
        </w:rPr>
      </w:pPr>
    </w:p>
    <w:p w:rsidRPr="00E32ACE" w:rsidR="006D15DE" w:rsidP="2A9888F1" w:rsidRDefault="5181F3D8" w14:paraId="357C0239" w14:textId="0F0514C1">
      <w:pPr>
        <w:numPr>
          <w:ilvl w:val="0"/>
          <w:numId w:val="10"/>
        </w:numPr>
        <w:spacing w:after="0" w:line="240" w:lineRule="auto"/>
        <w:ind w:left="567" w:hanging="283"/>
        <w:jc w:val="both"/>
        <w:rPr>
          <w:lang w:val="es-ES"/>
        </w:rPr>
      </w:pPr>
      <w:r w:rsidRPr="00E32ACE">
        <w:rPr>
          <w:lang w:val="es-ES"/>
        </w:rPr>
        <w:t>Robustecer y actualizar el sistema de monitoreo con información local, así como el diseño e implementación de herramientas que permitan la alimentación permanente de esta información en el sistema de monitoreo.</w:t>
      </w:r>
    </w:p>
    <w:p w:rsidRPr="00E32ACE" w:rsidR="006D15DE" w:rsidP="2EC55DBA" w:rsidRDefault="006D15DE" w14:paraId="681AD445" w14:textId="07B29C1A">
      <w:pPr>
        <w:spacing w:after="0" w:line="240" w:lineRule="auto"/>
        <w:ind w:left="567" w:hanging="283"/>
        <w:jc w:val="both"/>
        <w:rPr>
          <w:lang w:val="es-ES"/>
        </w:rPr>
      </w:pPr>
    </w:p>
    <w:p w:rsidRPr="00E32ACE" w:rsidR="00330FCF" w:rsidP="2A9888F1" w:rsidRDefault="5B0B7048" w14:paraId="3D0C72C9" w14:textId="77777777">
      <w:pPr>
        <w:numPr>
          <w:ilvl w:val="0"/>
          <w:numId w:val="10"/>
        </w:numPr>
        <w:spacing w:after="0" w:line="240" w:lineRule="auto"/>
        <w:ind w:left="567" w:hanging="283"/>
        <w:jc w:val="both"/>
        <w:rPr>
          <w:lang w:val="es-ES"/>
        </w:rPr>
      </w:pPr>
      <w:r w:rsidRPr="00E32ACE">
        <w:rPr>
          <w:lang w:val="es-ES"/>
        </w:rPr>
        <w:t>Implementar y operativizar mecanismos de trazabilidad de minerales y debida diligencia.</w:t>
      </w:r>
    </w:p>
    <w:p w:rsidRPr="00E32ACE" w:rsidR="00330FCF" w:rsidP="2A9888F1" w:rsidRDefault="00330FCF" w14:paraId="5E3DFDF1" w14:textId="77777777">
      <w:pPr>
        <w:spacing w:after="0" w:line="240" w:lineRule="auto"/>
        <w:jc w:val="both"/>
        <w:rPr>
          <w:lang w:val="es-ES"/>
        </w:rPr>
      </w:pPr>
    </w:p>
    <w:p w:rsidRPr="00E32ACE" w:rsidR="006D15DE" w:rsidP="2A9888F1" w:rsidRDefault="12B8E0EC" w14:paraId="692221CF" w14:textId="7E311C02">
      <w:pPr>
        <w:numPr>
          <w:ilvl w:val="0"/>
          <w:numId w:val="10"/>
        </w:numPr>
        <w:spacing w:after="0" w:line="240" w:lineRule="auto"/>
        <w:ind w:left="567" w:hanging="283"/>
        <w:jc w:val="both"/>
        <w:rPr>
          <w:lang w:val="es-ES"/>
        </w:rPr>
      </w:pPr>
      <w:r w:rsidRPr="00E32ACE">
        <w:rPr>
          <w:lang w:val="es-ES"/>
        </w:rPr>
        <w:t xml:space="preserve">Hacer un análisis de las competencias interinstitucionales y las articulaciones para la prevención y control de las explotaciones no autorizadas, con el fin de generar información relevante para la actualización de la normatividad minera. </w:t>
      </w:r>
    </w:p>
    <w:p w:rsidRPr="00E32ACE" w:rsidR="00330FCF" w:rsidP="00330FCF" w:rsidRDefault="00330FCF" w14:paraId="1A86B18C" w14:textId="77777777">
      <w:pPr>
        <w:spacing w:after="0" w:line="240" w:lineRule="auto"/>
        <w:jc w:val="both"/>
        <w:rPr>
          <w:lang w:val="es-ES"/>
        </w:rPr>
      </w:pPr>
    </w:p>
    <w:p w:rsidRPr="00E32ACE" w:rsidR="006D15DE" w:rsidP="2A9888F1" w:rsidRDefault="56400DC4" w14:paraId="495F71ED" w14:textId="61FDF06E">
      <w:pPr>
        <w:numPr>
          <w:ilvl w:val="0"/>
          <w:numId w:val="10"/>
        </w:numPr>
        <w:spacing w:after="0" w:line="240" w:lineRule="auto"/>
        <w:ind w:left="567" w:hanging="283"/>
        <w:jc w:val="both"/>
        <w:rPr>
          <w:lang w:val="es-ES"/>
        </w:rPr>
      </w:pPr>
      <w:r w:rsidRPr="00E32ACE">
        <w:rPr>
          <w:lang w:val="es-ES"/>
        </w:rPr>
        <w:t>Generar espacios de coordinación interinstitucional para la unificación de criterios conforme las competencias, las prioridades y la situación específica de la región (reconversión, formalización, otros).</w:t>
      </w:r>
    </w:p>
    <w:p w:rsidRPr="00E32ACE" w:rsidR="006D15DE" w:rsidP="2A9888F1" w:rsidRDefault="006D15DE" w14:paraId="2A46FC97" w14:textId="4FC07DA5">
      <w:pPr>
        <w:spacing w:after="0" w:line="240" w:lineRule="auto"/>
        <w:jc w:val="both"/>
        <w:rPr>
          <w:lang w:val="es-ES"/>
        </w:rPr>
      </w:pPr>
    </w:p>
    <w:p w:rsidRPr="00E32ACE" w:rsidR="006D15DE" w:rsidP="2A9888F1" w:rsidRDefault="5181F3D8" w14:paraId="34EB36D0" w14:textId="7C7EA67A">
      <w:pPr>
        <w:numPr>
          <w:ilvl w:val="0"/>
          <w:numId w:val="10"/>
        </w:numPr>
        <w:spacing w:after="0" w:line="240" w:lineRule="auto"/>
        <w:ind w:left="567" w:hanging="283"/>
        <w:jc w:val="both"/>
        <w:rPr>
          <w:lang w:val="es-ES"/>
        </w:rPr>
      </w:pPr>
      <w:r w:rsidRPr="00E32ACE">
        <w:rPr>
          <w:lang w:val="es-ES"/>
        </w:rPr>
        <w:t>Coadyuvar</w:t>
      </w:r>
      <w:r w:rsidRPr="00E32ACE" w:rsidR="12B8E0EC">
        <w:rPr>
          <w:lang w:val="es-ES"/>
        </w:rPr>
        <w:t xml:space="preserve"> en</w:t>
      </w:r>
      <w:r w:rsidRPr="00E32ACE">
        <w:rPr>
          <w:lang w:val="es-ES"/>
        </w:rPr>
        <w:t xml:space="preserve"> la creación de un Comité Intersectorial para la </w:t>
      </w:r>
      <w:r w:rsidRPr="00E32ACE" w:rsidR="38D88062">
        <w:rPr>
          <w:lang w:val="es-ES"/>
        </w:rPr>
        <w:t>p</w:t>
      </w:r>
      <w:r w:rsidRPr="00E32ACE">
        <w:rPr>
          <w:lang w:val="es-ES"/>
        </w:rPr>
        <w:t xml:space="preserve">revención, </w:t>
      </w:r>
      <w:r w:rsidRPr="00E32ACE" w:rsidR="38D88062">
        <w:rPr>
          <w:lang w:val="es-ES"/>
        </w:rPr>
        <w:t>m</w:t>
      </w:r>
      <w:r w:rsidRPr="00E32ACE">
        <w:rPr>
          <w:lang w:val="es-ES"/>
        </w:rPr>
        <w:t>onitoreo y lucha contra las explotaciones no autorizadas de minerales que contribuya a aunar esfuerzos para la articulación</w:t>
      </w:r>
      <w:r w:rsidRPr="00E32ACE" w:rsidR="38D88062">
        <w:rPr>
          <w:lang w:val="es-ES"/>
        </w:rPr>
        <w:t xml:space="preserve"> </w:t>
      </w:r>
      <w:r w:rsidRPr="00E32ACE">
        <w:rPr>
          <w:lang w:val="es-ES"/>
        </w:rPr>
        <w:t>entre entidades para luchar contra este fenómeno</w:t>
      </w:r>
      <w:r w:rsidRPr="00E32ACE" w:rsidR="38D88062">
        <w:rPr>
          <w:lang w:val="es-ES"/>
        </w:rPr>
        <w:t>.</w:t>
      </w:r>
    </w:p>
    <w:p w:rsidRPr="00E32ACE" w:rsidR="2EC55DBA" w:rsidP="2EC55DBA" w:rsidRDefault="2EC55DBA" w14:paraId="6C66D5EE" w14:textId="29779762">
      <w:pPr>
        <w:spacing w:after="0" w:line="240" w:lineRule="auto"/>
        <w:ind w:left="567" w:hanging="283"/>
        <w:jc w:val="both"/>
        <w:rPr>
          <w:lang w:val="es-ES"/>
        </w:rPr>
      </w:pPr>
    </w:p>
    <w:p w:rsidRPr="00E32ACE" w:rsidR="006D15DE" w:rsidP="2A9888F1" w:rsidRDefault="5181F3D8" w14:paraId="2F56DACC" w14:textId="5DAEEF9E">
      <w:pPr>
        <w:numPr>
          <w:ilvl w:val="0"/>
          <w:numId w:val="10"/>
        </w:numPr>
        <w:spacing w:after="0" w:line="240" w:lineRule="auto"/>
        <w:ind w:left="567" w:hanging="283"/>
        <w:jc w:val="both"/>
        <w:rPr>
          <w:lang w:val="es-ES"/>
        </w:rPr>
      </w:pPr>
      <w:r w:rsidRPr="00E32ACE">
        <w:rPr>
          <w:lang w:val="es-ES"/>
        </w:rPr>
        <w:t>Generación de información mediante el monitoreo de EVOA, respecto de las áreas abandonadas por explotaciones no autorizadas de oro de aluvión, con la finalidad de establecer la viabilidad de que sean objeto de rehabilitación ambiental, economía circular, recuperación mercurio y disposición final del mismo, según el caso. </w:t>
      </w:r>
    </w:p>
    <w:p w:rsidRPr="00E32ACE" w:rsidR="00330FCF" w:rsidP="00330FCF" w:rsidRDefault="00330FCF" w14:paraId="1E9F1295" w14:textId="77777777">
      <w:pPr>
        <w:spacing w:after="0" w:line="240" w:lineRule="auto"/>
        <w:jc w:val="both"/>
        <w:rPr>
          <w:lang w:val="es-ES"/>
        </w:rPr>
      </w:pPr>
    </w:p>
    <w:p w:rsidRPr="00E32ACE" w:rsidR="12052E0E" w:rsidP="2A9888F1" w:rsidRDefault="12052E0E" w14:paraId="4353C8BC" w14:textId="47704139">
      <w:pPr>
        <w:keepNext/>
        <w:widowControl w:val="0"/>
        <w:numPr>
          <w:ilvl w:val="0"/>
          <w:numId w:val="10"/>
        </w:numPr>
        <w:spacing w:after="0" w:line="240" w:lineRule="auto"/>
        <w:ind w:left="567" w:hanging="283"/>
        <w:jc w:val="both"/>
        <w:rPr>
          <w:rFonts w:ascii="Calibri" w:hAnsi="Calibri" w:eastAsia="Calibri" w:cs="Calibri"/>
          <w:lang w:val="es-ES"/>
        </w:rPr>
      </w:pPr>
      <w:r w:rsidRPr="00E32ACE">
        <w:rPr>
          <w:rFonts w:ascii="Calibri" w:hAnsi="Calibri" w:eastAsia="Calibri" w:cs="Calibri"/>
          <w:lang w:val="es-ES"/>
        </w:rPr>
        <w:t>Desarrollar una estrategia con el Ministerio de Defensa, para garantizar la seguridad de las comunidades mineras en procesos de formalización con el fin de salvaguardar su integridad y evitar la afectación de sus derechos fundamentales por parte de los grupos armados al margen de la ley.</w:t>
      </w:r>
    </w:p>
    <w:p w:rsidRPr="00E32ACE" w:rsidR="003653A3" w:rsidP="003653A3" w:rsidRDefault="003653A3" w14:paraId="056744EF" w14:textId="77777777">
      <w:pPr>
        <w:keepNext/>
        <w:widowControl w:val="0"/>
        <w:spacing w:after="0" w:line="240" w:lineRule="auto"/>
        <w:jc w:val="both"/>
        <w:textAlignment w:val="baseline"/>
        <w:rPr>
          <w:lang w:val="es-ES"/>
        </w:rPr>
      </w:pPr>
    </w:p>
    <w:p w:rsidRPr="00E32ACE" w:rsidR="00330FCF" w:rsidP="2A9888F1" w:rsidRDefault="12B8E0EC" w14:paraId="534941B4" w14:textId="12B7AE70">
      <w:pPr>
        <w:keepNext/>
        <w:widowControl w:val="0"/>
        <w:numPr>
          <w:ilvl w:val="0"/>
          <w:numId w:val="10"/>
        </w:numPr>
        <w:spacing w:after="0" w:line="240" w:lineRule="auto"/>
        <w:ind w:left="567" w:hanging="283"/>
        <w:jc w:val="both"/>
        <w:textAlignment w:val="baseline"/>
        <w:rPr>
          <w:lang w:val="es-ES"/>
        </w:rPr>
      </w:pPr>
      <w:r w:rsidRPr="00E32ACE">
        <w:t xml:space="preserve">Establecer un mecanismo de articulación con el sector Ambiente para recibir información sobre explotación minera no autorizada en áreas protegidas. </w:t>
      </w:r>
    </w:p>
    <w:p w:rsidRPr="00E32ACE" w:rsidR="003653A3" w:rsidP="2A9888F1" w:rsidRDefault="003653A3" w14:paraId="4D195C42" w14:textId="77777777">
      <w:pPr>
        <w:keepNext/>
        <w:widowControl w:val="0"/>
        <w:spacing w:after="0" w:line="240" w:lineRule="auto"/>
        <w:jc w:val="both"/>
        <w:textAlignment w:val="baseline"/>
        <w:rPr>
          <w:lang w:val="es-ES"/>
        </w:rPr>
      </w:pPr>
    </w:p>
    <w:p w:rsidRPr="00E32ACE" w:rsidR="75A2181E" w:rsidP="2A9888F1" w:rsidRDefault="0BF4C42F" w14:paraId="29C0C96B" w14:textId="404C89A4">
      <w:pPr>
        <w:keepNext/>
        <w:widowControl w:val="0"/>
        <w:numPr>
          <w:ilvl w:val="0"/>
          <w:numId w:val="10"/>
        </w:numPr>
        <w:spacing w:after="0" w:line="240" w:lineRule="auto"/>
        <w:ind w:left="567" w:hanging="283"/>
        <w:jc w:val="both"/>
        <w:textAlignment w:val="baseline"/>
        <w:rPr>
          <w:lang w:val="es-ES"/>
        </w:rPr>
      </w:pPr>
      <w:r w:rsidRPr="00E32ACE">
        <w:t>Elaborar un Plan integral de atención y prevención de la explotación minera no autorizada.</w:t>
      </w:r>
    </w:p>
    <w:p w:rsidR="00360095" w:rsidP="2A9888F1" w:rsidRDefault="00360095" w14:paraId="1A597856" w14:textId="77777777">
      <w:pPr>
        <w:rPr>
          <w:highlight w:val="yellow"/>
          <w:lang w:val="es-ES"/>
        </w:rPr>
      </w:pPr>
    </w:p>
    <w:p w:rsidRPr="00360095" w:rsidR="00360095" w:rsidP="00360095" w:rsidRDefault="00360095" w14:paraId="321378F4" w14:textId="77777777">
      <w:pPr>
        <w:rPr>
          <w:lang w:val="es-ES"/>
        </w:rPr>
      </w:pPr>
    </w:p>
    <w:p w:rsidR="2A9888F1" w:rsidP="2A9888F1" w:rsidRDefault="2A9888F1" w14:paraId="371929A0" w14:textId="150DF0E5">
      <w:pPr>
        <w:rPr>
          <w:lang w:val="es-ES"/>
        </w:rPr>
      </w:pPr>
    </w:p>
    <w:p w:rsidR="2A9888F1" w:rsidP="2A9888F1" w:rsidRDefault="2A9888F1" w14:paraId="0B817040" w14:textId="7FDF3379">
      <w:pPr>
        <w:rPr>
          <w:lang w:val="es-ES"/>
        </w:rPr>
      </w:pPr>
    </w:p>
    <w:p w:rsidR="2A9888F1" w:rsidP="2A9888F1" w:rsidRDefault="2A9888F1" w14:paraId="16284A89" w14:textId="37B7BF0C">
      <w:pPr>
        <w:rPr>
          <w:lang w:val="es-ES"/>
        </w:rPr>
      </w:pPr>
    </w:p>
    <w:p w:rsidR="5734DBB2" w:rsidP="5734DBB2" w:rsidRDefault="5734DBB2" w14:paraId="65F79811" w14:textId="08454F2F">
      <w:pPr>
        <w:rPr>
          <w:lang w:val="es-ES"/>
        </w:rPr>
      </w:pPr>
    </w:p>
    <w:p w:rsidRPr="008E3C9B" w:rsidR="00C443D6" w:rsidP="00C443D6" w:rsidRDefault="5EFA0007" w14:paraId="3670D649" w14:textId="02374809">
      <w:pPr>
        <w:pStyle w:val="Heading1"/>
      </w:pPr>
      <w:bookmarkStart w:name="_Toc135903144" w:id="1164"/>
      <w:bookmarkStart w:name="_Toc199511989" w:id="1165"/>
      <w:bookmarkStart w:name="_Toc701361630" w:id="1166"/>
      <w:bookmarkStart w:name="_Toc1474580967" w:id="1167"/>
      <w:bookmarkStart w:name="_Toc1873847859" w:id="1168"/>
      <w:bookmarkStart w:name="_Toc1046998952" w:id="1169"/>
      <w:bookmarkStart w:name="_Toc1910996762" w:id="1170"/>
      <w:bookmarkStart w:name="_Toc1782553327" w:id="1171"/>
      <w:bookmarkStart w:name="_Toc855832045" w:id="1172"/>
      <w:bookmarkStart w:name="_Toc1755445152" w:id="1173"/>
      <w:bookmarkStart w:name="_Toc952952453" w:id="1174"/>
      <w:bookmarkStart w:name="_Toc1947933685" w:id="1175"/>
      <w:bookmarkStart w:name="_Toc1236987826" w:id="1176"/>
      <w:bookmarkStart w:name="_Toc1101175471" w:id="1177"/>
      <w:bookmarkStart w:name="_Toc180739659" w:id="1178"/>
      <w:bookmarkStart w:name="_Toc367093088" w:id="1179"/>
      <w:bookmarkStart w:name="_Toc137342778" w:id="1180"/>
      <w:bookmarkStart w:name="_Toc1425655294" w:id="1181"/>
      <w:bookmarkStart w:name="_Toc539323076" w:id="1182"/>
      <w:bookmarkStart w:name="_Toc87733856" w:id="1183"/>
      <w:bookmarkStart w:name="_Toc1448028093" w:id="1184"/>
      <w:bookmarkStart w:name="_Toc2102365503" w:id="1185"/>
      <w:bookmarkStart w:name="_Toc56598105" w:id="1186"/>
      <w:bookmarkStart w:name="_Toc810054624" w:id="1187"/>
      <w:bookmarkStart w:name="_Toc1369936890" w:id="1188"/>
      <w:bookmarkStart w:name="_Toc297466032" w:id="1189"/>
      <w:bookmarkStart w:name="_Toc95562629" w:id="1190"/>
      <w:bookmarkStart w:name="_Toc866319050" w:id="1191"/>
      <w:bookmarkStart w:name="_Toc210292997" w:id="1192"/>
      <w:r>
        <w:t xml:space="preserve">Seguimiento y </w:t>
      </w:r>
      <w:r w:rsidR="3916049E">
        <w:t xml:space="preserve">Monitoreo </w:t>
      </w:r>
      <w:bookmarkEnd w:id="1164"/>
      <w:r w:rsidR="1AE8048E">
        <w:t xml:space="preserve">de la </w:t>
      </w:r>
      <w:r w:rsidR="6212FD68">
        <w:t>P</w:t>
      </w:r>
      <w:r w:rsidR="1AE8048E">
        <w:t>olítica</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r>
        <w:t xml:space="preserve"> </w:t>
      </w:r>
    </w:p>
    <w:p w:rsidR="00C443D6" w:rsidP="00C443D6" w:rsidRDefault="00C443D6" w14:paraId="21D98DE8" w14:textId="77777777">
      <w:pPr>
        <w:rPr>
          <w:lang w:val="es-ES"/>
        </w:rPr>
      </w:pPr>
    </w:p>
    <w:p w:rsidR="00C443D6" w:rsidP="00496052" w:rsidRDefault="4A4BE01A" w14:paraId="3225C4FD" w14:textId="5180BC50">
      <w:pPr>
        <w:jc w:val="both"/>
        <w:rPr>
          <w:lang w:val="es-ES"/>
        </w:rPr>
      </w:pPr>
      <w:r w:rsidRPr="5734DBB2">
        <w:rPr>
          <w:lang w:val="es-ES"/>
        </w:rPr>
        <w:t>El seguimiento como herramienta fundamental en la gestión pública, permitirá identificar los avances, impactos y retos de la política basados en objetivos trazados</w:t>
      </w:r>
      <w:r w:rsidRPr="5734DBB2" w:rsidR="1594EB59">
        <w:rPr>
          <w:lang w:val="es-ES"/>
        </w:rPr>
        <w:t>, metas</w:t>
      </w:r>
      <w:r w:rsidRPr="5734DBB2">
        <w:rPr>
          <w:lang w:val="es-ES"/>
        </w:rPr>
        <w:t xml:space="preserve"> y en los posteriores instrumentos de planeación sectorial.</w:t>
      </w:r>
    </w:p>
    <w:p w:rsidR="00951768" w:rsidP="007F700B" w:rsidRDefault="00C443D6" w14:paraId="456D6892" w14:textId="3ED331BC">
      <w:pPr>
        <w:jc w:val="both"/>
        <w:rPr>
          <w:lang w:val="es-ES"/>
        </w:rPr>
      </w:pPr>
      <w:r w:rsidRPr="1A52A16F">
        <w:rPr>
          <w:lang w:val="es-ES"/>
        </w:rPr>
        <w:t xml:space="preserve">El </w:t>
      </w:r>
      <w:proofErr w:type="spellStart"/>
      <w:r w:rsidRPr="1A52A16F" w:rsidR="000A32D7">
        <w:rPr>
          <w:rFonts w:eastAsia="Arial Nova" w:cs="Arial"/>
          <w:lang w:val="es-ES"/>
        </w:rPr>
        <w:t>MinEnergía</w:t>
      </w:r>
      <w:proofErr w:type="spellEnd"/>
      <w:r w:rsidRPr="1A52A16F">
        <w:rPr>
          <w:lang w:val="es-ES"/>
        </w:rPr>
        <w:t xml:space="preserve"> como entidad responsable del seguimiento y evaluación de la política</w:t>
      </w:r>
      <w:r w:rsidRPr="1A52A16F" w:rsidR="007F700B">
        <w:rPr>
          <w:lang w:val="es-ES"/>
        </w:rPr>
        <w:t xml:space="preserve"> pública</w:t>
      </w:r>
      <w:r w:rsidRPr="1A52A16F">
        <w:rPr>
          <w:lang w:val="es-ES"/>
        </w:rPr>
        <w:t xml:space="preserve"> minera y como entidad cabeza del sector minero, coordinará y articulará con las entidades adscritas y vinculadas para que sus instrumentos de planeación incorporen las acciones, programas y proyectos encaminados a obtener resultados favorables, medibles y de valor en el desarrollo de la política minera. Así también realizará la gestión para que entidades de otros sectores realicen la implementación de las acciones que desde su competencia complementan el desarrollo de la política minera.</w:t>
      </w:r>
      <w:bookmarkStart w:name="_Toc135903145" w:id="1193"/>
      <w:bookmarkEnd w:id="1193"/>
    </w:p>
    <w:p w:rsidR="3CF5A34D" w:rsidP="1A52A16F" w:rsidRDefault="672D280F" w14:paraId="1CDACECE" w14:textId="0B540C42">
      <w:pPr>
        <w:jc w:val="both"/>
      </w:pPr>
      <w:r w:rsidRPr="3D2173F3" w:rsidR="672D280F">
        <w:rPr>
          <w:rFonts w:ascii="Calibri" w:hAnsi="Calibri" w:eastAsia="Calibri" w:cs="Calibri"/>
          <w:color w:val="000000" w:themeColor="text1" w:themeTint="FF" w:themeShade="FF"/>
        </w:rPr>
        <w:t xml:space="preserve">En este sentido, en el Plan de Acción </w:t>
      </w:r>
      <w:r w:rsidRPr="3D2173F3" w:rsidR="18AB01DE">
        <w:rPr>
          <w:rFonts w:ascii="Calibri" w:hAnsi="Calibri" w:eastAsia="Calibri" w:cs="Calibri"/>
          <w:color w:val="000000" w:themeColor="text1" w:themeTint="FF" w:themeShade="FF"/>
        </w:rPr>
        <w:t xml:space="preserve">(Anexo 2) </w:t>
      </w:r>
      <w:r w:rsidRPr="3D2173F3" w:rsidR="672D280F">
        <w:rPr>
          <w:rFonts w:ascii="Calibri" w:hAnsi="Calibri" w:eastAsia="Calibri" w:cs="Calibri"/>
          <w:color w:val="000000" w:themeColor="text1" w:themeTint="FF" w:themeShade="FF"/>
        </w:rPr>
        <w:t xml:space="preserve">se formularon </w:t>
      </w:r>
      <w:r w:rsidRPr="3D2173F3" w:rsidR="672D280F">
        <w:rPr>
          <w:rFonts w:ascii="Calibri" w:hAnsi="Calibri" w:eastAsia="Calibri" w:cs="Calibri"/>
          <w:color w:val="000000" w:themeColor="text1" w:themeTint="FF" w:themeShade="FF"/>
        </w:rPr>
        <w:t>13</w:t>
      </w:r>
      <w:r w:rsidRPr="3D2173F3" w:rsidR="00E32ACE">
        <w:rPr>
          <w:rFonts w:ascii="Calibri" w:hAnsi="Calibri" w:eastAsia="Calibri" w:cs="Calibri"/>
          <w:color w:val="000000" w:themeColor="text1" w:themeTint="FF" w:themeShade="FF"/>
        </w:rPr>
        <w:t>6</w:t>
      </w:r>
      <w:r w:rsidRPr="3D2173F3" w:rsidR="672D280F">
        <w:rPr>
          <w:rFonts w:ascii="Calibri" w:hAnsi="Calibri" w:eastAsia="Calibri" w:cs="Calibri"/>
          <w:color w:val="000000" w:themeColor="text1" w:themeTint="FF" w:themeShade="FF"/>
        </w:rPr>
        <w:t xml:space="preserve"> </w:t>
      </w:r>
      <w:r w:rsidRPr="3D2173F3" w:rsidR="672D280F">
        <w:rPr>
          <w:rFonts w:ascii="Calibri" w:hAnsi="Calibri" w:eastAsia="Calibri" w:cs="Calibri"/>
          <w:color w:val="000000" w:themeColor="text1" w:themeTint="FF" w:themeShade="FF"/>
        </w:rPr>
        <w:t xml:space="preserve">indicadores, asociados a diez (10) líneas estratégicas, a las cuales se realizará seguimiento trimestral mediante un informe de reporte de avances que permitirá hacer seguimiento de acuerdo con lo establecido en los objetivos y líneas estratégicas, conforme a los lineamientos técnicos definidos por el Viceministerio de Minería y la Oficina de Planeación y Gestión Internacional del </w:t>
      </w:r>
      <w:r w:rsidRPr="3D2173F3" w:rsidR="00E32ACE">
        <w:rPr>
          <w:rFonts w:ascii="Calibri" w:hAnsi="Calibri" w:eastAsia="Calibri" w:cs="Calibri"/>
          <w:color w:val="000000" w:themeColor="text1" w:themeTint="FF" w:themeShade="FF"/>
        </w:rPr>
        <w:t>MinEnergía</w:t>
      </w:r>
      <w:r w:rsidRPr="3D2173F3" w:rsidR="672D280F">
        <w:rPr>
          <w:rFonts w:ascii="Calibri" w:hAnsi="Calibri" w:eastAsia="Calibri" w:cs="Calibri"/>
          <w:color w:val="000000" w:themeColor="text1" w:themeTint="FF" w:themeShade="FF"/>
        </w:rPr>
        <w:t xml:space="preserve">.  </w:t>
      </w:r>
      <w:r w:rsidRPr="3D2173F3" w:rsidR="672D280F">
        <w:rPr>
          <w:rFonts w:ascii="Calibri" w:hAnsi="Calibri" w:eastAsia="Calibri" w:cs="Calibri"/>
          <w:lang w:val="es-ES"/>
        </w:rPr>
        <w:t xml:space="preserve"> </w:t>
      </w:r>
    </w:p>
    <w:p w:rsidR="1A52A16F" w:rsidP="1A52A16F" w:rsidRDefault="1A52A16F" w14:paraId="529F79CD" w14:textId="6FF65086">
      <w:pPr>
        <w:jc w:val="both"/>
        <w:rPr>
          <w:lang w:val="es-ES"/>
        </w:rPr>
      </w:pPr>
    </w:p>
    <w:p w:rsidRPr="00951768" w:rsidR="00951768" w:rsidP="00DD6760" w:rsidRDefault="00DD6760" w14:paraId="7E831BAE" w14:textId="662A686A">
      <w:pPr>
        <w:pStyle w:val="Caption"/>
        <w:rPr>
          <w:rFonts w:cs="Arial"/>
          <w:b w:val="0"/>
          <w:sz w:val="16"/>
          <w:szCs w:val="16"/>
        </w:rPr>
      </w:pPr>
      <w:bookmarkStart w:name="_Toc209191834" w:id="1195"/>
      <w:r>
        <w:t xml:space="preserve">Tabla </w:t>
      </w:r>
      <w:r>
        <w:fldChar w:fldCharType="begin"/>
      </w:r>
      <w:r>
        <w:instrText>SEQ Tabla \* ARABIC</w:instrText>
      </w:r>
      <w:r>
        <w:fldChar w:fldCharType="separate"/>
      </w:r>
      <w:r>
        <w:rPr>
          <w:noProof/>
        </w:rPr>
        <w:t>5</w:t>
      </w:r>
      <w:r>
        <w:fldChar w:fldCharType="end"/>
      </w:r>
      <w:r>
        <w:t xml:space="preserve">. </w:t>
      </w:r>
      <w:r w:rsidRPr="00B9237C">
        <w:t>Número de acciones por cada línea estratégica.</w:t>
      </w:r>
      <w:bookmarkEnd w:id="1195"/>
    </w:p>
    <w:tbl>
      <w:tblPr>
        <w:tblW w:w="0" w:type="auto"/>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6780"/>
        <w:gridCol w:w="2010"/>
      </w:tblGrid>
      <w:tr w:rsidR="1A52A16F" w:rsidTr="3D2173F3" w14:paraId="1072EDC4" w14:textId="77777777">
        <w:trPr>
          <w:trHeight w:val="300"/>
        </w:trPr>
        <w:tc>
          <w:tcPr>
            <w:tcW w:w="6780" w:type="dxa"/>
            <w:tcBorders>
              <w:top w:val="single" w:color="auto" w:sz="6" w:space="0"/>
              <w:left w:val="single" w:color="auto" w:sz="6" w:space="0"/>
              <w:bottom w:val="single" w:color="auto" w:sz="6" w:space="0"/>
              <w:right w:val="single" w:color="auto" w:sz="6" w:space="0"/>
            </w:tcBorders>
            <w:shd w:val="clear" w:color="auto" w:fill="CAEDFB"/>
            <w:tcMar>
              <w:left w:w="60" w:type="dxa"/>
              <w:right w:w="60" w:type="dxa"/>
            </w:tcMar>
            <w:vAlign w:val="bottom"/>
          </w:tcPr>
          <w:p w:rsidR="1A52A16F" w:rsidP="1A52A16F" w:rsidRDefault="1A52A16F" w14:paraId="23297AFB" w14:textId="4CED3591" w14:noSpellErr="1">
            <w:pPr>
              <w:spacing w:after="0" w:line="240" w:lineRule="auto"/>
              <w:jc w:val="center"/>
              <w:rPr>
                <w:rFonts w:ascii="Calibri" w:hAnsi="Calibri" w:eastAsia="Calibri" w:cs="Calibri"/>
                <w:color w:val="000000" w:themeColor="text1"/>
              </w:rPr>
            </w:pPr>
            <w:r w:rsidRPr="3D2173F3" w:rsidR="1A52A16F">
              <w:rPr>
                <w:rFonts w:ascii="Calibri" w:hAnsi="Calibri" w:eastAsia="Calibri" w:cs="Calibri"/>
                <w:b w:val="1"/>
                <w:bCs w:val="1"/>
                <w:color w:val="000000" w:themeColor="text1" w:themeTint="FF" w:themeShade="FF"/>
              </w:rPr>
              <w:t>LÍNEAS ESTRATÉGICAS</w:t>
            </w:r>
          </w:p>
        </w:tc>
        <w:tc>
          <w:tcPr>
            <w:tcW w:w="2010" w:type="dxa"/>
            <w:tcBorders>
              <w:top w:val="single" w:color="auto" w:sz="6" w:space="0"/>
              <w:left w:val="single" w:color="auto" w:sz="6" w:space="0"/>
              <w:bottom w:val="single" w:color="auto" w:sz="6" w:space="0"/>
              <w:right w:val="single" w:color="auto" w:sz="6" w:space="0"/>
            </w:tcBorders>
            <w:shd w:val="clear" w:color="auto" w:fill="CAEDFB"/>
            <w:tcMar>
              <w:left w:w="60" w:type="dxa"/>
              <w:right w:w="60" w:type="dxa"/>
            </w:tcMar>
            <w:vAlign w:val="bottom"/>
          </w:tcPr>
          <w:p w:rsidR="1A52A16F" w:rsidP="1A52A16F" w:rsidRDefault="1A52A16F" w14:paraId="17EC32E8" w14:textId="60F453EA">
            <w:pPr>
              <w:spacing w:after="0" w:line="240" w:lineRule="auto"/>
              <w:jc w:val="center"/>
              <w:rPr>
                <w:rFonts w:ascii="Calibri" w:hAnsi="Calibri" w:eastAsia="Calibri" w:cs="Calibri"/>
                <w:color w:val="000000" w:themeColor="text1"/>
              </w:rPr>
            </w:pPr>
            <w:r w:rsidRPr="1A52A16F">
              <w:rPr>
                <w:rFonts w:ascii="Calibri" w:hAnsi="Calibri" w:eastAsia="Calibri" w:cs="Calibri"/>
                <w:b/>
                <w:bCs/>
                <w:color w:val="000000" w:themeColor="text1"/>
              </w:rPr>
              <w:t>No. ACCIONES</w:t>
            </w:r>
          </w:p>
        </w:tc>
      </w:tr>
      <w:tr w:rsidR="1A52A16F" w:rsidTr="3D2173F3" w14:paraId="28F474DE"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48F014B9" w14:textId="4CEB3F2E">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1.      Minería planificada y ordenamiento minero-ambiental</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2DF88303" w14:textId="312F2AFB">
            <w:pPr>
              <w:spacing w:after="0" w:line="240" w:lineRule="auto"/>
              <w:jc w:val="center"/>
              <w:rPr>
                <w:rFonts w:ascii="Calibri" w:hAnsi="Calibri" w:eastAsia="Calibri" w:cs="Calibri"/>
                <w:color w:val="000000" w:themeColor="text1"/>
              </w:rPr>
            </w:pPr>
            <w:r w:rsidRPr="1A52A16F">
              <w:rPr>
                <w:rFonts w:ascii="Calibri" w:hAnsi="Calibri" w:eastAsia="Calibri" w:cs="Calibri"/>
                <w:color w:val="000000" w:themeColor="text1"/>
              </w:rPr>
              <w:t>1</w:t>
            </w:r>
            <w:r w:rsidR="00E32ACE">
              <w:rPr>
                <w:rFonts w:ascii="Calibri" w:hAnsi="Calibri" w:eastAsia="Calibri" w:cs="Calibri"/>
                <w:color w:val="000000" w:themeColor="text1"/>
              </w:rPr>
              <w:t>1</w:t>
            </w:r>
          </w:p>
        </w:tc>
      </w:tr>
      <w:tr w:rsidR="1A52A16F" w:rsidTr="3D2173F3" w14:paraId="336A5318"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2113DDDF" w14:textId="1E4F6F15">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2.      Institucionalidad articulada y coordinada para la toma de decisiones e implementación de políticas públicas.</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00E32ACE" w14:paraId="62453F5E" w14:textId="7E4B9359">
            <w:pPr>
              <w:spacing w:after="0" w:line="240" w:lineRule="auto"/>
              <w:jc w:val="center"/>
              <w:rPr>
                <w:rFonts w:ascii="Calibri" w:hAnsi="Calibri" w:eastAsia="Calibri" w:cs="Calibri"/>
                <w:color w:val="000000" w:themeColor="text1"/>
              </w:rPr>
            </w:pPr>
            <w:r>
              <w:rPr>
                <w:rFonts w:ascii="Calibri" w:hAnsi="Calibri" w:eastAsia="Calibri" w:cs="Calibri"/>
                <w:color w:val="000000" w:themeColor="text1"/>
              </w:rPr>
              <w:t>8</w:t>
            </w:r>
          </w:p>
        </w:tc>
      </w:tr>
      <w:tr w:rsidR="1A52A16F" w:rsidTr="3D2173F3" w14:paraId="79B5EAC4"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4AC17FCA" w14:textId="00857455">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3.      Administración del recurso minero. Uso y aprovechamiento de los recursos mineros con responsabilidad.</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0E4A1E63" w14:textId="7E17A54E">
            <w:pPr>
              <w:spacing w:after="0" w:line="240" w:lineRule="auto"/>
              <w:jc w:val="center"/>
              <w:rPr>
                <w:rFonts w:ascii="Calibri" w:hAnsi="Calibri" w:eastAsia="Calibri" w:cs="Calibri"/>
                <w:color w:val="000000" w:themeColor="text1"/>
              </w:rPr>
            </w:pPr>
            <w:r w:rsidRPr="1A52A16F">
              <w:rPr>
                <w:rFonts w:ascii="Calibri" w:hAnsi="Calibri" w:eastAsia="Calibri" w:cs="Calibri"/>
                <w:color w:val="000000" w:themeColor="text1"/>
              </w:rPr>
              <w:t>2</w:t>
            </w:r>
            <w:r w:rsidR="00E32ACE">
              <w:rPr>
                <w:rFonts w:ascii="Calibri" w:hAnsi="Calibri" w:eastAsia="Calibri" w:cs="Calibri"/>
                <w:color w:val="000000" w:themeColor="text1"/>
              </w:rPr>
              <w:t>2</w:t>
            </w:r>
          </w:p>
        </w:tc>
      </w:tr>
      <w:tr w:rsidR="1A52A16F" w:rsidTr="3D2173F3" w14:paraId="34FEBFFC"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67680B06" w14:textId="3695457E">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4.      Participación social efectiva e inclusión de los territorios</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140BD00B" w14:textId="2B5936F3">
            <w:pPr>
              <w:spacing w:after="0" w:line="240" w:lineRule="auto"/>
              <w:jc w:val="center"/>
              <w:rPr>
                <w:rFonts w:ascii="Calibri" w:hAnsi="Calibri" w:eastAsia="Calibri" w:cs="Calibri"/>
                <w:color w:val="000000" w:themeColor="text1"/>
              </w:rPr>
            </w:pPr>
            <w:r w:rsidRPr="1A52A16F">
              <w:rPr>
                <w:rFonts w:ascii="Calibri" w:hAnsi="Calibri" w:eastAsia="Calibri" w:cs="Calibri"/>
                <w:color w:val="000000" w:themeColor="text1"/>
              </w:rPr>
              <w:t>1</w:t>
            </w:r>
            <w:r w:rsidR="00E32ACE">
              <w:rPr>
                <w:rFonts w:ascii="Calibri" w:hAnsi="Calibri" w:eastAsia="Calibri" w:cs="Calibri"/>
                <w:color w:val="000000" w:themeColor="text1"/>
              </w:rPr>
              <w:t>8</w:t>
            </w:r>
          </w:p>
        </w:tc>
      </w:tr>
      <w:tr w:rsidR="1A52A16F" w:rsidTr="3D2173F3" w14:paraId="2114A3D9"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35D62DFA" w14:textId="22B0C52C">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5.      Minería en el territorio y para el territorio con estrategias para el fomento, la formalización, la reconversión y la diversificación productiva.</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00E32ACE" w14:paraId="20289AEB" w14:textId="144B5096">
            <w:pPr>
              <w:spacing w:after="0" w:line="240" w:lineRule="auto"/>
              <w:jc w:val="center"/>
              <w:rPr>
                <w:rFonts w:ascii="Calibri" w:hAnsi="Calibri" w:eastAsia="Calibri" w:cs="Calibri"/>
                <w:color w:val="000000" w:themeColor="text1"/>
              </w:rPr>
            </w:pPr>
            <w:r>
              <w:rPr>
                <w:rFonts w:ascii="Calibri" w:hAnsi="Calibri" w:eastAsia="Calibri" w:cs="Calibri"/>
                <w:color w:val="000000" w:themeColor="text1"/>
              </w:rPr>
              <w:t>21</w:t>
            </w:r>
          </w:p>
        </w:tc>
      </w:tr>
      <w:tr w:rsidR="1A52A16F" w:rsidTr="3D2173F3" w14:paraId="79EDC7D8"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32A5499A" w14:textId="67FBA4EC">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 xml:space="preserve">6.      Incremento del conocimiento </w:t>
            </w:r>
            <w:proofErr w:type="spellStart"/>
            <w:r w:rsidRPr="1A52A16F">
              <w:rPr>
                <w:rFonts w:ascii="Calibri" w:hAnsi="Calibri" w:eastAsia="Calibri" w:cs="Calibri"/>
                <w:color w:val="000000" w:themeColor="text1"/>
              </w:rPr>
              <w:t>geocientífico</w:t>
            </w:r>
            <w:proofErr w:type="spellEnd"/>
            <w:r w:rsidRPr="1A52A16F">
              <w:rPr>
                <w:rFonts w:ascii="Calibri" w:hAnsi="Calibri" w:eastAsia="Calibri" w:cs="Calibri"/>
                <w:color w:val="000000" w:themeColor="text1"/>
              </w:rPr>
              <w:t xml:space="preserve"> nacional para la planificación y la administración de los recursos del subsuelo.</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00E32ACE" w14:paraId="2E9D7A89" w14:textId="6B124B28">
            <w:pPr>
              <w:spacing w:after="0" w:line="240" w:lineRule="auto"/>
              <w:jc w:val="center"/>
              <w:rPr>
                <w:rFonts w:ascii="Calibri" w:hAnsi="Calibri" w:eastAsia="Calibri" w:cs="Calibri"/>
                <w:color w:val="000000" w:themeColor="text1"/>
              </w:rPr>
            </w:pPr>
            <w:r>
              <w:rPr>
                <w:rFonts w:ascii="Calibri" w:hAnsi="Calibri" w:eastAsia="Calibri" w:cs="Calibri"/>
                <w:color w:val="000000" w:themeColor="text1"/>
              </w:rPr>
              <w:t>6</w:t>
            </w:r>
          </w:p>
        </w:tc>
      </w:tr>
      <w:tr w:rsidR="1A52A16F" w:rsidTr="3D2173F3" w14:paraId="7D6E494B"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18E9D910" w14:textId="2BF53591">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 xml:space="preserve">7.      Reindustrialización de los productos mineros. La actividad minera como base de la economía del país mediante la soberanía del Estado. </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77799FF9" w14:textId="48E139AB">
            <w:pPr>
              <w:spacing w:after="0" w:line="240" w:lineRule="auto"/>
              <w:jc w:val="center"/>
              <w:rPr>
                <w:rFonts w:ascii="Calibri" w:hAnsi="Calibri" w:eastAsia="Calibri" w:cs="Calibri"/>
                <w:color w:val="000000" w:themeColor="text1"/>
              </w:rPr>
            </w:pPr>
            <w:r w:rsidRPr="1A52A16F">
              <w:rPr>
                <w:rFonts w:ascii="Calibri" w:hAnsi="Calibri" w:eastAsia="Calibri" w:cs="Calibri"/>
                <w:color w:val="000000" w:themeColor="text1"/>
              </w:rPr>
              <w:t>1</w:t>
            </w:r>
            <w:r w:rsidR="00E32ACE">
              <w:rPr>
                <w:rFonts w:ascii="Calibri" w:hAnsi="Calibri" w:eastAsia="Calibri" w:cs="Calibri"/>
                <w:color w:val="000000" w:themeColor="text1"/>
              </w:rPr>
              <w:t>8</w:t>
            </w:r>
          </w:p>
        </w:tc>
      </w:tr>
      <w:tr w:rsidR="1A52A16F" w:rsidTr="3D2173F3" w14:paraId="551B66A3"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75A943C8" w14:textId="7916561B">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8.      Las buenas prácticas mineras, con énfasis en economía circular.</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2591CE43" w14:textId="32F89CF7">
            <w:pPr>
              <w:spacing w:after="0" w:line="240" w:lineRule="auto"/>
              <w:jc w:val="center"/>
              <w:rPr>
                <w:rFonts w:ascii="Calibri" w:hAnsi="Calibri" w:eastAsia="Calibri" w:cs="Calibri"/>
                <w:color w:val="000000" w:themeColor="text1"/>
              </w:rPr>
            </w:pPr>
            <w:r w:rsidRPr="1A52A16F">
              <w:rPr>
                <w:rFonts w:ascii="Calibri" w:hAnsi="Calibri" w:eastAsia="Calibri" w:cs="Calibri"/>
                <w:color w:val="000000" w:themeColor="text1"/>
              </w:rPr>
              <w:t>1</w:t>
            </w:r>
            <w:r w:rsidR="00E32ACE">
              <w:rPr>
                <w:rFonts w:ascii="Calibri" w:hAnsi="Calibri" w:eastAsia="Calibri" w:cs="Calibri"/>
                <w:color w:val="000000" w:themeColor="text1"/>
              </w:rPr>
              <w:t>6</w:t>
            </w:r>
          </w:p>
        </w:tc>
      </w:tr>
      <w:tr w:rsidR="1A52A16F" w:rsidTr="3D2173F3" w14:paraId="7ADFADA5"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5B8F627B" w14:textId="6BBB25CA">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9.      Cierre minero integral y responsable.</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00E32ACE" w14:paraId="1D850F56" w14:textId="56A060E4">
            <w:pPr>
              <w:spacing w:after="0" w:line="240" w:lineRule="auto"/>
              <w:jc w:val="center"/>
              <w:rPr>
                <w:rFonts w:ascii="Calibri" w:hAnsi="Calibri" w:eastAsia="Calibri" w:cs="Calibri"/>
                <w:color w:val="000000" w:themeColor="text1"/>
              </w:rPr>
            </w:pPr>
            <w:r>
              <w:rPr>
                <w:rFonts w:ascii="Calibri" w:hAnsi="Calibri" w:eastAsia="Calibri" w:cs="Calibri"/>
                <w:color w:val="000000" w:themeColor="text1"/>
              </w:rPr>
              <w:t>6</w:t>
            </w:r>
          </w:p>
        </w:tc>
      </w:tr>
      <w:tr w:rsidR="1A52A16F" w:rsidTr="3D2173F3" w14:paraId="596CCBED" w14:textId="77777777">
        <w:trPr>
          <w:trHeight w:val="300"/>
        </w:trPr>
        <w:tc>
          <w:tcPr>
            <w:tcW w:w="678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7CD6175A" w14:textId="251CB0CE">
            <w:pPr>
              <w:spacing w:after="0" w:line="240" w:lineRule="auto"/>
              <w:rPr>
                <w:rFonts w:ascii="Calibri" w:hAnsi="Calibri" w:eastAsia="Calibri" w:cs="Calibri"/>
                <w:color w:val="000000" w:themeColor="text1"/>
              </w:rPr>
            </w:pPr>
            <w:r w:rsidRPr="1A52A16F">
              <w:rPr>
                <w:rFonts w:ascii="Calibri" w:hAnsi="Calibri" w:eastAsia="Calibri" w:cs="Calibri"/>
                <w:color w:val="000000" w:themeColor="text1"/>
              </w:rPr>
              <w:t>10. Prevención y apoyo a las acciones contra la explotación no autorizada y la explotación ilícita de minerales.</w:t>
            </w:r>
          </w:p>
        </w:tc>
        <w:tc>
          <w:tcPr>
            <w:tcW w:w="201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1A52A16F" w:rsidP="1A52A16F" w:rsidRDefault="1A52A16F" w14:paraId="6AB0DDD9" w14:textId="0427BD0F">
            <w:pPr>
              <w:spacing w:after="0" w:line="240" w:lineRule="auto"/>
              <w:jc w:val="center"/>
              <w:rPr>
                <w:rFonts w:ascii="Calibri" w:hAnsi="Calibri" w:eastAsia="Calibri" w:cs="Calibri"/>
                <w:color w:val="000000" w:themeColor="text1"/>
              </w:rPr>
            </w:pPr>
            <w:r w:rsidRPr="1A52A16F">
              <w:rPr>
                <w:rFonts w:ascii="Calibri" w:hAnsi="Calibri" w:eastAsia="Calibri" w:cs="Calibri"/>
                <w:color w:val="000000" w:themeColor="text1"/>
              </w:rPr>
              <w:t>1</w:t>
            </w:r>
            <w:r w:rsidR="00E32ACE">
              <w:rPr>
                <w:rFonts w:ascii="Calibri" w:hAnsi="Calibri" w:eastAsia="Calibri" w:cs="Calibri"/>
                <w:color w:val="000000" w:themeColor="text1"/>
              </w:rPr>
              <w:t>0</w:t>
            </w:r>
          </w:p>
        </w:tc>
      </w:tr>
      <w:tr w:rsidR="1A52A16F" w:rsidTr="3D2173F3" w14:paraId="1894AE77" w14:textId="77777777">
        <w:trPr>
          <w:trHeight w:val="300"/>
        </w:trPr>
        <w:tc>
          <w:tcPr>
            <w:tcW w:w="6780" w:type="dxa"/>
            <w:tcBorders>
              <w:top w:val="single" w:color="auto" w:sz="6" w:space="0"/>
              <w:left w:val="nil"/>
              <w:bottom w:val="nil"/>
              <w:right w:val="nil"/>
            </w:tcBorders>
            <w:tcMar>
              <w:left w:w="60" w:type="dxa"/>
              <w:right w:w="60" w:type="dxa"/>
            </w:tcMar>
            <w:vAlign w:val="bottom"/>
          </w:tcPr>
          <w:p w:rsidR="1A52A16F" w:rsidP="1A52A16F" w:rsidRDefault="1A52A16F" w14:paraId="44681216" w14:textId="719430E0">
            <w:pPr>
              <w:spacing w:after="0" w:line="240" w:lineRule="auto"/>
              <w:jc w:val="center"/>
              <w:rPr>
                <w:rFonts w:ascii="Calibri" w:hAnsi="Calibri" w:eastAsia="Calibri" w:cs="Calibri"/>
                <w:color w:val="000000" w:themeColor="text1"/>
              </w:rPr>
            </w:pPr>
          </w:p>
        </w:tc>
        <w:tc>
          <w:tcPr>
            <w:tcW w:w="2010" w:type="dxa"/>
            <w:tcBorders>
              <w:top w:val="single" w:color="auto" w:sz="6" w:space="0"/>
              <w:left w:val="single" w:color="auto" w:sz="6" w:space="0"/>
              <w:bottom w:val="single" w:color="auto" w:sz="6" w:space="0"/>
              <w:right w:val="single" w:color="auto" w:sz="6" w:space="0"/>
            </w:tcBorders>
            <w:shd w:val="clear" w:color="auto" w:fill="CAEDFB"/>
            <w:tcMar>
              <w:left w:w="60" w:type="dxa"/>
              <w:right w:w="60" w:type="dxa"/>
            </w:tcMar>
            <w:vAlign w:val="bottom"/>
          </w:tcPr>
          <w:p w:rsidR="1A52A16F" w:rsidP="1A52A16F" w:rsidRDefault="1A52A16F" w14:paraId="7FCAB95B" w14:textId="1059CC8A" w14:noSpellErr="1">
            <w:pPr>
              <w:spacing w:after="0" w:line="240" w:lineRule="auto"/>
              <w:jc w:val="center"/>
            </w:pPr>
            <w:r w:rsidRPr="3D2173F3" w:rsidR="1A52A16F">
              <w:rPr>
                <w:rFonts w:ascii="Calibri" w:hAnsi="Calibri" w:eastAsia="Calibri" w:cs="Calibri"/>
                <w:b w:val="1"/>
                <w:bCs w:val="1"/>
                <w:color w:val="000000" w:themeColor="text1" w:themeTint="FF" w:themeShade="FF"/>
              </w:rPr>
              <w:t>13</w:t>
            </w:r>
            <w:r w:rsidRPr="3D2173F3" w:rsidR="00E32ACE">
              <w:rPr>
                <w:rFonts w:ascii="Calibri" w:hAnsi="Calibri" w:eastAsia="Calibri" w:cs="Calibri"/>
                <w:b w:val="1"/>
                <w:bCs w:val="1"/>
                <w:color w:val="000000" w:themeColor="text1" w:themeTint="FF" w:themeShade="FF"/>
              </w:rPr>
              <w:t>6</w:t>
            </w:r>
          </w:p>
        </w:tc>
      </w:tr>
    </w:tbl>
    <w:p w:rsidRPr="00CF0482" w:rsidR="00C443D6" w:rsidP="1A52A16F" w:rsidRDefault="6BD064FB" w14:paraId="0561DF11" w14:textId="54353EC6">
      <w:pPr>
        <w:autoSpaceDN w:val="0"/>
        <w:jc w:val="center"/>
        <w:textAlignment w:val="baseline"/>
        <w:rPr>
          <w:rFonts w:eastAsia="Calibri" w:cs="Times New Roman"/>
          <w:sz w:val="18"/>
          <w:szCs w:val="18"/>
        </w:rPr>
      </w:pPr>
      <w:r w:rsidRPr="17F8AA9B">
        <w:rPr>
          <w:rFonts w:eastAsia="Calibri" w:cs="Times New Roman"/>
          <w:sz w:val="18"/>
          <w:szCs w:val="18"/>
        </w:rPr>
        <w:t xml:space="preserve">Fuente: Elaboración: </w:t>
      </w:r>
      <w:r w:rsidRPr="17F8AA9B" w:rsidR="7C7A2EC3">
        <w:rPr>
          <w:rFonts w:eastAsia="Calibri" w:cs="Times New Roman"/>
          <w:sz w:val="18"/>
          <w:szCs w:val="18"/>
        </w:rPr>
        <w:t xml:space="preserve">Oficina de Planeación y Gestión internacional, </w:t>
      </w:r>
      <w:r w:rsidRPr="17F8AA9B" w:rsidR="0A5BE257">
        <w:rPr>
          <w:rFonts w:eastAsia="Calibri" w:cs="Times New Roman"/>
          <w:sz w:val="18"/>
          <w:szCs w:val="18"/>
        </w:rPr>
        <w:t>MINENERGÍA</w:t>
      </w:r>
    </w:p>
    <w:p w:rsidR="00C443D6" w:rsidP="00C443D6" w:rsidRDefault="00C443D6" w14:paraId="16B73B16" w14:textId="77777777">
      <w:pPr>
        <w:rPr>
          <w:lang w:val="es-ES"/>
        </w:rPr>
      </w:pPr>
    </w:p>
    <w:p w:rsidR="00E94AC6" w:rsidP="727F1332" w:rsidRDefault="499A37F5" w14:paraId="73E77826" w14:textId="3817F8DC">
      <w:pPr>
        <w:jc w:val="both"/>
        <w:rPr>
          <w:rFonts w:ascii="Calibri" w:hAnsi="Calibri" w:eastAsia="Calibri" w:cs="Calibri"/>
          <w:color w:val="000000" w:themeColor="text1"/>
          <w:lang w:val="es-ES"/>
        </w:rPr>
      </w:pPr>
      <w:r w:rsidRPr="727F1332">
        <w:rPr>
          <w:rFonts w:ascii="Calibri" w:hAnsi="Calibri" w:eastAsia="Calibri" w:cs="Calibri"/>
          <w:color w:val="000000" w:themeColor="text1"/>
        </w:rPr>
        <w:t xml:space="preserve">Bajo el concepto de cadena de valor, la estructuración del Plan de Acción permitirá realizar seguimiento y análisis de los avances alcanzados por indicadores de manera individual o agrupada, por Línea estratégica y/o por objetivo específico, permitiendo una evaluación integral de la Política Pública. </w:t>
      </w:r>
    </w:p>
    <w:p w:rsidR="00E94AC6" w:rsidP="727F1332" w:rsidRDefault="499A37F5" w14:paraId="76658C65" w14:textId="435CBD99">
      <w:pPr>
        <w:jc w:val="both"/>
        <w:rPr>
          <w:rFonts w:ascii="Calibri" w:hAnsi="Calibri" w:eastAsia="Calibri" w:cs="Calibri"/>
          <w:color w:val="000000" w:themeColor="text1"/>
          <w:lang w:val="es-ES"/>
        </w:rPr>
      </w:pPr>
      <w:r w:rsidRPr="727F1332">
        <w:rPr>
          <w:rFonts w:ascii="Calibri" w:hAnsi="Calibri" w:eastAsia="Calibri" w:cs="Calibri"/>
          <w:color w:val="000000" w:themeColor="text1"/>
        </w:rPr>
        <w:t>Del mismo modo, en el marco de la Implementación del Plan de Acción, se cuenta con la participación directa de siete Entidades, en el cumplimiento de las 13</w:t>
      </w:r>
      <w:r w:rsidR="00E32ACE">
        <w:rPr>
          <w:rFonts w:ascii="Calibri" w:hAnsi="Calibri" w:eastAsia="Calibri" w:cs="Calibri"/>
          <w:color w:val="000000" w:themeColor="text1"/>
        </w:rPr>
        <w:t>6</w:t>
      </w:r>
      <w:r w:rsidRPr="727F1332">
        <w:rPr>
          <w:rFonts w:ascii="Calibri" w:hAnsi="Calibri" w:eastAsia="Calibri" w:cs="Calibri"/>
          <w:color w:val="000000" w:themeColor="text1"/>
        </w:rPr>
        <w:t xml:space="preserve"> acciones definidas en el Plan de Acción. Las entidades involucradas son: </w:t>
      </w:r>
    </w:p>
    <w:p w:rsidR="00E94AC6" w:rsidP="727F1332" w:rsidRDefault="499A37F5" w14:paraId="44A883F4" w14:textId="504907E2">
      <w:pPr>
        <w:pStyle w:val="ListParagraph"/>
        <w:numPr>
          <w:ilvl w:val="0"/>
          <w:numId w:val="5"/>
        </w:numPr>
        <w:jc w:val="both"/>
        <w:rPr>
          <w:rFonts w:ascii="Calibri" w:hAnsi="Calibri" w:eastAsia="Calibri" w:cs="Calibri"/>
          <w:color w:val="000000" w:themeColor="text1"/>
          <w:lang w:val="es-ES"/>
        </w:rPr>
      </w:pPr>
      <w:r w:rsidRPr="727F1332">
        <w:rPr>
          <w:rFonts w:ascii="Calibri" w:hAnsi="Calibri" w:eastAsia="Calibri" w:cs="Calibri"/>
          <w:color w:val="000000" w:themeColor="text1"/>
        </w:rPr>
        <w:t>Agencia Nacional Minera (ANM)</w:t>
      </w:r>
    </w:p>
    <w:p w:rsidR="00E94AC6" w:rsidP="727F1332" w:rsidRDefault="499A37F5" w14:paraId="54782F02" w14:textId="4D8651C8">
      <w:pPr>
        <w:pStyle w:val="ListParagraph"/>
        <w:numPr>
          <w:ilvl w:val="0"/>
          <w:numId w:val="5"/>
        </w:numPr>
        <w:jc w:val="both"/>
        <w:rPr>
          <w:rFonts w:ascii="Calibri" w:hAnsi="Calibri" w:eastAsia="Calibri" w:cs="Calibri"/>
          <w:color w:val="000000" w:themeColor="text1"/>
          <w:lang w:val="es-ES"/>
        </w:rPr>
      </w:pPr>
      <w:r w:rsidRPr="727F1332">
        <w:rPr>
          <w:rFonts w:ascii="Calibri" w:hAnsi="Calibri" w:eastAsia="Calibri" w:cs="Calibri"/>
          <w:color w:val="000000" w:themeColor="text1"/>
        </w:rPr>
        <w:t>Ministerio de Ambiente y Desarrollo Sostenible (</w:t>
      </w:r>
      <w:proofErr w:type="spellStart"/>
      <w:r w:rsidRPr="727F1332">
        <w:rPr>
          <w:rFonts w:ascii="Calibri" w:hAnsi="Calibri" w:eastAsia="Calibri" w:cs="Calibri"/>
          <w:color w:val="000000" w:themeColor="text1"/>
        </w:rPr>
        <w:t>MinAmbiente</w:t>
      </w:r>
      <w:proofErr w:type="spellEnd"/>
      <w:r w:rsidRPr="727F1332">
        <w:rPr>
          <w:rFonts w:ascii="Calibri" w:hAnsi="Calibri" w:eastAsia="Calibri" w:cs="Calibri"/>
          <w:color w:val="000000" w:themeColor="text1"/>
        </w:rPr>
        <w:t>)</w:t>
      </w:r>
    </w:p>
    <w:p w:rsidR="00E94AC6" w:rsidP="727F1332" w:rsidRDefault="499A37F5" w14:paraId="712777E2" w14:textId="1AD8A775">
      <w:pPr>
        <w:pStyle w:val="ListParagraph"/>
        <w:numPr>
          <w:ilvl w:val="0"/>
          <w:numId w:val="5"/>
        </w:numPr>
        <w:jc w:val="both"/>
        <w:rPr>
          <w:rFonts w:ascii="Calibri" w:hAnsi="Calibri" w:eastAsia="Calibri" w:cs="Calibri"/>
          <w:color w:val="000000" w:themeColor="text1"/>
          <w:lang w:val="es-ES"/>
        </w:rPr>
      </w:pPr>
      <w:r w:rsidRPr="727F1332">
        <w:rPr>
          <w:rFonts w:ascii="Calibri" w:hAnsi="Calibri" w:eastAsia="Calibri" w:cs="Calibri"/>
          <w:color w:val="000000" w:themeColor="text1"/>
        </w:rPr>
        <w:t>Departamento Administrativo de la Presidencia de la República (DAPRE)</w:t>
      </w:r>
    </w:p>
    <w:p w:rsidR="00E94AC6" w:rsidP="727F1332" w:rsidRDefault="499A37F5" w14:paraId="1CC3A571" w14:textId="7B7ED858">
      <w:pPr>
        <w:pStyle w:val="ListParagraph"/>
        <w:numPr>
          <w:ilvl w:val="0"/>
          <w:numId w:val="5"/>
        </w:numPr>
        <w:jc w:val="both"/>
        <w:rPr>
          <w:rFonts w:ascii="Calibri" w:hAnsi="Calibri" w:eastAsia="Calibri" w:cs="Calibri"/>
          <w:color w:val="000000" w:themeColor="text1"/>
          <w:lang w:val="es-ES"/>
        </w:rPr>
      </w:pPr>
      <w:r w:rsidRPr="727F1332">
        <w:rPr>
          <w:rFonts w:ascii="Calibri" w:hAnsi="Calibri" w:eastAsia="Calibri" w:cs="Calibri"/>
          <w:color w:val="000000" w:themeColor="text1"/>
        </w:rPr>
        <w:t>Ministerio del Interior (MI)</w:t>
      </w:r>
    </w:p>
    <w:p w:rsidR="00E94AC6" w:rsidP="727F1332" w:rsidRDefault="499A37F5" w14:paraId="20514E09" w14:textId="4872EC9A">
      <w:pPr>
        <w:pStyle w:val="ListParagraph"/>
        <w:numPr>
          <w:ilvl w:val="0"/>
          <w:numId w:val="5"/>
        </w:numPr>
        <w:jc w:val="both"/>
        <w:rPr>
          <w:rFonts w:ascii="Calibri" w:hAnsi="Calibri" w:eastAsia="Calibri" w:cs="Calibri"/>
          <w:color w:val="000000" w:themeColor="text1"/>
          <w:lang w:val="es-ES"/>
        </w:rPr>
      </w:pPr>
      <w:r w:rsidRPr="727F1332">
        <w:rPr>
          <w:rFonts w:ascii="Calibri" w:hAnsi="Calibri" w:eastAsia="Calibri" w:cs="Calibri"/>
          <w:color w:val="000000" w:themeColor="text1"/>
        </w:rPr>
        <w:t>Servicio Geológico Colombiano (SGC)</w:t>
      </w:r>
    </w:p>
    <w:p w:rsidR="00E94AC6" w:rsidP="727F1332" w:rsidRDefault="40ECCEB1" w14:paraId="3067B0A4" w14:textId="1A73116D">
      <w:pPr>
        <w:pStyle w:val="ListParagraph"/>
        <w:numPr>
          <w:ilvl w:val="0"/>
          <w:numId w:val="5"/>
        </w:numPr>
        <w:jc w:val="both"/>
        <w:rPr>
          <w:rFonts w:ascii="Calibri" w:hAnsi="Calibri" w:eastAsia="Calibri" w:cs="Calibri"/>
          <w:color w:val="000000" w:themeColor="text1"/>
          <w:lang w:val="es-ES"/>
        </w:rPr>
      </w:pPr>
      <w:r w:rsidRPr="17F8AA9B">
        <w:rPr>
          <w:rFonts w:ascii="Calibri" w:hAnsi="Calibri" w:eastAsia="Calibri" w:cs="Calibri"/>
          <w:color w:val="000000" w:themeColor="text1"/>
        </w:rPr>
        <w:t xml:space="preserve">Unidad de Planeación </w:t>
      </w:r>
      <w:r w:rsidRPr="17F8AA9B" w:rsidR="2FB78977">
        <w:rPr>
          <w:rFonts w:ascii="Calibri" w:hAnsi="Calibri" w:eastAsia="Calibri" w:cs="Calibri"/>
          <w:color w:val="000000" w:themeColor="text1"/>
        </w:rPr>
        <w:t>Minero-Energética</w:t>
      </w:r>
      <w:r w:rsidRPr="17F8AA9B">
        <w:rPr>
          <w:rFonts w:ascii="Calibri" w:hAnsi="Calibri" w:eastAsia="Calibri" w:cs="Calibri"/>
          <w:color w:val="000000" w:themeColor="text1"/>
        </w:rPr>
        <w:t xml:space="preserve"> (UPME) </w:t>
      </w:r>
    </w:p>
    <w:p w:rsidR="00E94AC6" w:rsidP="727F1332" w:rsidRDefault="40ECCEB1" w14:paraId="03686EA7" w14:textId="4C156E9D">
      <w:pPr>
        <w:pStyle w:val="ListParagraph"/>
        <w:numPr>
          <w:ilvl w:val="0"/>
          <w:numId w:val="5"/>
        </w:numPr>
        <w:jc w:val="both"/>
        <w:rPr>
          <w:rFonts w:ascii="Calibri" w:hAnsi="Calibri" w:eastAsia="Calibri" w:cs="Calibri"/>
          <w:color w:val="000000" w:themeColor="text1"/>
          <w:lang w:val="es-ES"/>
        </w:rPr>
      </w:pPr>
      <w:r w:rsidRPr="09C2734D">
        <w:rPr>
          <w:rFonts w:ascii="Calibri" w:hAnsi="Calibri" w:eastAsia="Calibri" w:cs="Calibri"/>
          <w:color w:val="000000" w:themeColor="text1"/>
        </w:rPr>
        <w:t>Ministerio de Minas y Energía (</w:t>
      </w:r>
      <w:proofErr w:type="spellStart"/>
      <w:r w:rsidRPr="09C2734D" w:rsidR="0A5BE257">
        <w:rPr>
          <w:rFonts w:ascii="Calibri" w:hAnsi="Calibri" w:eastAsia="Calibri" w:cs="Calibri"/>
          <w:color w:val="000000" w:themeColor="text1"/>
        </w:rPr>
        <w:t>M</w:t>
      </w:r>
      <w:r w:rsidRPr="09C2734D" w:rsidR="4E20D38A">
        <w:rPr>
          <w:rFonts w:ascii="Calibri" w:hAnsi="Calibri" w:eastAsia="Calibri" w:cs="Calibri"/>
          <w:color w:val="000000" w:themeColor="text1"/>
        </w:rPr>
        <w:t>inEnergía</w:t>
      </w:r>
      <w:proofErr w:type="spellEnd"/>
      <w:r w:rsidRPr="09C2734D">
        <w:rPr>
          <w:rFonts w:ascii="Calibri" w:hAnsi="Calibri" w:eastAsia="Calibri" w:cs="Calibri"/>
          <w:color w:val="000000" w:themeColor="text1"/>
        </w:rPr>
        <w:t>), como cabeza de Sector y Líder de la P</w:t>
      </w:r>
      <w:r w:rsidRPr="09C2734D" w:rsidR="68E4ECDA">
        <w:rPr>
          <w:rFonts w:ascii="Calibri" w:hAnsi="Calibri" w:eastAsia="Calibri" w:cs="Calibri"/>
          <w:color w:val="000000" w:themeColor="text1"/>
        </w:rPr>
        <w:t>olítica Pública Minera Nacional</w:t>
      </w:r>
      <w:r w:rsidRPr="09C2734D">
        <w:rPr>
          <w:rFonts w:ascii="Calibri" w:hAnsi="Calibri" w:eastAsia="Calibri" w:cs="Calibri"/>
          <w:color w:val="000000" w:themeColor="text1"/>
        </w:rPr>
        <w:t xml:space="preserve">. </w:t>
      </w:r>
    </w:p>
    <w:p w:rsidR="00E94AC6" w:rsidP="727F1332" w:rsidRDefault="499A37F5" w14:paraId="56364735" w14:textId="1BB06EDF">
      <w:pPr>
        <w:ind w:left="360"/>
        <w:jc w:val="both"/>
        <w:rPr>
          <w:rFonts w:ascii="Calibri" w:hAnsi="Calibri" w:eastAsia="Calibri" w:cs="Calibri"/>
          <w:color w:val="000000" w:themeColor="text1"/>
          <w:lang w:val="es-ES"/>
        </w:rPr>
      </w:pPr>
      <w:r w:rsidRPr="727F1332">
        <w:rPr>
          <w:rFonts w:ascii="Calibri" w:hAnsi="Calibri" w:eastAsia="Calibri" w:cs="Calibri"/>
          <w:color w:val="000000" w:themeColor="text1"/>
        </w:rPr>
        <w:t>Es así como, las Entidades involucradas tienen las siguientes acciones bajo su responsabilidad:</w:t>
      </w:r>
    </w:p>
    <w:p w:rsidR="00E94AC6" w:rsidP="00DD6760" w:rsidRDefault="00DD6760" w14:paraId="2C4A5C18" w14:textId="44BC20C0">
      <w:pPr>
        <w:pStyle w:val="Caption"/>
      </w:pPr>
      <w:bookmarkStart w:name="_Toc209191835" w:id="1197"/>
      <w:r>
        <w:t xml:space="preserve">Tabla </w:t>
      </w:r>
      <w:r>
        <w:fldChar w:fldCharType="begin"/>
      </w:r>
      <w:r>
        <w:instrText>SEQ Tabla \* ARABIC</w:instrText>
      </w:r>
      <w:r>
        <w:fldChar w:fldCharType="separate"/>
      </w:r>
      <w:r>
        <w:rPr>
          <w:noProof/>
        </w:rPr>
        <w:t>6</w:t>
      </w:r>
      <w:r>
        <w:fldChar w:fldCharType="end"/>
      </w:r>
      <w:r>
        <w:t xml:space="preserve">. </w:t>
      </w:r>
      <w:r w:rsidRPr="00DF6113">
        <w:t>Número de acciones por entidad.</w:t>
      </w:r>
      <w:bookmarkEnd w:id="1197"/>
    </w:p>
    <w:tbl>
      <w:tblPr>
        <w:tblW w:w="0" w:type="auto"/>
        <w:jc w:val="center"/>
        <w:tblBorders>
          <w:top w:val="single" w:color="auto" w:sz="6" w:space="0"/>
          <w:left w:val="single" w:color="auto" w:sz="6" w:space="0"/>
          <w:bottom w:val="single" w:color="auto" w:sz="6" w:space="0"/>
          <w:right w:val="single" w:color="auto" w:sz="6" w:space="0"/>
        </w:tblBorders>
        <w:tblLayout w:type="fixed"/>
        <w:tblLook w:val="04A0" w:firstRow="1" w:lastRow="0" w:firstColumn="1" w:lastColumn="0" w:noHBand="0" w:noVBand="1"/>
      </w:tblPr>
      <w:tblGrid>
        <w:gridCol w:w="4230"/>
        <w:gridCol w:w="2370"/>
      </w:tblGrid>
      <w:tr w:rsidR="727F1332" w:rsidTr="3D2173F3" w14:paraId="5012BE6B" w14:textId="77777777">
        <w:trPr>
          <w:trHeight w:val="300"/>
          <w:jc w:val="center"/>
        </w:trPr>
        <w:tc>
          <w:tcPr>
            <w:tcW w:w="4230" w:type="dxa"/>
            <w:tcBorders>
              <w:top w:val="single" w:color="auto" w:sz="6" w:space="0"/>
              <w:left w:val="single" w:color="auto" w:sz="6" w:space="0"/>
              <w:bottom w:val="single" w:color="auto" w:sz="6" w:space="0"/>
              <w:right w:val="single" w:color="auto" w:sz="6" w:space="0"/>
            </w:tcBorders>
            <w:shd w:val="clear" w:color="auto" w:fill="CAEDFB"/>
            <w:tcMar>
              <w:left w:w="60" w:type="dxa"/>
              <w:right w:w="60" w:type="dxa"/>
            </w:tcMar>
            <w:vAlign w:val="bottom"/>
          </w:tcPr>
          <w:p w:rsidR="727F1332" w:rsidP="727F1332" w:rsidRDefault="727F1332" w14:paraId="4723A9EC" w14:textId="4623506E">
            <w:pPr>
              <w:spacing w:after="0" w:line="240" w:lineRule="auto"/>
              <w:jc w:val="center"/>
              <w:rPr>
                <w:rFonts w:ascii="Calibri" w:hAnsi="Calibri" w:eastAsia="Calibri" w:cs="Calibri"/>
                <w:color w:val="000000" w:themeColor="text1"/>
              </w:rPr>
            </w:pPr>
            <w:r w:rsidRPr="727F1332">
              <w:rPr>
                <w:rFonts w:ascii="Calibri" w:hAnsi="Calibri" w:eastAsia="Calibri" w:cs="Calibri"/>
                <w:b/>
                <w:bCs/>
                <w:color w:val="000000" w:themeColor="text1"/>
              </w:rPr>
              <w:t>Entidad</w:t>
            </w:r>
          </w:p>
        </w:tc>
        <w:tc>
          <w:tcPr>
            <w:tcW w:w="2370" w:type="dxa"/>
            <w:tcBorders>
              <w:top w:val="single" w:color="auto" w:sz="6" w:space="0"/>
              <w:left w:val="single" w:color="auto" w:sz="6" w:space="0"/>
              <w:bottom w:val="single" w:color="auto" w:sz="6" w:space="0"/>
              <w:right w:val="single" w:color="auto" w:sz="6" w:space="0"/>
            </w:tcBorders>
            <w:shd w:val="clear" w:color="auto" w:fill="CAEDFB"/>
            <w:tcMar>
              <w:left w:w="60" w:type="dxa"/>
              <w:right w:w="60" w:type="dxa"/>
            </w:tcMar>
            <w:vAlign w:val="bottom"/>
          </w:tcPr>
          <w:p w:rsidR="727F1332" w:rsidP="727F1332" w:rsidRDefault="727F1332" w14:paraId="0D1054EB" w14:textId="514CE69A">
            <w:pPr>
              <w:spacing w:after="0" w:line="240" w:lineRule="auto"/>
              <w:jc w:val="center"/>
              <w:rPr>
                <w:rFonts w:ascii="Calibri" w:hAnsi="Calibri" w:eastAsia="Calibri" w:cs="Calibri"/>
                <w:color w:val="000000" w:themeColor="text1"/>
              </w:rPr>
            </w:pPr>
            <w:r w:rsidRPr="727F1332">
              <w:rPr>
                <w:rFonts w:ascii="Calibri" w:hAnsi="Calibri" w:eastAsia="Calibri" w:cs="Calibri"/>
                <w:b/>
                <w:bCs/>
                <w:color w:val="000000" w:themeColor="text1"/>
              </w:rPr>
              <w:t xml:space="preserve">No. ACCIONES </w:t>
            </w:r>
          </w:p>
        </w:tc>
      </w:tr>
      <w:tr w:rsidR="727F1332" w:rsidTr="3D2173F3" w14:paraId="644CF6A1" w14:textId="77777777">
        <w:trPr>
          <w:trHeight w:val="300"/>
          <w:jc w:val="center"/>
        </w:trPr>
        <w:tc>
          <w:tcPr>
            <w:tcW w:w="423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727F1332" w14:paraId="10AC927E" w14:textId="4D809312" w14:noSpellErr="1">
            <w:pPr>
              <w:spacing w:after="0" w:line="240" w:lineRule="auto"/>
              <w:jc w:val="center"/>
              <w:rPr>
                <w:rFonts w:ascii="Calibri" w:hAnsi="Calibri" w:eastAsia="Calibri" w:cs="Calibri"/>
                <w:color w:val="000000" w:themeColor="text1"/>
              </w:rPr>
            </w:pPr>
            <w:r w:rsidRPr="3D2173F3" w:rsidR="546815DB">
              <w:rPr>
                <w:rFonts w:ascii="Calibri" w:hAnsi="Calibri" w:eastAsia="Calibri" w:cs="Calibri"/>
                <w:color w:val="000000" w:themeColor="text1" w:themeTint="FF" w:themeShade="FF"/>
              </w:rPr>
              <w:t>ANM</w:t>
            </w:r>
          </w:p>
        </w:tc>
        <w:tc>
          <w:tcPr>
            <w:tcW w:w="237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727F1332" w14:paraId="39EFF8FB" w14:textId="37C3FE5B">
            <w:pPr>
              <w:spacing w:after="0" w:line="240" w:lineRule="auto"/>
              <w:jc w:val="center"/>
              <w:rPr>
                <w:rFonts w:ascii="Calibri" w:hAnsi="Calibri" w:eastAsia="Calibri" w:cs="Calibri"/>
                <w:color w:val="000000" w:themeColor="text1"/>
              </w:rPr>
            </w:pPr>
            <w:r w:rsidRPr="727F1332">
              <w:rPr>
                <w:rFonts w:ascii="Calibri" w:hAnsi="Calibri" w:eastAsia="Calibri" w:cs="Calibri"/>
                <w:color w:val="000000" w:themeColor="text1"/>
              </w:rPr>
              <w:t>3</w:t>
            </w:r>
            <w:r w:rsidR="006534CF">
              <w:rPr>
                <w:rFonts w:ascii="Calibri" w:hAnsi="Calibri" w:eastAsia="Calibri" w:cs="Calibri"/>
                <w:color w:val="000000" w:themeColor="text1"/>
              </w:rPr>
              <w:t>6</w:t>
            </w:r>
          </w:p>
        </w:tc>
      </w:tr>
      <w:tr w:rsidR="727F1332" w:rsidTr="3D2173F3" w14:paraId="0F0C1A77" w14:textId="77777777">
        <w:trPr>
          <w:trHeight w:val="300"/>
          <w:jc w:val="center"/>
        </w:trPr>
        <w:tc>
          <w:tcPr>
            <w:tcW w:w="423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727F1332" w14:paraId="284097DB" w14:textId="70CB148B">
            <w:pPr>
              <w:spacing w:after="0" w:line="240" w:lineRule="auto"/>
              <w:jc w:val="center"/>
              <w:rPr>
                <w:rFonts w:ascii="Calibri" w:hAnsi="Calibri" w:eastAsia="Calibri" w:cs="Calibri"/>
                <w:color w:val="000000" w:themeColor="text1"/>
              </w:rPr>
            </w:pPr>
            <w:r w:rsidRPr="727F1332">
              <w:rPr>
                <w:rFonts w:ascii="Calibri" w:hAnsi="Calibri" w:eastAsia="Calibri" w:cs="Calibri"/>
                <w:color w:val="000000" w:themeColor="text1"/>
              </w:rPr>
              <w:t xml:space="preserve">ANM - </w:t>
            </w:r>
            <w:proofErr w:type="spellStart"/>
            <w:r w:rsidRPr="727F1332">
              <w:rPr>
                <w:rFonts w:ascii="Calibri" w:hAnsi="Calibri" w:eastAsia="Calibri" w:cs="Calibri"/>
                <w:color w:val="000000" w:themeColor="text1"/>
              </w:rPr>
              <w:t>MinAmbiente</w:t>
            </w:r>
            <w:proofErr w:type="spellEnd"/>
          </w:p>
        </w:tc>
        <w:tc>
          <w:tcPr>
            <w:tcW w:w="237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006534CF" w14:paraId="1BEE6830" w14:textId="5EB5EDB3">
            <w:pPr>
              <w:spacing w:after="0" w:line="240" w:lineRule="auto"/>
              <w:jc w:val="center"/>
              <w:rPr>
                <w:rFonts w:ascii="Calibri" w:hAnsi="Calibri" w:eastAsia="Calibri" w:cs="Calibri"/>
                <w:color w:val="000000" w:themeColor="text1"/>
              </w:rPr>
            </w:pPr>
            <w:r>
              <w:rPr>
                <w:rFonts w:ascii="Calibri" w:hAnsi="Calibri" w:eastAsia="Calibri" w:cs="Calibri"/>
                <w:color w:val="000000" w:themeColor="text1"/>
              </w:rPr>
              <w:t>1</w:t>
            </w:r>
          </w:p>
        </w:tc>
      </w:tr>
      <w:tr w:rsidR="727F1332" w:rsidTr="3D2173F3" w14:paraId="1FA40E9A" w14:textId="77777777">
        <w:trPr>
          <w:trHeight w:val="300"/>
          <w:jc w:val="center"/>
        </w:trPr>
        <w:tc>
          <w:tcPr>
            <w:tcW w:w="423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0A5BE257" w14:paraId="6257BF2B" w14:textId="62F9D130">
            <w:pPr>
              <w:spacing w:after="0" w:line="240" w:lineRule="auto"/>
              <w:jc w:val="center"/>
              <w:rPr>
                <w:rFonts w:ascii="Calibri" w:hAnsi="Calibri" w:eastAsia="Calibri" w:cs="Calibri"/>
                <w:color w:val="000000" w:themeColor="text1"/>
              </w:rPr>
            </w:pPr>
            <w:proofErr w:type="spellStart"/>
            <w:r w:rsidRPr="17F8AA9B">
              <w:rPr>
                <w:rFonts w:ascii="Calibri" w:hAnsi="Calibri" w:eastAsia="Calibri" w:cs="Calibri"/>
                <w:color w:val="000000" w:themeColor="text1"/>
              </w:rPr>
              <w:t>M</w:t>
            </w:r>
            <w:r w:rsidR="006534CF">
              <w:rPr>
                <w:rFonts w:ascii="Calibri" w:hAnsi="Calibri" w:eastAsia="Calibri" w:cs="Calibri"/>
                <w:color w:val="000000" w:themeColor="text1"/>
              </w:rPr>
              <w:t>inEnergía</w:t>
            </w:r>
            <w:proofErr w:type="spellEnd"/>
          </w:p>
        </w:tc>
        <w:tc>
          <w:tcPr>
            <w:tcW w:w="237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006534CF" w14:paraId="5BC7652D" w14:textId="0AC90CC2">
            <w:pPr>
              <w:spacing w:after="0" w:line="240" w:lineRule="auto"/>
              <w:jc w:val="center"/>
              <w:rPr>
                <w:rFonts w:ascii="Calibri" w:hAnsi="Calibri" w:eastAsia="Calibri" w:cs="Calibri"/>
                <w:color w:val="000000" w:themeColor="text1"/>
              </w:rPr>
            </w:pPr>
            <w:r>
              <w:rPr>
                <w:rFonts w:ascii="Calibri" w:hAnsi="Calibri" w:eastAsia="Calibri" w:cs="Calibri"/>
                <w:color w:val="000000" w:themeColor="text1"/>
              </w:rPr>
              <w:t>8</w:t>
            </w:r>
            <w:r w:rsidR="002B0394">
              <w:rPr>
                <w:rFonts w:ascii="Calibri" w:hAnsi="Calibri" w:eastAsia="Calibri" w:cs="Calibri"/>
                <w:color w:val="000000" w:themeColor="text1"/>
              </w:rPr>
              <w:t>9</w:t>
            </w:r>
          </w:p>
        </w:tc>
      </w:tr>
      <w:tr w:rsidR="727F1332" w:rsidTr="3D2173F3" w14:paraId="285B204B" w14:textId="77777777">
        <w:trPr>
          <w:trHeight w:val="300"/>
          <w:jc w:val="center"/>
        </w:trPr>
        <w:tc>
          <w:tcPr>
            <w:tcW w:w="423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727F1332" w14:paraId="7017DE79" w14:textId="397F8B71">
            <w:pPr>
              <w:spacing w:after="0" w:line="240" w:lineRule="auto"/>
              <w:jc w:val="center"/>
              <w:rPr>
                <w:rFonts w:ascii="Calibri" w:hAnsi="Calibri" w:eastAsia="Calibri" w:cs="Calibri"/>
                <w:color w:val="000000" w:themeColor="text1"/>
              </w:rPr>
            </w:pPr>
            <w:r w:rsidRPr="727F1332">
              <w:rPr>
                <w:rFonts w:ascii="Calibri" w:hAnsi="Calibri" w:eastAsia="Calibri" w:cs="Calibri"/>
                <w:color w:val="000000" w:themeColor="text1"/>
              </w:rPr>
              <w:t>SGC</w:t>
            </w:r>
          </w:p>
        </w:tc>
        <w:tc>
          <w:tcPr>
            <w:tcW w:w="237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727F1332" w14:paraId="3AAF4A26" w14:textId="7C642E79">
            <w:pPr>
              <w:spacing w:after="0" w:line="240" w:lineRule="auto"/>
              <w:jc w:val="center"/>
              <w:rPr>
                <w:rFonts w:ascii="Calibri" w:hAnsi="Calibri" w:eastAsia="Calibri" w:cs="Calibri"/>
                <w:color w:val="000000" w:themeColor="text1"/>
              </w:rPr>
            </w:pPr>
            <w:r w:rsidRPr="727F1332">
              <w:rPr>
                <w:rFonts w:ascii="Calibri" w:hAnsi="Calibri" w:eastAsia="Calibri" w:cs="Calibri"/>
                <w:color w:val="000000" w:themeColor="text1"/>
              </w:rPr>
              <w:t>5</w:t>
            </w:r>
          </w:p>
        </w:tc>
      </w:tr>
      <w:tr w:rsidR="727F1332" w:rsidTr="3D2173F3" w14:paraId="2F3B7B6D" w14:textId="77777777">
        <w:trPr>
          <w:trHeight w:val="300"/>
          <w:jc w:val="center"/>
        </w:trPr>
        <w:tc>
          <w:tcPr>
            <w:tcW w:w="423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727F1332" w14:paraId="0D5245EE" w14:textId="2F957A9C">
            <w:pPr>
              <w:spacing w:after="0" w:line="240" w:lineRule="auto"/>
              <w:jc w:val="center"/>
              <w:rPr>
                <w:rFonts w:ascii="Calibri" w:hAnsi="Calibri" w:eastAsia="Calibri" w:cs="Calibri"/>
                <w:color w:val="000000" w:themeColor="text1"/>
              </w:rPr>
            </w:pPr>
            <w:r w:rsidRPr="727F1332">
              <w:rPr>
                <w:rFonts w:ascii="Calibri" w:hAnsi="Calibri" w:eastAsia="Calibri" w:cs="Calibri"/>
                <w:color w:val="000000" w:themeColor="text1"/>
              </w:rPr>
              <w:t>UPME</w:t>
            </w:r>
          </w:p>
        </w:tc>
        <w:tc>
          <w:tcPr>
            <w:tcW w:w="2370" w:type="dxa"/>
            <w:tcBorders>
              <w:top w:val="single" w:color="auto" w:sz="6" w:space="0"/>
              <w:left w:val="single" w:color="auto" w:sz="6" w:space="0"/>
              <w:bottom w:val="single" w:color="auto" w:sz="6" w:space="0"/>
              <w:right w:val="single" w:color="auto" w:sz="6" w:space="0"/>
            </w:tcBorders>
            <w:tcMar>
              <w:left w:w="60" w:type="dxa"/>
              <w:right w:w="60" w:type="dxa"/>
            </w:tcMar>
            <w:vAlign w:val="center"/>
          </w:tcPr>
          <w:p w:rsidR="727F1332" w:rsidP="727F1332" w:rsidRDefault="006534CF" w14:paraId="3FF84E1F" w14:textId="7AF782B6">
            <w:pPr>
              <w:spacing w:after="0" w:line="240" w:lineRule="auto"/>
              <w:jc w:val="center"/>
              <w:rPr>
                <w:rFonts w:ascii="Calibri" w:hAnsi="Calibri" w:eastAsia="Calibri" w:cs="Calibri"/>
                <w:color w:val="000000" w:themeColor="text1"/>
              </w:rPr>
            </w:pPr>
            <w:r>
              <w:rPr>
                <w:rFonts w:ascii="Calibri" w:hAnsi="Calibri" w:eastAsia="Calibri" w:cs="Calibri"/>
                <w:color w:val="000000" w:themeColor="text1"/>
              </w:rPr>
              <w:t>5</w:t>
            </w:r>
          </w:p>
        </w:tc>
      </w:tr>
      <w:tr w:rsidR="727F1332" w:rsidTr="3D2173F3" w14:paraId="29F63B5D" w14:textId="77777777">
        <w:trPr>
          <w:trHeight w:val="300"/>
          <w:jc w:val="center"/>
        </w:trPr>
        <w:tc>
          <w:tcPr>
            <w:tcW w:w="4230" w:type="dxa"/>
            <w:tcBorders>
              <w:top w:val="single" w:color="auto" w:sz="6" w:space="0"/>
              <w:left w:val="nil"/>
              <w:bottom w:val="nil"/>
              <w:right w:val="nil"/>
            </w:tcBorders>
            <w:tcMar>
              <w:left w:w="60" w:type="dxa"/>
              <w:right w:w="60" w:type="dxa"/>
            </w:tcMar>
            <w:vAlign w:val="bottom"/>
          </w:tcPr>
          <w:p w:rsidR="727F1332" w:rsidP="727F1332" w:rsidRDefault="00E32ACE" w14:paraId="1CD9D562" w14:textId="476F77A6" w14:noSpellErr="1">
            <w:pPr>
              <w:spacing w:after="0" w:line="240" w:lineRule="auto"/>
              <w:jc w:val="center"/>
              <w:rPr>
                <w:rFonts w:ascii="Calibri" w:hAnsi="Calibri" w:eastAsia="Calibri" w:cs="Calibri"/>
                <w:color w:val="000000" w:themeColor="text1"/>
              </w:rPr>
            </w:pPr>
          </w:p>
        </w:tc>
        <w:tc>
          <w:tcPr>
            <w:tcW w:w="2370" w:type="dxa"/>
            <w:tcBorders>
              <w:top w:val="single" w:color="auto" w:sz="6" w:space="0"/>
              <w:left w:val="single" w:color="auto" w:sz="6" w:space="0"/>
              <w:bottom w:val="single" w:color="auto" w:sz="6" w:space="0"/>
              <w:right w:val="single" w:color="auto" w:sz="6" w:space="0"/>
            </w:tcBorders>
            <w:shd w:val="clear" w:color="auto" w:fill="CAEDFB"/>
            <w:tcMar>
              <w:left w:w="60" w:type="dxa"/>
              <w:right w:w="60" w:type="dxa"/>
            </w:tcMar>
            <w:vAlign w:val="bottom"/>
          </w:tcPr>
          <w:p w:rsidR="727F1332" w:rsidP="727F1332" w:rsidRDefault="727F1332" w14:paraId="2EA7C6FD" w14:textId="748AEBF9">
            <w:pPr>
              <w:spacing w:after="0" w:line="240" w:lineRule="auto"/>
              <w:jc w:val="center"/>
              <w:rPr>
                <w:rFonts w:ascii="Calibri" w:hAnsi="Calibri" w:eastAsia="Calibri" w:cs="Calibri"/>
                <w:color w:val="000000" w:themeColor="text1"/>
              </w:rPr>
            </w:pPr>
            <w:r w:rsidRPr="727F1332">
              <w:rPr>
                <w:rFonts w:ascii="Calibri" w:hAnsi="Calibri" w:eastAsia="Calibri" w:cs="Calibri"/>
                <w:b/>
                <w:bCs/>
                <w:color w:val="000000" w:themeColor="text1"/>
              </w:rPr>
              <w:t>13</w:t>
            </w:r>
            <w:r w:rsidR="00E32ACE">
              <w:rPr>
                <w:rFonts w:ascii="Calibri" w:hAnsi="Calibri" w:eastAsia="Calibri" w:cs="Calibri"/>
                <w:b/>
                <w:bCs/>
                <w:color w:val="000000" w:themeColor="text1"/>
              </w:rPr>
              <w:t>6</w:t>
            </w:r>
          </w:p>
        </w:tc>
      </w:tr>
    </w:tbl>
    <w:p w:rsidR="00E94AC6" w:rsidP="727F1332" w:rsidRDefault="3CF44E41" w14:paraId="63F4F762" w14:textId="6DF8464C">
      <w:pPr>
        <w:jc w:val="center"/>
        <w:rPr>
          <w:rFonts w:eastAsia="Calibri" w:cs="Times New Roman"/>
          <w:sz w:val="18"/>
          <w:szCs w:val="18"/>
        </w:rPr>
      </w:pPr>
      <w:r w:rsidRPr="17F8AA9B">
        <w:rPr>
          <w:rFonts w:eastAsia="Calibri" w:cs="Times New Roman"/>
          <w:sz w:val="18"/>
          <w:szCs w:val="18"/>
        </w:rPr>
        <w:t xml:space="preserve">Fuente: Elaboración: Oficina de Planeación y Gestión internacional, </w:t>
      </w:r>
      <w:r w:rsidRPr="17F8AA9B" w:rsidR="0A5BE257">
        <w:rPr>
          <w:rFonts w:eastAsia="Calibri" w:cs="Times New Roman"/>
          <w:sz w:val="18"/>
          <w:szCs w:val="18"/>
        </w:rPr>
        <w:t>MINENERGÍA</w:t>
      </w:r>
    </w:p>
    <w:p w:rsidR="00E94AC6" w:rsidP="727F1332" w:rsidRDefault="60597860" w14:paraId="22F525F8" w14:textId="6801621F">
      <w:pPr>
        <w:jc w:val="both"/>
        <w:rPr>
          <w:rFonts w:ascii="Calibri" w:hAnsi="Calibri" w:eastAsia="Calibri" w:cs="Calibri"/>
          <w:color w:val="000000" w:themeColor="text1"/>
        </w:rPr>
      </w:pPr>
      <w:r w:rsidRPr="727F1332">
        <w:rPr>
          <w:rFonts w:ascii="Calibri" w:hAnsi="Calibri" w:eastAsia="Calibri" w:cs="Calibri"/>
          <w:color w:val="000000" w:themeColor="text1"/>
        </w:rPr>
        <w:t xml:space="preserve">El cumplimiento del Plan de Acción requerirá de articulación y coordinación con las Entidades involucradas a través de espacios de interlocución para realizar seguimiento y análisis de los avances alcanzados por indicadores en cada Línea estratégica, con seguimiento trimestral mediante un informe de reporte de avances. </w:t>
      </w:r>
    </w:p>
    <w:p w:rsidR="00E94AC6" w:rsidP="727F1332" w:rsidRDefault="60597860" w14:paraId="763461AE" w14:textId="04B62F00">
      <w:pPr>
        <w:jc w:val="both"/>
        <w:rPr>
          <w:rFonts w:ascii="Calibri" w:hAnsi="Calibri" w:eastAsia="Calibri" w:cs="Calibri"/>
          <w:color w:val="000000" w:themeColor="text1"/>
        </w:rPr>
      </w:pPr>
      <w:r w:rsidRPr="727F1332">
        <w:rPr>
          <w:rFonts w:ascii="Calibri" w:hAnsi="Calibri" w:eastAsia="Calibri" w:cs="Calibri"/>
          <w:color w:val="000000" w:themeColor="text1"/>
        </w:rPr>
        <w:t xml:space="preserve">De manera general, para el Mecanismo de seguimiento se dejarán perfilados los siguientes lineamientos operativos y metodológicos: </w:t>
      </w:r>
    </w:p>
    <w:p w:rsidR="00E94AC6" w:rsidP="727F1332" w:rsidRDefault="1EE0875C" w14:paraId="07D65353" w14:textId="33569156">
      <w:pPr>
        <w:pStyle w:val="ListParagraph"/>
        <w:numPr>
          <w:ilvl w:val="0"/>
          <w:numId w:val="4"/>
        </w:numPr>
        <w:jc w:val="both"/>
        <w:rPr>
          <w:rFonts w:ascii="Calibri" w:hAnsi="Calibri" w:eastAsia="Calibri" w:cs="Calibri"/>
          <w:color w:val="000000" w:themeColor="text1"/>
        </w:rPr>
      </w:pPr>
      <w:r w:rsidRPr="17F8AA9B">
        <w:rPr>
          <w:rFonts w:ascii="Calibri" w:hAnsi="Calibri" w:eastAsia="Calibri" w:cs="Calibri"/>
          <w:color w:val="000000" w:themeColor="text1"/>
        </w:rPr>
        <w:t xml:space="preserve">Una vez adoptada la Política, la Oficina de Planeación y Gestión Internacional del </w:t>
      </w:r>
      <w:r w:rsidRPr="17F8AA9B" w:rsidR="0A5BE257">
        <w:rPr>
          <w:rFonts w:ascii="Calibri" w:hAnsi="Calibri" w:eastAsia="Calibri" w:cs="Calibri"/>
          <w:color w:val="000000" w:themeColor="text1"/>
        </w:rPr>
        <w:t>MINENERGÍA</w:t>
      </w:r>
      <w:r w:rsidRPr="17F8AA9B">
        <w:rPr>
          <w:rFonts w:ascii="Calibri" w:hAnsi="Calibri" w:eastAsia="Calibri" w:cs="Calibri"/>
          <w:color w:val="000000" w:themeColor="text1"/>
        </w:rPr>
        <w:t xml:space="preserve">, emitirá una Circular, en la cual se establecerán claramente los lineamientos de seguimiento y monitoreo al cumplimiento de la Política, con los formatos de informe de reporte de avances, donde se establecerán entidades responsables, los indicadores asociados a su cumplimiento, así como los hitos de avance relacionados, y las metas por año. </w:t>
      </w:r>
    </w:p>
    <w:p w:rsidR="00E94AC6" w:rsidP="727F1332" w:rsidRDefault="60597860" w14:paraId="053E3280" w14:textId="684A8F10">
      <w:pPr>
        <w:pStyle w:val="ListParagraph"/>
        <w:numPr>
          <w:ilvl w:val="0"/>
          <w:numId w:val="4"/>
        </w:numPr>
        <w:jc w:val="both"/>
        <w:rPr>
          <w:rFonts w:ascii="Calibri" w:hAnsi="Calibri" w:eastAsia="Calibri" w:cs="Calibri"/>
          <w:color w:val="000000" w:themeColor="text1"/>
        </w:rPr>
      </w:pPr>
      <w:r w:rsidRPr="727F1332">
        <w:rPr>
          <w:rFonts w:ascii="Calibri" w:hAnsi="Calibri" w:eastAsia="Calibri" w:cs="Calibri"/>
          <w:color w:val="000000" w:themeColor="text1"/>
        </w:rPr>
        <w:t xml:space="preserve">Se realizará seguimiento trimestral al Plan de Acción, conforme a los siguientes cortes: 30 de marzo, 30 de junio, 30 de septiembre y 31 de diciembre. </w:t>
      </w:r>
    </w:p>
    <w:p w:rsidR="00E94AC6" w:rsidP="727F1332" w:rsidRDefault="60597860" w14:paraId="62D09775" w14:textId="6630C64D">
      <w:pPr>
        <w:pStyle w:val="ListParagraph"/>
        <w:numPr>
          <w:ilvl w:val="0"/>
          <w:numId w:val="4"/>
        </w:numPr>
        <w:jc w:val="both"/>
        <w:rPr>
          <w:rFonts w:ascii="Calibri" w:hAnsi="Calibri" w:eastAsia="Calibri" w:cs="Calibri"/>
          <w:color w:val="000000" w:themeColor="text1"/>
        </w:rPr>
      </w:pPr>
      <w:r w:rsidRPr="727F1332">
        <w:rPr>
          <w:rFonts w:ascii="Calibri" w:hAnsi="Calibri" w:eastAsia="Calibri" w:cs="Calibri"/>
          <w:color w:val="000000" w:themeColor="text1"/>
        </w:rPr>
        <w:t xml:space="preserve">Una vez finalizado el corte, la Entidad responsable de la implementación y reporte, entregará avances cuantitativos y cualitativos de las acciones, en los formatos y tiempos previamente establecidos por la Oficina de Planeación del Ministerio.  </w:t>
      </w:r>
    </w:p>
    <w:p w:rsidR="00E94AC6" w:rsidP="727F1332" w:rsidRDefault="60597860" w14:paraId="045032BE" w14:textId="3D433F33">
      <w:pPr>
        <w:pStyle w:val="ListParagraph"/>
        <w:numPr>
          <w:ilvl w:val="0"/>
          <w:numId w:val="4"/>
        </w:numPr>
        <w:jc w:val="both"/>
        <w:rPr>
          <w:rFonts w:ascii="Calibri" w:hAnsi="Calibri" w:eastAsia="Calibri" w:cs="Calibri"/>
          <w:color w:val="000000" w:themeColor="text1"/>
        </w:rPr>
      </w:pPr>
      <w:r w:rsidRPr="727F1332">
        <w:rPr>
          <w:rFonts w:ascii="Calibri" w:hAnsi="Calibri" w:eastAsia="Calibri" w:cs="Calibri"/>
          <w:color w:val="000000" w:themeColor="text1"/>
        </w:rPr>
        <w:t xml:space="preserve">Una vez allegados los reportes a la Oficina de Planeación, esta consolidará, revisará y realizará análisis del Avance del Plan de Acción. </w:t>
      </w:r>
    </w:p>
    <w:p w:rsidR="00E94AC6" w:rsidP="727F1332" w:rsidRDefault="60597860" w14:paraId="39418B63" w14:textId="72BDFB9E">
      <w:pPr>
        <w:pStyle w:val="ListParagraph"/>
        <w:numPr>
          <w:ilvl w:val="0"/>
          <w:numId w:val="4"/>
        </w:numPr>
        <w:jc w:val="both"/>
        <w:rPr>
          <w:rFonts w:ascii="Calibri" w:hAnsi="Calibri" w:eastAsia="Calibri" w:cs="Calibri"/>
          <w:color w:val="000000" w:themeColor="text1"/>
        </w:rPr>
      </w:pPr>
      <w:r w:rsidRPr="727F1332">
        <w:rPr>
          <w:rFonts w:ascii="Calibri" w:hAnsi="Calibri" w:eastAsia="Calibri" w:cs="Calibri"/>
          <w:color w:val="000000" w:themeColor="text1"/>
        </w:rPr>
        <w:t>Los insumos anteriores, serán entregados al Grupo de Seguimiento a la Política creado desde el Viceministerio de Minas, para su Evaluación.</w:t>
      </w:r>
    </w:p>
    <w:p w:rsidR="00E94AC6" w:rsidP="727F1332" w:rsidRDefault="60597860" w14:paraId="24192FB0" w14:textId="5C45957E">
      <w:pPr>
        <w:pStyle w:val="ListParagraph"/>
        <w:numPr>
          <w:ilvl w:val="0"/>
          <w:numId w:val="4"/>
        </w:numPr>
        <w:spacing w:after="0"/>
        <w:jc w:val="both"/>
        <w:rPr>
          <w:rFonts w:ascii="Calibri" w:hAnsi="Calibri" w:eastAsia="Calibri" w:cs="Calibri"/>
          <w:color w:val="000000" w:themeColor="text1"/>
        </w:rPr>
      </w:pPr>
      <w:r w:rsidRPr="727F1332">
        <w:rPr>
          <w:rFonts w:ascii="Calibri" w:hAnsi="Calibri" w:eastAsia="Calibri" w:cs="Calibri"/>
          <w:color w:val="000000" w:themeColor="text1"/>
        </w:rPr>
        <w:t>En el marco de la Ley de Transparencia y Acceso a la Información Pública en Colombia, establecida por la Ley 1712 de 2014, la cual garantiza el derecho de los ciudadanos a acceder a la información pública y promueve la transparencia en la gestión estatal, se publicarán los reportes realizados a la Política Pública Minera nacional.</w:t>
      </w:r>
    </w:p>
    <w:p w:rsidR="00E94AC6" w:rsidP="727F1332" w:rsidRDefault="00E94AC6" w14:paraId="32FBD370" w14:textId="5E28E63E">
      <w:pPr>
        <w:ind w:left="360"/>
        <w:jc w:val="both"/>
        <w:rPr>
          <w:rFonts w:ascii="Calibri" w:hAnsi="Calibri" w:eastAsia="Calibri" w:cs="Calibri"/>
          <w:color w:val="000000" w:themeColor="text1"/>
        </w:rPr>
      </w:pPr>
    </w:p>
    <w:p w:rsidR="00E94AC6" w:rsidP="769A4CE5" w:rsidRDefault="59A6835F" w14:paraId="49BE01E4" w14:textId="2C3E42CC">
      <w:pPr>
        <w:pStyle w:val="Heading1"/>
        <w:rPr>
          <w:rFonts w:eastAsia="Arial" w:cs="Arial"/>
          <w:lang w:val="es-ES"/>
        </w:rPr>
      </w:pPr>
      <w:bookmarkStart w:name="_Toc1603509615" w:id="1199"/>
      <w:bookmarkStart w:name="_Toc1247144768" w:id="1200"/>
      <w:bookmarkStart w:name="_Toc1867831500" w:id="1201"/>
      <w:bookmarkStart w:name="_Toc690701952" w:id="1202"/>
      <w:bookmarkStart w:name="_Toc1106843218" w:id="1203"/>
      <w:bookmarkStart w:name="_Toc381131010" w:id="1204"/>
      <w:bookmarkStart w:name="_Toc1146258322" w:id="1205"/>
      <w:bookmarkStart w:name="_Toc2020158159" w:id="1206"/>
      <w:bookmarkStart w:name="_Toc968386669" w:id="1207"/>
      <w:bookmarkStart w:name="_Toc1406272994" w:id="1208"/>
      <w:bookmarkStart w:name="_Toc1680102802" w:id="1209"/>
      <w:bookmarkStart w:name="_Toc725875362" w:id="1210"/>
      <w:bookmarkStart w:name="_Toc619707943" w:id="1211"/>
      <w:bookmarkStart w:name="_Toc1971740465" w:id="1212"/>
      <w:bookmarkStart w:name="_Toc531294860" w:id="1213"/>
      <w:bookmarkStart w:name="_Toc800645234" w:id="1214"/>
      <w:bookmarkStart w:name="_Toc873087132" w:id="1215"/>
      <w:bookmarkStart w:name="_Toc31582111" w:id="1216"/>
      <w:bookmarkStart w:name="_Toc2063308892" w:id="1217"/>
      <w:bookmarkStart w:name="_Toc488660405" w:id="1218"/>
      <w:bookmarkStart w:name="_Toc1208403874" w:id="1219"/>
      <w:bookmarkStart w:name="_Toc1647205884" w:id="1220"/>
      <w:bookmarkStart w:name="_Toc515577653" w:id="1221"/>
      <w:bookmarkStart w:name="_Toc1719225173" w:id="1222"/>
      <w:bookmarkStart w:name="_Toc508628571" w:id="1223"/>
      <w:bookmarkStart w:name="_Toc772544428" w:id="1224"/>
      <w:bookmarkStart w:name="_Toc210292998" w:id="1225"/>
      <w:r w:rsidRPr="5734DBB2">
        <w:rPr>
          <w:lang w:val="es-ES"/>
        </w:rPr>
        <w:t>Financiación</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r w:rsidRPr="5734DBB2">
        <w:rPr>
          <w:lang w:val="es-ES"/>
        </w:rPr>
        <w:t xml:space="preserve"> </w:t>
      </w:r>
    </w:p>
    <w:p w:rsidR="5734DBB2" w:rsidP="5734DBB2" w:rsidRDefault="5734DBB2" w14:paraId="3D2C8E44" w14:textId="7FD3DFA9">
      <w:pPr>
        <w:rPr>
          <w:rFonts w:eastAsiaTheme="minorEastAsia"/>
          <w:b/>
          <w:bCs/>
          <w:lang w:val="es-ES"/>
        </w:rPr>
      </w:pPr>
    </w:p>
    <w:p w:rsidR="44FF96E5" w:rsidP="5734DBB2" w:rsidRDefault="44FF96E5" w14:paraId="77460852" w14:textId="5CC3DAFC">
      <w:pPr>
        <w:pStyle w:val="ListParagraph"/>
        <w:numPr>
          <w:ilvl w:val="0"/>
          <w:numId w:val="3"/>
        </w:numPr>
        <w:jc w:val="both"/>
        <w:rPr>
          <w:b/>
          <w:bCs/>
        </w:rPr>
      </w:pPr>
      <w:r w:rsidRPr="5734DBB2">
        <w:rPr>
          <w:b/>
          <w:bCs/>
        </w:rPr>
        <w:t>Principios para la financiación de la Política Pública Minera</w:t>
      </w:r>
    </w:p>
    <w:p w:rsidR="28E63308" w:rsidP="17F8AA9B" w:rsidRDefault="6ABE4531" w14:paraId="24515A26" w14:textId="7A48FDA3">
      <w:pPr>
        <w:jc w:val="both"/>
        <w:rPr>
          <w:rFonts w:ascii="Calibri" w:hAnsi="Calibri" w:eastAsia="Calibri" w:cs="Calibri"/>
        </w:rPr>
      </w:pPr>
      <w:r w:rsidR="6ABE4531">
        <w:rPr/>
        <w:t xml:space="preserve">La </w:t>
      </w:r>
      <w:r w:rsidR="2908A376">
        <w:rPr/>
        <w:t>implementación</w:t>
      </w:r>
      <w:r w:rsidR="6ABE4531">
        <w:rPr/>
        <w:t xml:space="preserve"> exitosa y la sostenibilidad a largo plazo de la Política Pública Minera requiere una estrategia financiera robusta y coordinada</w:t>
      </w:r>
      <w:r w:rsidR="0EF0CE3E">
        <w:rPr/>
        <w:t xml:space="preserve">; </w:t>
      </w:r>
      <w:r w:rsidR="7580C38C">
        <w:rPr/>
        <w:t xml:space="preserve">en </w:t>
      </w:r>
      <w:r w:rsidR="0EF0CE3E">
        <w:rPr/>
        <w:t xml:space="preserve">la cual, </w:t>
      </w:r>
      <w:r w:rsidR="3B3D432E">
        <w:rPr/>
        <w:t xml:space="preserve">por medio de diferentes instrumentos de financiación </w:t>
      </w:r>
      <w:r w:rsidR="44CD8FD0">
        <w:rPr/>
        <w:t xml:space="preserve">se </w:t>
      </w:r>
      <w:r w:rsidR="3B3D432E">
        <w:rPr/>
        <w:t>pueda movi</w:t>
      </w:r>
      <w:r w:rsidRPr="17F8AA9B" w:rsidR="3B3D432E">
        <w:rPr>
          <w:rFonts w:ascii="Calibri" w:hAnsi="Calibri" w:eastAsia="Calibri" w:cs="Calibri"/>
        </w:rPr>
        <w:t>lizar recursos de</w:t>
      </w:r>
      <w:r w:rsidRPr="17F8AA9B" w:rsidR="6C50BD34">
        <w:rPr>
          <w:rFonts w:ascii="Calibri" w:hAnsi="Calibri" w:eastAsia="Calibri" w:cs="Calibri"/>
        </w:rPr>
        <w:t>sde</w:t>
      </w:r>
      <w:r w:rsidRPr="17F8AA9B" w:rsidR="3B3D432E">
        <w:rPr>
          <w:rFonts w:ascii="Calibri" w:hAnsi="Calibri" w:eastAsia="Calibri" w:cs="Calibri"/>
        </w:rPr>
        <w:t xml:space="preserve"> distintas fuentes</w:t>
      </w:r>
      <w:r w:rsidRPr="17F8AA9B" w:rsidR="738878BD">
        <w:rPr>
          <w:rFonts w:ascii="Calibri" w:hAnsi="Calibri" w:eastAsia="Calibri" w:cs="Calibri"/>
        </w:rPr>
        <w:t xml:space="preserve"> de financiación</w:t>
      </w:r>
      <w:r w:rsidRPr="17F8AA9B" w:rsidR="28E63308">
        <w:rPr>
          <w:rFonts w:ascii="Calibri" w:hAnsi="Calibri" w:eastAsia="Calibri" w:cs="Calibri"/>
          <w:vertAlign w:val="superscript"/>
        </w:rPr>
        <w:footnoteReference w:id="79"/>
      </w:r>
      <w:r w:rsidRPr="17F8AA9B" w:rsidR="0115EC42">
        <w:rPr>
          <w:rFonts w:ascii="Calibri" w:hAnsi="Calibri" w:eastAsia="Calibri" w:cs="Calibri"/>
        </w:rPr>
        <w:t xml:space="preserve"> </w:t>
      </w:r>
      <w:r w:rsidRPr="17F8AA9B" w:rsidR="3B3D432E">
        <w:rPr>
          <w:rFonts w:ascii="Calibri" w:hAnsi="Calibri" w:eastAsia="Calibri" w:cs="Calibri"/>
        </w:rPr>
        <w:t xml:space="preserve">para </w:t>
      </w:r>
      <w:r w:rsidRPr="17F8AA9B" w:rsidR="74021CFB">
        <w:rPr>
          <w:rFonts w:ascii="Calibri" w:hAnsi="Calibri" w:eastAsia="Calibri" w:cs="Calibri"/>
        </w:rPr>
        <w:t xml:space="preserve">el cumplimiento de las acciones definidas en el Plan de Acción. </w:t>
      </w:r>
    </w:p>
    <w:p w:rsidR="28E63308" w:rsidP="5734DBB2" w:rsidRDefault="028BDD7F" w14:paraId="560D37B5" w14:textId="6F988EE1">
      <w:pPr>
        <w:jc w:val="both"/>
      </w:pPr>
      <w:r>
        <w:t>Para esto, los nuevos recursos presupuestales d</w:t>
      </w:r>
      <w:r w:rsidR="3C549956">
        <w:t>el sector deberán regirse por los principios de priorización, eficiencia y concurrencia de diversas</w:t>
      </w:r>
      <w:r w:rsidR="7EB87A13">
        <w:t xml:space="preserve"> fuentes de financiación. De esta manera, el objetivo es alinear los flujos de recursos públicos, privados y de cooperación internacional para </w:t>
      </w:r>
      <w:r w:rsidR="45E26B48">
        <w:t>la transformación productiva, la sostenibilidad ambiental y la equidad social que se establece en esta política.</w:t>
      </w:r>
    </w:p>
    <w:p w:rsidR="5734DBB2" w:rsidP="5734DBB2" w:rsidRDefault="5734DBB2" w14:paraId="368FD237" w14:textId="588621C7">
      <w:pPr>
        <w:jc w:val="both"/>
      </w:pPr>
    </w:p>
    <w:p w:rsidR="139B4BD4" w:rsidP="5734DBB2" w:rsidRDefault="139B4BD4" w14:paraId="1500487B" w14:textId="1E004B7C">
      <w:pPr>
        <w:pStyle w:val="ListParagraph"/>
        <w:numPr>
          <w:ilvl w:val="0"/>
          <w:numId w:val="3"/>
        </w:numPr>
        <w:jc w:val="both"/>
        <w:rPr>
          <w:b/>
          <w:bCs/>
        </w:rPr>
      </w:pPr>
      <w:r w:rsidRPr="5734DBB2">
        <w:rPr>
          <w:b/>
          <w:bCs/>
        </w:rPr>
        <w:t>Priorización de los recursos financieros</w:t>
      </w:r>
    </w:p>
    <w:p w:rsidR="00ED18F1" w:rsidP="5734DBB2" w:rsidRDefault="00ED18F1" w14:paraId="402B9340" w14:textId="15BD27FD">
      <w:pPr>
        <w:jc w:val="both"/>
      </w:pPr>
      <w:r w:rsidRPr="5734DBB2">
        <w:t xml:space="preserve">Para </w:t>
      </w:r>
      <w:r w:rsidRPr="5734DBB2" w:rsidR="0937BCC0">
        <w:t xml:space="preserve">garantizar el cumplimiento de las metas y acciones definidas, las entidades que conforman el sector minero-energético, bajo el liderazgo del Ministerio de Minas y Energía, </w:t>
      </w:r>
      <w:r w:rsidRPr="5734DBB2" w:rsidR="6FD8ADE2">
        <w:t xml:space="preserve">priorizarán y alinearán sus presupuestos de inversión y funcionamiento con los pilares de esta política. Esto implica una reorientación estratégica de los recursos </w:t>
      </w:r>
      <w:r w:rsidRPr="5734DBB2" w:rsidR="060BD859">
        <w:t xml:space="preserve">existentes hacia programas que impulsen la diversificación productiva, </w:t>
      </w:r>
      <w:r w:rsidRPr="5734DBB2" w:rsidR="5C7796EA">
        <w:t xml:space="preserve">la investigación </w:t>
      </w:r>
      <w:proofErr w:type="spellStart"/>
      <w:r w:rsidRPr="5734DBB2" w:rsidR="5C7796EA">
        <w:t>geocientífica</w:t>
      </w:r>
      <w:proofErr w:type="spellEnd"/>
      <w:r w:rsidRPr="5734DBB2" w:rsidR="5C7796EA">
        <w:t>, el fortalecimiento de la autoridad minera y ambiental, la formalizaci</w:t>
      </w:r>
      <w:r w:rsidRPr="5734DBB2" w:rsidR="09FEDA22">
        <w:t>ón minera y la minería responsable, entre otros.</w:t>
      </w:r>
    </w:p>
    <w:p w:rsidR="09FEDA22" w:rsidP="5734DBB2" w:rsidRDefault="09FEDA22" w14:paraId="6E84A59D" w14:textId="4F345BE3">
      <w:pPr>
        <w:jc w:val="both"/>
        <w:rPr>
          <w:lang w:val="es-ES"/>
        </w:rPr>
      </w:pPr>
      <w:r w:rsidRPr="09C2734D">
        <w:rPr>
          <w:lang w:val="es-ES"/>
        </w:rPr>
        <w:t>Asimismo, se fortalecerá la articulación con el Sistema General de Regalías para promover que la destinación de los recursos a las entidades territoriales sea hacia proye</w:t>
      </w:r>
      <w:r w:rsidRPr="09C2734D" w:rsidR="1AD2A6E4">
        <w:rPr>
          <w:lang w:val="es-ES"/>
        </w:rPr>
        <w:t xml:space="preserve">ctos que respondan a la </w:t>
      </w:r>
      <w:r w:rsidRPr="09C2734D" w:rsidR="1E0D4CE3">
        <w:rPr>
          <w:lang w:val="es-ES"/>
        </w:rPr>
        <w:t>v</w:t>
      </w:r>
      <w:r w:rsidRPr="09C2734D" w:rsidR="1AD2A6E4">
        <w:rPr>
          <w:lang w:val="es-ES"/>
        </w:rPr>
        <w:t>isión y los objetivos de esta política.</w:t>
      </w:r>
      <w:r w:rsidRPr="09C2734D" w:rsidR="3AFF35FB">
        <w:rPr>
          <w:lang w:val="es-ES"/>
        </w:rPr>
        <w:t xml:space="preserve"> Así, se fomentará la concurrencia </w:t>
      </w:r>
      <w:r w:rsidRPr="09C2734D" w:rsidR="4ACF47D5">
        <w:rPr>
          <w:lang w:val="es-ES"/>
        </w:rPr>
        <w:t>de recursos de distintas entidades del orden nacional y territorial para maximizar el impacto de las intervenciones en las regiones.</w:t>
      </w:r>
    </w:p>
    <w:p w:rsidR="3915D684" w:rsidP="5734DBB2" w:rsidRDefault="3915D684" w14:paraId="5B7AC9A0" w14:textId="40562216">
      <w:pPr>
        <w:pStyle w:val="ListParagraph"/>
        <w:numPr>
          <w:ilvl w:val="0"/>
          <w:numId w:val="3"/>
        </w:numPr>
        <w:jc w:val="both"/>
        <w:rPr>
          <w:b/>
          <w:bCs/>
          <w:lang w:val="es-ES"/>
        </w:rPr>
      </w:pPr>
      <w:r w:rsidRPr="5734DBB2">
        <w:rPr>
          <w:b/>
          <w:bCs/>
          <w:lang w:val="es-ES"/>
        </w:rPr>
        <w:t>Alineación con la inversión privada</w:t>
      </w:r>
    </w:p>
    <w:p w:rsidR="3915D684" w:rsidP="5734DBB2" w:rsidRDefault="3915D684" w14:paraId="5218475B" w14:textId="6A9515F4">
      <w:pPr>
        <w:jc w:val="both"/>
        <w:rPr>
          <w:lang w:val="es-ES"/>
        </w:rPr>
      </w:pPr>
      <w:r w:rsidRPr="5734DBB2">
        <w:rPr>
          <w:lang w:val="es-ES"/>
        </w:rPr>
        <w:t>El Gobierno Nacional creará las condiciones de seguridad jurídica y confianza para atraer a la inversión privada</w:t>
      </w:r>
      <w:r w:rsidRPr="5734DBB2" w:rsidR="2CD10291">
        <w:rPr>
          <w:lang w:val="es-ES"/>
        </w:rPr>
        <w:t xml:space="preserve"> a proyectos que se alineen con </w:t>
      </w:r>
      <w:r w:rsidRPr="5734DBB2" w:rsidR="37370DF9">
        <w:rPr>
          <w:lang w:val="es-ES"/>
        </w:rPr>
        <w:t xml:space="preserve">la visión de transformación productiva y responsabilidad ambiental y social, para lo cual se promoverán esquemas que permitan al sector </w:t>
      </w:r>
      <w:r w:rsidRPr="5734DBB2" w:rsidR="57BC3B99">
        <w:rPr>
          <w:lang w:val="es-ES"/>
        </w:rPr>
        <w:t xml:space="preserve">privado </w:t>
      </w:r>
      <w:r w:rsidRPr="5734DBB2" w:rsidR="2DAC1547">
        <w:rPr>
          <w:lang w:val="es-ES"/>
        </w:rPr>
        <w:t>contribuir al desarrollo de infraestructura, transferencia de tecnología y fortalecimiento de las cadenas productivas locales.</w:t>
      </w:r>
    </w:p>
    <w:p w:rsidR="2DAC1547" w:rsidP="5734DBB2" w:rsidRDefault="2DAC1547" w14:paraId="0003FEA7" w14:textId="6316E2C9">
      <w:pPr>
        <w:jc w:val="both"/>
        <w:rPr>
          <w:lang w:val="es-ES"/>
        </w:rPr>
      </w:pPr>
      <w:r w:rsidRPr="5734DBB2">
        <w:rPr>
          <w:lang w:val="es-ES"/>
        </w:rPr>
        <w:t>A su vez, se promover</w:t>
      </w:r>
      <w:r w:rsidRPr="5734DBB2" w:rsidR="7627BABA">
        <w:rPr>
          <w:lang w:val="es-ES"/>
        </w:rPr>
        <w:t xml:space="preserve">á que las empresas </w:t>
      </w:r>
      <w:r w:rsidRPr="5734DBB2" w:rsidR="06D57E67">
        <w:rPr>
          <w:lang w:val="es-ES"/>
        </w:rPr>
        <w:t xml:space="preserve">se desempeñen en materia ambiental, agregación de valor local </w:t>
      </w:r>
      <w:r w:rsidRPr="5734DBB2" w:rsidR="5E876E3D">
        <w:rPr>
          <w:lang w:val="es-ES"/>
        </w:rPr>
        <w:t>y contribución al desarrollo de las comunidades locales</w:t>
      </w:r>
      <w:r w:rsidRPr="5734DBB2" w:rsidR="141504F9">
        <w:rPr>
          <w:lang w:val="es-ES"/>
        </w:rPr>
        <w:t>. Transitaremos hacia una inversión privada que apalanque la reindustrializaci</w:t>
      </w:r>
      <w:r w:rsidRPr="5734DBB2" w:rsidR="69796729">
        <w:rPr>
          <w:lang w:val="es-ES"/>
        </w:rPr>
        <w:t>ón y la diversificación económica del país.</w:t>
      </w:r>
    </w:p>
    <w:p w:rsidR="5734DBB2" w:rsidP="5734DBB2" w:rsidRDefault="5734DBB2" w14:paraId="715EF798" w14:textId="2A0B7B4B">
      <w:pPr>
        <w:jc w:val="both"/>
        <w:rPr>
          <w:lang w:val="es-ES"/>
        </w:rPr>
      </w:pPr>
    </w:p>
    <w:p w:rsidR="69796729" w:rsidP="5734DBB2" w:rsidRDefault="69796729" w14:paraId="31684472" w14:textId="501E8DB0">
      <w:pPr>
        <w:pStyle w:val="ListParagraph"/>
        <w:numPr>
          <w:ilvl w:val="0"/>
          <w:numId w:val="3"/>
        </w:numPr>
        <w:jc w:val="both"/>
        <w:rPr>
          <w:b/>
          <w:bCs/>
          <w:lang w:val="es-ES"/>
        </w:rPr>
      </w:pPr>
      <w:r w:rsidRPr="5734DBB2">
        <w:rPr>
          <w:b/>
          <w:bCs/>
          <w:lang w:val="es-ES"/>
        </w:rPr>
        <w:t>Gestión de la cooperación internacional y finanzas verdes</w:t>
      </w:r>
    </w:p>
    <w:p w:rsidR="69796729" w:rsidP="5734DBB2" w:rsidRDefault="69796729" w14:paraId="18692CE4" w14:textId="084FB800">
      <w:pPr>
        <w:jc w:val="both"/>
      </w:pPr>
      <w:r w:rsidRPr="5734DBB2">
        <w:t>Para el cumplimiento de esta Política Pública Minera, la cual se enmarca en</w:t>
      </w:r>
      <w:r w:rsidRPr="5734DBB2" w:rsidR="17316CE7">
        <w:t xml:space="preserve"> el contexto global contemporáneo de</w:t>
      </w:r>
      <w:r w:rsidRPr="5734DBB2">
        <w:t xml:space="preserve"> acción climática y transición energética</w:t>
      </w:r>
      <w:r w:rsidRPr="5734DBB2" w:rsidR="364D44E5">
        <w:t xml:space="preserve">, </w:t>
      </w:r>
      <w:r w:rsidRPr="5734DBB2" w:rsidR="33E8B778">
        <w:t>se gestionarán activamente recursos de fondos climáticos y fondos de restauración y conservación ecológica, así como los bancos multilaterales y ag</w:t>
      </w:r>
      <w:r w:rsidRPr="5734DBB2" w:rsidR="536EFF20">
        <w:t>encias de cooperación para la financiación de proyectos relacionados con minería sostenible, restauración de ecosistemas degradados, economía circular e investigaci</w:t>
      </w:r>
      <w:r w:rsidRPr="5734DBB2" w:rsidR="45C7FCDC">
        <w:t xml:space="preserve">ón </w:t>
      </w:r>
      <w:proofErr w:type="spellStart"/>
      <w:r w:rsidRPr="5734DBB2" w:rsidR="45C7FCDC">
        <w:t>geocientífica</w:t>
      </w:r>
      <w:proofErr w:type="spellEnd"/>
      <w:r w:rsidRPr="5734DBB2" w:rsidR="45C7FCDC">
        <w:t xml:space="preserve"> y de recursos minerales estratégicos para la transici</w:t>
      </w:r>
      <w:r w:rsidRPr="5734DBB2" w:rsidR="2F7D42E6">
        <w:t>ón.</w:t>
      </w:r>
    </w:p>
    <w:p w:rsidR="00E94AC6" w:rsidP="002B0394" w:rsidRDefault="2F7D42E6" w14:paraId="34F9B3E5" w14:textId="11123A63">
      <w:pPr>
        <w:jc w:val="both"/>
        <w:rPr>
          <w:lang w:val="es-ES"/>
        </w:rPr>
      </w:pPr>
      <w:r w:rsidRPr="5734DBB2">
        <w:rPr>
          <w:lang w:val="es-ES"/>
        </w:rPr>
        <w:t xml:space="preserve">Asimismo, se </w:t>
      </w:r>
      <w:r w:rsidRPr="5734DBB2" w:rsidR="0D429D46">
        <w:rPr>
          <w:lang w:val="es-ES"/>
        </w:rPr>
        <w:t>promoverá la adopción de estándares internacionales dentro del sector (ESG, por sus siglas en ingl</w:t>
      </w:r>
      <w:r w:rsidRPr="5734DBB2" w:rsidR="600B554E">
        <w:rPr>
          <w:lang w:val="es-ES"/>
        </w:rPr>
        <w:t xml:space="preserve">és Ambientales, Sociales y de Gobernanza) y se </w:t>
      </w:r>
      <w:r w:rsidRPr="5734DBB2">
        <w:rPr>
          <w:lang w:val="es-ES"/>
        </w:rPr>
        <w:t>explorarán instrumentos de f</w:t>
      </w:r>
      <w:r w:rsidRPr="5734DBB2" w:rsidR="08CCB584">
        <w:rPr>
          <w:lang w:val="es-ES"/>
        </w:rPr>
        <w:t xml:space="preserve">inanciación novedosos </w:t>
      </w:r>
      <w:r w:rsidRPr="5734DBB2" w:rsidR="479AC460">
        <w:rPr>
          <w:lang w:val="es-ES"/>
        </w:rPr>
        <w:t>y reglamentados por el Gobierno Nacional.</w:t>
      </w:r>
    </w:p>
    <w:bookmarkStart w:name="_Toc194273475" w:displacedByCustomXml="next" w:id="1226"/>
    <w:bookmarkStart w:name="_Toc972180435" w:displacedByCustomXml="next" w:id="1227"/>
    <w:bookmarkStart w:name="_Toc932360909" w:displacedByCustomXml="next" w:id="1228"/>
    <w:bookmarkStart w:name="_Toc2035742469" w:displacedByCustomXml="next" w:id="1229"/>
    <w:bookmarkStart w:name="_Toc1769152420" w:displacedByCustomXml="next" w:id="1230"/>
    <w:bookmarkStart w:name="_Toc1253720739" w:displacedByCustomXml="next" w:id="1231"/>
    <w:bookmarkStart w:name="_Toc1582645171" w:displacedByCustomXml="next" w:id="1232"/>
    <w:bookmarkStart w:name="_Toc1264905309" w:displacedByCustomXml="next" w:id="1233"/>
    <w:bookmarkStart w:name="_Toc166789026" w:displacedByCustomXml="next" w:id="1234"/>
    <w:bookmarkStart w:name="_Toc2070425750" w:displacedByCustomXml="next" w:id="1235"/>
    <w:bookmarkStart w:name="_Toc878216600" w:displacedByCustomXml="next" w:id="1236"/>
    <w:bookmarkStart w:name="_Toc1043275959" w:displacedByCustomXml="next" w:id="1237"/>
    <w:bookmarkStart w:name="_Toc1323789542" w:displacedByCustomXml="next" w:id="1238"/>
    <w:bookmarkStart w:name="_Toc135903149" w:displacedByCustomXml="next" w:id="1239"/>
    <w:bookmarkStart w:name="_Toc237806065" w:displacedByCustomXml="next" w:id="1240"/>
    <w:bookmarkStart w:name="_Toc1043029208" w:displacedByCustomXml="next" w:id="1241"/>
    <w:bookmarkStart w:name="_Toc513367458" w:displacedByCustomXml="next" w:id="1242"/>
    <w:bookmarkStart w:name="_Toc1076558970" w:displacedByCustomXml="next" w:id="1243"/>
    <w:bookmarkStart w:name="_Toc912229301" w:displacedByCustomXml="next" w:id="1244"/>
    <w:bookmarkStart w:name="_Toc1182351745" w:displacedByCustomXml="next" w:id="1245"/>
    <w:bookmarkStart w:name="_Toc884480672" w:displacedByCustomXml="next" w:id="1246"/>
    <w:bookmarkStart w:name="_Toc1279866195" w:displacedByCustomXml="next" w:id="1247"/>
    <w:bookmarkStart w:name="_Toc681024106" w:displacedByCustomXml="next" w:id="1248"/>
    <w:bookmarkStart w:name="_Toc1682693840" w:displacedByCustomXml="next" w:id="1249"/>
    <w:bookmarkStart w:name="_Toc334208757" w:displacedByCustomXml="next" w:id="1250"/>
    <w:bookmarkStart w:name="_Toc1445025819" w:displacedByCustomXml="next" w:id="1251"/>
    <w:bookmarkStart w:name="_Toc210292999" w:displacedByCustomXml="next" w:id="1252"/>
    <w:sdt>
      <w:sdtPr>
        <w:id w:val="-1640097930"/>
        <w:docPartObj>
          <w:docPartGallery w:val="Bibliographies"/>
          <w:docPartUnique/>
        </w:docPartObj>
        <w:rPr>
          <w:rFonts w:ascii="Calibri" w:hAnsi="Calibri" w:eastAsia="游明朝" w:cs="Arial" w:asciiTheme="minorAscii" w:hAnsiTheme="minorAscii" w:eastAsiaTheme="minorEastAsia" w:cstheme="minorBidi"/>
          <w:b w:val="0"/>
          <w:bCs w:val="0"/>
          <w:color w:val="2B579A"/>
          <w:kern w:val="2"/>
          <w:sz w:val="22"/>
          <w:szCs w:val="22"/>
          <w:shd w:val="clear" w:color="auto" w:fill="E6E6E6"/>
          <w:lang w:val="es-ES"/>
          <w14:ligatures w14:val="standardContextual"/>
        </w:rPr>
      </w:sdtPr>
      <w:sdtEndPr>
        <w:rPr>
          <w:rFonts w:ascii="Calibri" w:hAnsi="Calibri" w:eastAsia="游明朝" w:cs="Arial" w:asciiTheme="minorAscii" w:hAnsiTheme="minorAscii" w:eastAsiaTheme="minorEastAsia" w:cstheme="minorBidi"/>
          <w:b w:val="0"/>
          <w:bCs w:val="0"/>
          <w:color w:val="2B579A"/>
          <w:sz w:val="22"/>
          <w:szCs w:val="22"/>
          <w:lang w:val="es-CO"/>
        </w:rPr>
      </w:sdtEndPr>
      <w:sdtContent>
        <w:p w:rsidR="00C443D6" w:rsidP="00C443D6" w:rsidRDefault="0CEDC6A9" w14:paraId="7A3C953B" w14:textId="652A3DB5">
          <w:pPr>
            <w:pStyle w:val="Heading1"/>
            <w:rPr>
              <w:lang w:val="es-ES"/>
            </w:rPr>
          </w:pPr>
          <w:r w:rsidRPr="17F8AA9B">
            <w:rPr>
              <w:lang w:val="es-ES"/>
            </w:rPr>
            <w:t>Bibliografía</w:t>
          </w:r>
          <w:bookmarkEnd w:id="1252"/>
          <w:bookmarkEnd w:id="1251"/>
          <w:bookmarkEnd w:id="1250"/>
          <w:bookmarkEnd w:id="1249"/>
          <w:bookmarkEnd w:id="1248"/>
          <w:bookmarkEnd w:id="1247"/>
          <w:bookmarkEnd w:id="1246"/>
          <w:bookmarkEnd w:id="1245"/>
          <w:bookmarkEnd w:id="1244"/>
          <w:bookmarkEnd w:id="1243"/>
          <w:bookmarkEnd w:id="1242"/>
          <w:bookmarkEnd w:id="1241"/>
          <w:bookmarkEnd w:id="1240"/>
          <w:bookmarkEnd w:id="1239"/>
          <w:bookmarkEnd w:id="1238"/>
          <w:bookmarkEnd w:id="1237"/>
          <w:bookmarkEnd w:id="1236"/>
          <w:bookmarkEnd w:id="1235"/>
          <w:bookmarkEnd w:id="1234"/>
          <w:bookmarkEnd w:id="1233"/>
          <w:bookmarkEnd w:id="1232"/>
          <w:bookmarkEnd w:id="1231"/>
          <w:bookmarkEnd w:id="1230"/>
          <w:bookmarkEnd w:id="1229"/>
          <w:bookmarkEnd w:id="1228"/>
          <w:bookmarkEnd w:id="1227"/>
          <w:bookmarkEnd w:id="1226"/>
        </w:p>
        <w:p w:rsidRPr="004B5632" w:rsidR="00C443D6" w:rsidP="00C443D6" w:rsidRDefault="00C443D6" w14:paraId="013604DA" w14:textId="77777777">
          <w:pPr>
            <w:rPr>
              <w:lang w:val="es-ES"/>
            </w:rPr>
          </w:pPr>
        </w:p>
        <w:sdt>
          <w:sdtPr>
            <w:rPr>
              <w:rFonts w:asciiTheme="minorHAnsi" w:hAnsiTheme="minorHAnsi"/>
              <w:color w:val="2B579A"/>
              <w:kern w:val="2"/>
              <w:sz w:val="22"/>
              <w:shd w:val="clear" w:color="auto" w:fill="E6E6E6"/>
              <w14:ligatures w14:val="standardContextual"/>
            </w:rPr>
            <w:id w:val="111145805"/>
            <w:bibliography/>
          </w:sdtPr>
          <w:sdtEndPr/>
          <w:sdtContent>
            <w:p w:rsidR="00104221" w:rsidP="00104221" w:rsidRDefault="00C443D6" w14:paraId="2ECCE856" w14:textId="77777777">
              <w:pPr>
                <w:pStyle w:val="Bibliography"/>
                <w:ind w:left="720" w:hanging="720"/>
                <w:rPr>
                  <w:noProof/>
                  <w:szCs w:val="24"/>
                  <w:lang w:val="es-ES"/>
                </w:rPr>
              </w:pPr>
              <w:r w:rsidRPr="0064017D">
                <w:rPr>
                  <w:rFonts w:asciiTheme="minorHAnsi" w:hAnsiTheme="minorHAnsi"/>
                  <w:color w:val="2B579A"/>
                  <w:sz w:val="22"/>
                  <w:shd w:val="clear" w:color="auto" w:fill="E6E6E6"/>
                </w:rPr>
                <w:fldChar w:fldCharType="begin"/>
              </w:r>
              <w:r w:rsidRPr="0064017D">
                <w:rPr>
                  <w:rFonts w:asciiTheme="minorHAnsi" w:hAnsiTheme="minorHAnsi"/>
                  <w:sz w:val="22"/>
                </w:rPr>
                <w:instrText>BIBLIOGRAPHY</w:instrText>
              </w:r>
              <w:r w:rsidRPr="0064017D">
                <w:rPr>
                  <w:rFonts w:asciiTheme="minorHAnsi" w:hAnsiTheme="minorHAnsi"/>
                  <w:color w:val="2B579A"/>
                  <w:sz w:val="22"/>
                  <w:shd w:val="clear" w:color="auto" w:fill="E6E6E6"/>
                </w:rPr>
                <w:fldChar w:fldCharType="separate"/>
              </w:r>
              <w:r w:rsidR="00104221">
                <w:rPr>
                  <w:noProof/>
                  <w:lang w:val="es-ES"/>
                </w:rPr>
                <w:t>Acción Popular 2013-02459-01, Radicación: 25000234100020130245901 (Consejo de Estado, Sala de lo Contencioso Administrativo, Sección Primera 4 de agosto de 2022).</w:t>
              </w:r>
            </w:p>
            <w:p w:rsidR="00104221" w:rsidP="00104221" w:rsidRDefault="00104221" w14:paraId="05F9F4FA" w14:textId="77777777">
              <w:pPr>
                <w:pStyle w:val="Bibliography"/>
                <w:ind w:left="720" w:hanging="720"/>
                <w:rPr>
                  <w:noProof/>
                  <w:lang w:val="es-ES"/>
                </w:rPr>
              </w:pPr>
              <w:r>
                <w:rPr>
                  <w:noProof/>
                  <w:lang w:val="es-ES"/>
                </w:rPr>
                <w:t xml:space="preserve">Bonilla, R. (2011). Apertura y reprimarización de la economía colombiana. Un paraíso de corto plazo . </w:t>
              </w:r>
              <w:r>
                <w:rPr>
                  <w:i/>
                  <w:iCs/>
                  <w:noProof/>
                  <w:lang w:val="es-ES"/>
                </w:rPr>
                <w:t>Nueva Sociedad</w:t>
              </w:r>
              <w:r>
                <w:rPr>
                  <w:noProof/>
                  <w:lang w:val="es-ES"/>
                </w:rPr>
                <w:t>.</w:t>
              </w:r>
            </w:p>
            <w:p w:rsidR="00104221" w:rsidP="00104221" w:rsidRDefault="00104221" w14:paraId="6137C41B" w14:textId="77777777">
              <w:pPr>
                <w:pStyle w:val="Bibliography"/>
                <w:ind w:left="720" w:hanging="720"/>
                <w:rPr>
                  <w:noProof/>
                  <w:lang w:val="es-ES"/>
                </w:rPr>
              </w:pPr>
              <w:r>
                <w:rPr>
                  <w:noProof/>
                  <w:lang w:val="es-ES"/>
                </w:rPr>
                <w:t xml:space="preserve">CGR. (2021). </w:t>
              </w:r>
              <w:r>
                <w:rPr>
                  <w:i/>
                  <w:iCs/>
                  <w:noProof/>
                  <w:lang w:val="es-ES"/>
                </w:rPr>
                <w:t>Informe Sobre el Estado de los Recursos Naturales y del Ambiente 2020-2021 - IERNA.</w:t>
              </w:r>
              <w:r>
                <w:rPr>
                  <w:noProof/>
                  <w:lang w:val="es-ES"/>
                </w:rPr>
                <w:t xml:space="preserve"> Bogotá.</w:t>
              </w:r>
            </w:p>
            <w:p w:rsidR="00104221" w:rsidP="00104221" w:rsidRDefault="00104221" w14:paraId="336B1CDF" w14:textId="77777777">
              <w:pPr>
                <w:pStyle w:val="Bibliography"/>
                <w:ind w:left="720" w:hanging="720"/>
                <w:rPr>
                  <w:noProof/>
                  <w:lang w:val="es-ES"/>
                </w:rPr>
              </w:pPr>
              <w:r>
                <w:rPr>
                  <w:noProof/>
                  <w:lang w:val="es-ES"/>
                </w:rPr>
                <w:t xml:space="preserve">DANE. (2023a). </w:t>
              </w:r>
              <w:r>
                <w:rPr>
                  <w:i/>
                  <w:iCs/>
                  <w:noProof/>
                  <w:lang w:val="es-ES"/>
                </w:rPr>
                <w:t>Boletín Técnico Exportaciones.</w:t>
              </w:r>
              <w:r>
                <w:rPr>
                  <w:noProof/>
                  <w:lang w:val="es-ES"/>
                </w:rPr>
                <w:t xml:space="preserve"> Bogotá.</w:t>
              </w:r>
            </w:p>
            <w:p w:rsidR="00104221" w:rsidP="00104221" w:rsidRDefault="00104221" w14:paraId="2F3F616B" w14:textId="77777777">
              <w:pPr>
                <w:pStyle w:val="Bibliography"/>
                <w:ind w:left="720" w:hanging="720"/>
                <w:rPr>
                  <w:noProof/>
                  <w:lang w:val="es-ES"/>
                </w:rPr>
              </w:pPr>
              <w:r>
                <w:rPr>
                  <w:noProof/>
                  <w:lang w:val="es-ES"/>
                </w:rPr>
                <w:t xml:space="preserve">DANE. (2023b). </w:t>
              </w:r>
              <w:r>
                <w:rPr>
                  <w:i/>
                  <w:iCs/>
                  <w:noProof/>
                  <w:lang w:val="es-ES"/>
                </w:rPr>
                <w:t>Boletín Técnico Importaciones (IMPO) Noviembre 2022.</w:t>
              </w:r>
              <w:r>
                <w:rPr>
                  <w:noProof/>
                  <w:lang w:val="es-ES"/>
                </w:rPr>
                <w:t xml:space="preserve"> </w:t>
              </w:r>
            </w:p>
            <w:p w:rsidR="00104221" w:rsidP="00104221" w:rsidRDefault="00104221" w14:paraId="2D890782" w14:textId="77777777">
              <w:pPr>
                <w:pStyle w:val="Bibliography"/>
                <w:ind w:left="720" w:hanging="720"/>
                <w:rPr>
                  <w:noProof/>
                  <w:lang w:val="es-ES"/>
                </w:rPr>
              </w:pPr>
              <w:r>
                <w:rPr>
                  <w:noProof/>
                  <w:lang w:val="es-ES"/>
                </w:rPr>
                <w:t xml:space="preserve">DNP, D. N. (2022). </w:t>
              </w:r>
              <w:r>
                <w:rPr>
                  <w:i/>
                  <w:iCs/>
                  <w:noProof/>
                  <w:lang w:val="es-ES"/>
                </w:rPr>
                <w:t>Colombia, Potencia Mundial de la Vida.</w:t>
              </w:r>
              <w:r>
                <w:rPr>
                  <w:noProof/>
                  <w:lang w:val="es-ES"/>
                </w:rPr>
                <w:t xml:space="preserve"> Bogotá: Gobierno de Colombia.</w:t>
              </w:r>
            </w:p>
            <w:p w:rsidR="00104221" w:rsidP="00104221" w:rsidRDefault="00104221" w14:paraId="7CF1E48F" w14:textId="77777777">
              <w:pPr>
                <w:pStyle w:val="Bibliography"/>
                <w:ind w:left="720" w:hanging="720"/>
                <w:rPr>
                  <w:noProof/>
                  <w:lang w:val="es-ES"/>
                </w:rPr>
              </w:pPr>
              <w:r>
                <w:rPr>
                  <w:noProof/>
                  <w:lang w:val="es-ES"/>
                </w:rPr>
                <w:t xml:space="preserve">Escobar Arango, A., &amp; González Estrada, T. (2019). </w:t>
              </w:r>
              <w:r>
                <w:rPr>
                  <w:i/>
                  <w:iCs/>
                  <w:noProof/>
                  <w:lang w:val="es-ES"/>
                </w:rPr>
                <w:t>Participación del Banco de la República en la Comercialización de oro en Colombia.</w:t>
              </w:r>
              <w:r>
                <w:rPr>
                  <w:noProof/>
                  <w:lang w:val="es-ES"/>
                </w:rPr>
                <w:t xml:space="preserve"> Obtenido de EConcept AEI S.A.S. Disponible en : https://www.banrep.gov.co/es/participacion-del-banco-republica-comercializacion-oro-colombia</w:t>
              </w:r>
            </w:p>
            <w:p w:rsidR="00104221" w:rsidP="00104221" w:rsidRDefault="00104221" w14:paraId="66DA3616" w14:textId="77777777">
              <w:pPr>
                <w:pStyle w:val="Bibliography"/>
                <w:ind w:left="720" w:hanging="720"/>
                <w:rPr>
                  <w:noProof/>
                  <w:lang w:val="es-ES"/>
                </w:rPr>
              </w:pPr>
              <w:r>
                <w:rPr>
                  <w:noProof/>
                  <w:lang w:val="es-ES"/>
                </w:rPr>
                <w:t xml:space="preserve">Goda, T., &amp; Torres García, A. (2015). Flujos de capital, recursos naturales y enfermedad holandesa: el caso colombiano. </w:t>
              </w:r>
              <w:r>
                <w:rPr>
                  <w:i/>
                  <w:iCs/>
                  <w:noProof/>
                  <w:lang w:val="es-ES"/>
                </w:rPr>
                <w:t>Ensayos sobre Política Económica</w:t>
              </w:r>
              <w:r>
                <w:rPr>
                  <w:noProof/>
                  <w:lang w:val="es-ES"/>
                </w:rPr>
                <w:t>, 197-206.</w:t>
              </w:r>
            </w:p>
            <w:p w:rsidR="00104221" w:rsidP="00104221" w:rsidRDefault="00104221" w14:paraId="5C59D8CF" w14:textId="77777777">
              <w:pPr>
                <w:pStyle w:val="Bibliography"/>
                <w:ind w:left="720" w:hanging="720"/>
                <w:rPr>
                  <w:noProof/>
                  <w:lang w:val="es-ES"/>
                </w:rPr>
              </w:pPr>
              <w:r>
                <w:rPr>
                  <w:noProof/>
                  <w:lang w:val="es-ES"/>
                </w:rPr>
                <w:t xml:space="preserve">IEA. (2023). </w:t>
              </w:r>
              <w:r>
                <w:rPr>
                  <w:i/>
                  <w:iCs/>
                  <w:noProof/>
                  <w:lang w:val="es-ES"/>
                </w:rPr>
                <w:t>Revisión del mercado de minerales críticos 2023.</w:t>
              </w:r>
              <w:r>
                <w:rPr>
                  <w:noProof/>
                  <w:lang w:val="es-ES"/>
                </w:rPr>
                <w:t xml:space="preserve"> Obtenido de https://www.iea.org/reports/critical-minerals-market-review-2023</w:t>
              </w:r>
            </w:p>
            <w:p w:rsidR="00104221" w:rsidP="00104221" w:rsidRDefault="00104221" w14:paraId="7DDF6FD6" w14:textId="77777777">
              <w:pPr>
                <w:pStyle w:val="Bibliography"/>
                <w:ind w:left="720" w:hanging="720"/>
                <w:rPr>
                  <w:noProof/>
                  <w:lang w:val="es-ES"/>
                </w:rPr>
              </w:pPr>
              <w:r>
                <w:rPr>
                  <w:noProof/>
                  <w:lang w:val="es-ES"/>
                </w:rPr>
                <w:t xml:space="preserve">Indepaz. (2022). </w:t>
              </w:r>
              <w:r>
                <w:rPr>
                  <w:i/>
                  <w:iCs/>
                  <w:noProof/>
                  <w:lang w:val="es-ES"/>
                </w:rPr>
                <w:t>Informe de conflictos socioambientales en Colombia.</w:t>
              </w:r>
              <w:r>
                <w:rPr>
                  <w:noProof/>
                  <w:lang w:val="es-ES"/>
                </w:rPr>
                <w:t xml:space="preserve"> </w:t>
              </w:r>
            </w:p>
            <w:p w:rsidRPr="00104221" w:rsidR="00104221" w:rsidP="00104221" w:rsidRDefault="00104221" w14:paraId="7FD2617F" w14:textId="77777777">
              <w:pPr>
                <w:pStyle w:val="Bibliography"/>
                <w:ind w:left="720" w:hanging="720"/>
                <w:rPr>
                  <w:noProof/>
                  <w:lang w:val="en-US"/>
                </w:rPr>
              </w:pPr>
              <w:r w:rsidRPr="00104221">
                <w:rPr>
                  <w:noProof/>
                  <w:lang w:val="en-US"/>
                </w:rPr>
                <w:t xml:space="preserve">IPCC. (2022). </w:t>
              </w:r>
              <w:r w:rsidRPr="00104221">
                <w:rPr>
                  <w:i/>
                  <w:iCs/>
                  <w:noProof/>
                  <w:lang w:val="en-US"/>
                </w:rPr>
                <w:t>Summary for Policymakers. Climate Change 2022: Impacts, Adaptation and Vulnerability. Contribution of Working Group II to the Sixth Assessment Report of the Intergovernmental Panel on Climate Change.</w:t>
              </w:r>
              <w:r w:rsidRPr="00104221">
                <w:rPr>
                  <w:noProof/>
                  <w:lang w:val="en-US"/>
                </w:rPr>
                <w:t xml:space="preserve"> </w:t>
              </w:r>
            </w:p>
            <w:p w:rsidR="00104221" w:rsidP="00104221" w:rsidRDefault="00104221" w14:paraId="44F32F9C" w14:textId="77777777">
              <w:pPr>
                <w:pStyle w:val="Bibliography"/>
                <w:ind w:left="720" w:hanging="720"/>
                <w:rPr>
                  <w:noProof/>
                  <w:lang w:val="es-ES"/>
                </w:rPr>
              </w:pPr>
              <w:r>
                <w:rPr>
                  <w:noProof/>
                  <w:lang w:val="es-ES"/>
                </w:rPr>
                <w:t xml:space="preserve">MinEnergía. (2016). </w:t>
              </w:r>
              <w:r>
                <w:rPr>
                  <w:i/>
                  <w:iCs/>
                  <w:noProof/>
                  <w:lang w:val="es-ES"/>
                </w:rPr>
                <w:t>Resolución 40391 de 2016. Política Minera Nacional.</w:t>
              </w:r>
              <w:r>
                <w:rPr>
                  <w:noProof/>
                  <w:lang w:val="es-ES"/>
                </w:rPr>
                <w:t xml:space="preserve"> Bogotá.</w:t>
              </w:r>
            </w:p>
            <w:p w:rsidR="00104221" w:rsidP="00104221" w:rsidRDefault="00104221" w14:paraId="407651DB" w14:textId="77777777">
              <w:pPr>
                <w:pStyle w:val="Bibliography"/>
                <w:ind w:left="720" w:hanging="720"/>
                <w:rPr>
                  <w:noProof/>
                  <w:lang w:val="es-ES"/>
                </w:rPr>
              </w:pPr>
              <w:r>
                <w:rPr>
                  <w:noProof/>
                  <w:lang w:val="es-ES"/>
                </w:rPr>
                <w:t xml:space="preserve">MinEnergía. (2018). </w:t>
              </w:r>
              <w:r>
                <w:rPr>
                  <w:i/>
                  <w:iCs/>
                  <w:noProof/>
                  <w:lang w:val="es-ES"/>
                </w:rPr>
                <w:t>Política de Derechos Humanos del Sector Minero Energético.</w:t>
              </w:r>
              <w:r>
                <w:rPr>
                  <w:noProof/>
                  <w:lang w:val="es-ES"/>
                </w:rPr>
                <w:t xml:space="preserve"> Bogotá.</w:t>
              </w:r>
            </w:p>
            <w:p w:rsidR="00104221" w:rsidP="00104221" w:rsidRDefault="00104221" w14:paraId="162F24C3" w14:textId="77777777">
              <w:pPr>
                <w:pStyle w:val="Bibliography"/>
                <w:ind w:left="720" w:hanging="720"/>
                <w:rPr>
                  <w:noProof/>
                  <w:lang w:val="es-ES"/>
                </w:rPr>
              </w:pPr>
              <w:r>
                <w:rPr>
                  <w:noProof/>
                  <w:lang w:val="es-ES"/>
                </w:rPr>
                <w:t xml:space="preserve">MinEnergía. (2020). </w:t>
              </w:r>
              <w:r>
                <w:rPr>
                  <w:i/>
                  <w:iCs/>
                  <w:noProof/>
                  <w:lang w:val="es-ES"/>
                </w:rPr>
                <w:t>Lineamientos para la equidad de género del sector minero energético.</w:t>
              </w:r>
              <w:r>
                <w:rPr>
                  <w:noProof/>
                  <w:lang w:val="es-ES"/>
                </w:rPr>
                <w:t xml:space="preserve"> Bogotá.</w:t>
              </w:r>
            </w:p>
            <w:p w:rsidR="00104221" w:rsidP="00104221" w:rsidRDefault="00104221" w14:paraId="29A21D64" w14:textId="77777777">
              <w:pPr>
                <w:pStyle w:val="Bibliography"/>
                <w:ind w:left="720" w:hanging="720"/>
                <w:rPr>
                  <w:noProof/>
                  <w:lang w:val="es-ES"/>
                </w:rPr>
              </w:pPr>
              <w:r>
                <w:rPr>
                  <w:noProof/>
                  <w:lang w:val="es-ES"/>
                </w:rPr>
                <w:t xml:space="preserve">MinEnergía. (2021a). </w:t>
              </w:r>
              <w:r>
                <w:rPr>
                  <w:i/>
                  <w:iCs/>
                  <w:noProof/>
                  <w:lang w:val="es-ES"/>
                </w:rPr>
                <w:t>Plan integral de gestión del cambio climático del sector minero energético 2050.</w:t>
              </w:r>
              <w:r>
                <w:rPr>
                  <w:noProof/>
                  <w:lang w:val="es-ES"/>
                </w:rPr>
                <w:t xml:space="preserve"> Obtenido de https://www.minenergia.gov.co/documents/6393/PIGCCme_2050_vf.pdf</w:t>
              </w:r>
            </w:p>
            <w:p w:rsidR="00104221" w:rsidP="00104221" w:rsidRDefault="00104221" w14:paraId="4B4E42EB" w14:textId="77777777">
              <w:pPr>
                <w:pStyle w:val="Bibliography"/>
                <w:ind w:left="720" w:hanging="720"/>
                <w:rPr>
                  <w:noProof/>
                  <w:lang w:val="es-ES"/>
                </w:rPr>
              </w:pPr>
              <w:r>
                <w:rPr>
                  <w:noProof/>
                  <w:lang w:val="es-ES"/>
                </w:rPr>
                <w:t xml:space="preserve">MinEnergía. (2021b). </w:t>
              </w:r>
              <w:r>
                <w:rPr>
                  <w:i/>
                  <w:iCs/>
                  <w:noProof/>
                  <w:lang w:val="es-ES"/>
                </w:rPr>
                <w:t>Propuesta de lineamiento técnico de política de buenas prácticas para estandarizar los procesos de economía circular en la actividad minera.</w:t>
              </w:r>
              <w:r>
                <w:rPr>
                  <w:noProof/>
                  <w:lang w:val="es-ES"/>
                </w:rPr>
                <w:t xml:space="preserve"> Obtenido de https://repositoriobi.minenergia.gov.co/handle/123456789/2780</w:t>
              </w:r>
            </w:p>
            <w:p w:rsidR="00104221" w:rsidP="00104221" w:rsidRDefault="00104221" w14:paraId="146A170D" w14:textId="77777777">
              <w:pPr>
                <w:pStyle w:val="Bibliography"/>
                <w:ind w:left="720" w:hanging="720"/>
                <w:rPr>
                  <w:noProof/>
                  <w:lang w:val="es-ES"/>
                </w:rPr>
              </w:pPr>
              <w:r>
                <w:rPr>
                  <w:noProof/>
                  <w:lang w:val="es-ES"/>
                </w:rPr>
                <w:t>MinEnergía. (2022a). Política Nacional para la Minería de Subsistencia. Bogotá.</w:t>
              </w:r>
            </w:p>
            <w:p w:rsidR="00104221" w:rsidP="00104221" w:rsidRDefault="00104221" w14:paraId="450313DB" w14:textId="77777777">
              <w:pPr>
                <w:pStyle w:val="Bibliography"/>
                <w:ind w:left="720" w:hanging="720"/>
                <w:rPr>
                  <w:noProof/>
                  <w:lang w:val="es-ES"/>
                </w:rPr>
              </w:pPr>
              <w:r>
                <w:rPr>
                  <w:noProof/>
                  <w:lang w:val="es-ES"/>
                </w:rPr>
                <w:t xml:space="preserve">MinEnergía. (2022b). </w:t>
              </w:r>
              <w:r>
                <w:rPr>
                  <w:i/>
                  <w:iCs/>
                  <w:noProof/>
                  <w:lang w:val="es-ES"/>
                </w:rPr>
                <w:t>Estrategia de Desarrollo y Relacionamiento Territorial (EDRT) del sector minero energético.</w:t>
              </w:r>
              <w:r>
                <w:rPr>
                  <w:noProof/>
                  <w:lang w:val="es-ES"/>
                </w:rPr>
                <w:t xml:space="preserve"> Bogotá.</w:t>
              </w:r>
            </w:p>
            <w:p w:rsidR="00104221" w:rsidP="00104221" w:rsidRDefault="00104221" w14:paraId="221D9300" w14:textId="77777777">
              <w:pPr>
                <w:pStyle w:val="Bibliography"/>
                <w:ind w:left="720" w:hanging="720"/>
                <w:rPr>
                  <w:noProof/>
                  <w:lang w:val="es-ES"/>
                </w:rPr>
              </w:pPr>
              <w:r>
                <w:rPr>
                  <w:noProof/>
                  <w:lang w:val="es-ES"/>
                </w:rPr>
                <w:t xml:space="preserve">OCDE. (2022). </w:t>
              </w:r>
              <w:r>
                <w:rPr>
                  <w:i/>
                  <w:iCs/>
                  <w:noProof/>
                  <w:lang w:val="es-ES"/>
                </w:rPr>
                <w:t>Conducta empresarial responsable en el sector extractivo y minero en América Latina y el Caribe.</w:t>
              </w:r>
              <w:r>
                <w:rPr>
                  <w:noProof/>
                  <w:lang w:val="es-ES"/>
                </w:rPr>
                <w:t xml:space="preserve"> Obtenido de https://mneguidelines.oecd.org/conducta-empresarial-responsable-en-el-sector-extractivo-y-minero-en-america-latina-y-el-caribe.pdf</w:t>
              </w:r>
            </w:p>
            <w:p w:rsidR="00104221" w:rsidP="00104221" w:rsidRDefault="00104221" w14:paraId="639D23B1" w14:textId="77777777">
              <w:pPr>
                <w:pStyle w:val="Bibliography"/>
                <w:ind w:left="720" w:hanging="720"/>
                <w:rPr>
                  <w:noProof/>
                  <w:lang w:val="es-ES"/>
                </w:rPr>
              </w:pPr>
              <w:r>
                <w:rPr>
                  <w:noProof/>
                  <w:lang w:val="es-ES"/>
                </w:rPr>
                <w:t xml:space="preserve">OEA. (2022). </w:t>
              </w:r>
              <w:r>
                <w:rPr>
                  <w:i/>
                  <w:iCs/>
                  <w:noProof/>
                  <w:lang w:val="es-ES"/>
                </w:rPr>
                <w:t>Tras el dinero del oro ilícito: fortalecimiento de la lucha contra las finanzas de la minería ilegal: El caso de Colombia.</w:t>
              </w:r>
              <w:r>
                <w:rPr>
                  <w:noProof/>
                  <w:lang w:val="es-ES"/>
                </w:rPr>
                <w:t xml:space="preserve"> Obtenido de https://www.oas.org/es/sms/ddot/docs/Tras-el-dinero-del-oro-ilicito-El-caso-de-Colombia.pdf</w:t>
              </w:r>
            </w:p>
            <w:p w:rsidR="00104221" w:rsidP="00104221" w:rsidRDefault="00104221" w14:paraId="1E6F1C16" w14:textId="77777777">
              <w:pPr>
                <w:pStyle w:val="Bibliography"/>
                <w:ind w:left="720" w:hanging="720"/>
                <w:rPr>
                  <w:noProof/>
                  <w:lang w:val="es-ES"/>
                </w:rPr>
              </w:pPr>
              <w:r>
                <w:rPr>
                  <w:noProof/>
                  <w:lang w:val="es-ES"/>
                </w:rPr>
                <w:t xml:space="preserve">ONU. (2018). </w:t>
              </w:r>
              <w:r>
                <w:rPr>
                  <w:i/>
                  <w:iCs/>
                  <w:noProof/>
                  <w:lang w:val="es-ES"/>
                </w:rPr>
                <w:t>Acuerdo Regional sobre el acceso a la información, la participación pública y el acceso a la justicia en asuntos ambientales en América Latina y el Caribe.</w:t>
              </w:r>
              <w:r>
                <w:rPr>
                  <w:noProof/>
                  <w:lang w:val="es-ES"/>
                </w:rPr>
                <w:t xml:space="preserve"> Costa Rica.</w:t>
              </w:r>
            </w:p>
            <w:p w:rsidR="00104221" w:rsidP="00104221" w:rsidRDefault="00104221" w14:paraId="27954937" w14:textId="77777777">
              <w:pPr>
                <w:pStyle w:val="Bibliography"/>
                <w:ind w:left="720" w:hanging="720"/>
                <w:rPr>
                  <w:noProof/>
                  <w:lang w:val="es-ES"/>
                </w:rPr>
              </w:pPr>
              <w:r>
                <w:rPr>
                  <w:noProof/>
                  <w:lang w:val="es-ES"/>
                </w:rPr>
                <w:t xml:space="preserve">Reyes, L. G. (2018). </w:t>
              </w:r>
              <w:r>
                <w:rPr>
                  <w:i/>
                  <w:iCs/>
                  <w:noProof/>
                  <w:lang w:val="es-ES"/>
                </w:rPr>
                <w:t>Orientaciones para la construcción de Políticas Públicas para la igualdad de oportunidades para las mujeres en entidades territoriales .</w:t>
              </w:r>
              <w:r>
                <w:rPr>
                  <w:noProof/>
                  <w:lang w:val="es-ES"/>
                </w:rPr>
                <w:t xml:space="preserve"> International Republic Institute - IRI - Consejería Presidencial para la Equidad de la Mujer - CPEM- Presidencia de la República de Colombia .</w:t>
              </w:r>
            </w:p>
            <w:p w:rsidR="00104221" w:rsidP="00104221" w:rsidRDefault="00104221" w14:paraId="252698ED" w14:textId="77777777">
              <w:pPr>
                <w:pStyle w:val="Bibliography"/>
                <w:ind w:left="720" w:hanging="720"/>
                <w:rPr>
                  <w:noProof/>
                  <w:lang w:val="es-ES"/>
                </w:rPr>
              </w:pPr>
              <w:r>
                <w:rPr>
                  <w:noProof/>
                  <w:lang w:val="es-ES"/>
                </w:rPr>
                <w:t xml:space="preserve">SGC. (2022). </w:t>
              </w:r>
              <w:r>
                <w:rPr>
                  <w:i/>
                  <w:iCs/>
                  <w:noProof/>
                  <w:lang w:val="es-ES"/>
                </w:rPr>
                <w:t>Informe Anual Lineamientos Sistema General de Regalías.</w:t>
              </w:r>
              <w:r>
                <w:rPr>
                  <w:noProof/>
                  <w:lang w:val="es-ES"/>
                </w:rPr>
                <w:t xml:space="preserve"> </w:t>
              </w:r>
            </w:p>
            <w:p w:rsidR="00104221" w:rsidP="00104221" w:rsidRDefault="00104221" w14:paraId="54C57CAF" w14:textId="77777777">
              <w:pPr>
                <w:pStyle w:val="Bibliography"/>
                <w:ind w:left="720" w:hanging="720"/>
                <w:rPr>
                  <w:noProof/>
                  <w:lang w:val="es-ES"/>
                </w:rPr>
              </w:pPr>
              <w:r>
                <w:rPr>
                  <w:noProof/>
                  <w:lang w:val="es-ES"/>
                </w:rPr>
                <w:t xml:space="preserve">UPME. (2022). </w:t>
              </w:r>
              <w:r>
                <w:rPr>
                  <w:i/>
                  <w:iCs/>
                  <w:noProof/>
                  <w:lang w:val="es-ES"/>
                </w:rPr>
                <w:t>Proyecto Plan Nacional de Desarrollo Minero con Enfoque Territorial (PNDM-ET), La minería, aliada del territorio para el desarrollo.</w:t>
              </w:r>
              <w:r>
                <w:rPr>
                  <w:noProof/>
                  <w:lang w:val="es-ES"/>
                </w:rPr>
                <w:t xml:space="preserve"> Bogotá.</w:t>
              </w:r>
            </w:p>
            <w:p w:rsidRPr="00CD075F" w:rsidR="00C443D6" w:rsidP="00104221" w:rsidRDefault="00C443D6" w14:paraId="3B671A5C" w14:textId="23D4C2C3">
              <w:r w:rsidRPr="0064017D">
                <w:rPr>
                  <w:b/>
                  <w:bCs/>
                  <w:color w:val="2B579A"/>
                </w:rPr>
                <w:fldChar w:fldCharType="end"/>
              </w:r>
            </w:p>
          </w:sdtContent>
        </w:sdt>
      </w:sdtContent>
    </w:sdt>
    <w:p w:rsidR="00E66250" w:rsidP="769A4CE5" w:rsidRDefault="112F7819" w14:paraId="40CDC5B3" w14:textId="4BC86C40">
      <w:pPr>
        <w:rPr>
          <w:rFonts w:ascii="Calibri" w:hAnsi="Calibri" w:eastAsia="Calibri" w:cs="Calibri"/>
        </w:rPr>
      </w:pPr>
      <w:r>
        <w:t>Incluir</w:t>
      </w:r>
      <w:r w:rsidR="041A1177">
        <w:t>:</w:t>
      </w:r>
      <w:r>
        <w:t xml:space="preserve"> P</w:t>
      </w:r>
      <w:r w:rsidR="5D733DA9">
        <w:t xml:space="preserve">ND 2022 2026 ley 2294 de 2023, ODS objetivos de desarrollo sostenibles </w:t>
      </w:r>
      <w:hyperlink r:id="rId40">
        <w:r w:rsidRPr="769A4CE5" w:rsidR="2D7DB4EF">
          <w:rPr>
            <w:rStyle w:val="Hyperlink"/>
            <w:rFonts w:ascii="Calibri" w:hAnsi="Calibri" w:eastAsia="Calibri" w:cs="Calibri"/>
          </w:rPr>
          <w:t>Objetivos y metas de desarrollo sostenible - Desarrollo Sostenible</w:t>
        </w:r>
      </w:hyperlink>
    </w:p>
    <w:p w:rsidR="00E66250" w:rsidP="00C443D6" w:rsidRDefault="00E66250" w14:paraId="24E0AB26" w14:textId="77777777"/>
    <w:p w:rsidR="00C46404" w:rsidP="00C46404" w:rsidRDefault="19C086F1" w14:paraId="3A5BB082" w14:textId="58DBFF62">
      <w:pPr>
        <w:pStyle w:val="Heading1"/>
      </w:pPr>
      <w:bookmarkStart w:name="_Toc135903150" w:id="1253"/>
      <w:bookmarkStart w:name="_Toc24728404" w:id="1254"/>
      <w:bookmarkStart w:name="_Toc566388015" w:id="1255"/>
      <w:bookmarkStart w:name="_Toc1269632243" w:id="1256"/>
      <w:bookmarkStart w:name="_Toc1901267658" w:id="1257"/>
      <w:bookmarkStart w:name="_Toc705118155" w:id="1258"/>
      <w:bookmarkStart w:name="_Toc941719676" w:id="1259"/>
      <w:bookmarkStart w:name="_Toc556561866" w:id="1260"/>
      <w:bookmarkStart w:name="_Toc1824668207" w:id="1261"/>
      <w:bookmarkStart w:name="_Toc982802230" w:id="1262"/>
      <w:bookmarkStart w:name="_Toc404715387" w:id="1263"/>
      <w:bookmarkStart w:name="_Toc349285819" w:id="1264"/>
      <w:bookmarkStart w:name="_Toc950534465" w:id="1265"/>
      <w:bookmarkStart w:name="_Toc439718391" w:id="1266"/>
      <w:bookmarkStart w:name="_Toc1059597066" w:id="1267"/>
      <w:bookmarkStart w:name="_Toc960195799" w:id="1268"/>
      <w:bookmarkStart w:name="_Toc71720115" w:id="1269"/>
      <w:bookmarkStart w:name="_Toc1199906711" w:id="1270"/>
      <w:bookmarkStart w:name="_Toc2062103093" w:id="1271"/>
      <w:bookmarkStart w:name="_Toc1900302671" w:id="1272"/>
      <w:bookmarkStart w:name="_Toc588667990" w:id="1273"/>
      <w:bookmarkStart w:name="_Toc1925174133" w:id="1274"/>
      <w:bookmarkStart w:name="_Toc974456682" w:id="1275"/>
      <w:bookmarkStart w:name="_Toc134045554" w:id="1276"/>
      <w:bookmarkStart w:name="_Toc1145381581" w:id="1277"/>
      <w:bookmarkStart w:name="_Toc536259943" w:id="1278"/>
      <w:bookmarkStart w:name="_Toc980770875" w:id="1279"/>
      <w:bookmarkStart w:name="_Toc210293000" w:id="1280"/>
      <w:r>
        <w:t>Lista de A</w:t>
      </w:r>
      <w:r w:rsidR="5EFA0007">
        <w:t>nexos</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rsidRPr="00F96713" w:rsidR="00F96713" w:rsidP="00F96713" w:rsidRDefault="00F96713" w14:paraId="09BC37B9" w14:textId="77777777"/>
    <w:p w:rsidR="00C46404" w:rsidP="001C54B2" w:rsidRDefault="00C46404" w14:paraId="0DF2BAD0" w14:textId="5EF9A0F7">
      <w:pPr>
        <w:pStyle w:val="ListParagraph"/>
        <w:numPr>
          <w:ilvl w:val="3"/>
          <w:numId w:val="26"/>
        </w:numPr>
        <w:ind w:left="-142"/>
      </w:pPr>
      <w:r>
        <w:t>Normograma</w:t>
      </w:r>
      <w:r w:rsidR="00F96713">
        <w:t xml:space="preserve"> – 2025</w:t>
      </w:r>
      <w:r>
        <w:t>.</w:t>
      </w:r>
    </w:p>
    <w:p w:rsidR="00C46404" w:rsidP="001C54B2" w:rsidRDefault="00C46404" w14:paraId="40858774" w14:textId="1AD38CB4">
      <w:pPr>
        <w:pStyle w:val="ListParagraph"/>
        <w:numPr>
          <w:ilvl w:val="3"/>
          <w:numId w:val="26"/>
        </w:numPr>
        <w:ind w:left="-142"/>
      </w:pPr>
      <w:r>
        <w:t>Plan de acción – indicadores.</w:t>
      </w:r>
    </w:p>
    <w:p w:rsidR="00F96713" w:rsidP="001C54B2" w:rsidRDefault="00F96713" w14:paraId="493EF924" w14:textId="60935271">
      <w:pPr>
        <w:pStyle w:val="ListParagraph"/>
        <w:numPr>
          <w:ilvl w:val="3"/>
          <w:numId w:val="26"/>
        </w:numPr>
        <w:ind w:left="-142"/>
      </w:pPr>
      <w:r>
        <w:t xml:space="preserve">Matriz </w:t>
      </w:r>
      <w:r w:rsidR="00C03808">
        <w:t>de sistematización del p</w:t>
      </w:r>
      <w:r w:rsidRPr="00C03808" w:rsidR="00C03808">
        <w:t>roceso participativo para la actualización de la política minera en Colombia</w:t>
      </w:r>
      <w:r w:rsidR="00C03808">
        <w:t>.</w:t>
      </w:r>
    </w:p>
    <w:p w:rsidRPr="00F96713" w:rsidR="00C46404" w:rsidP="001C54B2" w:rsidRDefault="00C46404" w14:paraId="5F59F7FC" w14:textId="53BF8D5A">
      <w:pPr>
        <w:pStyle w:val="ListParagraph"/>
        <w:numPr>
          <w:ilvl w:val="3"/>
          <w:numId w:val="26"/>
        </w:numPr>
        <w:spacing w:after="0" w:line="240" w:lineRule="auto"/>
        <w:ind w:left="-142"/>
        <w:rPr>
          <w:b/>
          <w:bCs/>
        </w:rPr>
      </w:pPr>
      <w:r w:rsidRPr="00C46404">
        <w:t>Antecedentes jurisprudenciales.</w:t>
      </w:r>
    </w:p>
    <w:p w:rsidRPr="00C46404" w:rsidR="00C46404" w:rsidP="00C46404" w:rsidRDefault="00C46404" w14:paraId="617EAEBB" w14:textId="198B71DD"/>
    <w:p w:rsidR="00C443D6" w:rsidP="00C443D6" w:rsidRDefault="00C443D6" w14:paraId="224BDCFF" w14:textId="77777777"/>
    <w:p w:rsidR="00C443D6" w:rsidP="00C443D6" w:rsidRDefault="00C443D6" w14:paraId="206968F9" w14:textId="77777777"/>
    <w:p w:rsidRPr="00757B36" w:rsidR="00757B36" w:rsidP="004F5357" w:rsidRDefault="00757B36" w14:paraId="5FB2FD9B" w14:textId="77777777">
      <w:pPr>
        <w:spacing w:line="276" w:lineRule="auto"/>
        <w:jc w:val="both"/>
        <w:rPr>
          <w:rFonts w:ascii="Helvetica" w:hAnsi="Helvetica"/>
        </w:rPr>
      </w:pPr>
    </w:p>
    <w:sectPr w:rsidRPr="00757B36" w:rsidR="00757B36" w:rsidSect="0069528D">
      <w:headerReference w:type="default" r:id="rId41"/>
      <w:footerReference w:type="default" r:id="rId42"/>
      <w:pgSz w:w="12240" w:h="15840" w:orient="portrait"/>
      <w:pgMar w:top="2127" w:right="1701" w:bottom="1417" w:left="1843" w:header="708" w:footer="708" w:gutter="0"/>
      <w:cols w:space="708"/>
      <w:docGrid w:linePitch="36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933CC" w:rsidP="00757B36" w:rsidRDefault="00F933CC" w14:paraId="7FCF4D5A" w14:textId="77777777">
      <w:pPr>
        <w:spacing w:after="0" w:line="240" w:lineRule="auto"/>
      </w:pPr>
      <w:r>
        <w:separator/>
      </w:r>
    </w:p>
  </w:endnote>
  <w:endnote w:type="continuationSeparator" w:id="0">
    <w:p w:rsidR="00F933CC" w:rsidP="00757B36" w:rsidRDefault="00F933CC" w14:paraId="37F5CB35" w14:textId="77777777">
      <w:pPr>
        <w:spacing w:after="0" w:line="240" w:lineRule="auto"/>
      </w:pPr>
      <w:r>
        <w:continuationSeparator/>
      </w:r>
    </w:p>
  </w:endnote>
  <w:endnote w:type="continuationNotice" w:id="1">
    <w:p w:rsidR="00F933CC" w:rsidRDefault="00F933CC" w14:paraId="600C5563"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Aptos">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cuerpo">
    <w:altName w:val="Cambria"/>
    <w:panose1 w:val="00000000000000000000"/>
    <w:charset w:val="00"/>
    <w:family w:val="roman"/>
    <w:notTrueType/>
    <w:pitch w:val="default"/>
  </w:font>
  <w:font w:name="Work Sans">
    <w:panose1 w:val="00000000000000000000"/>
    <w:charset w:val="00"/>
    <w:family w:val="auto"/>
    <w:pitch w:val="variable"/>
    <w:sig w:usb0="A00000FF" w:usb1="5000E07B" w:usb2="00000000" w:usb3="00000000" w:csb0="00000193" w:csb1="00000000"/>
  </w:font>
  <w:font w:name="Arial Narrow">
    <w:panose1 w:val="020B0606020202030204"/>
    <w:charset w:val="00"/>
    <w:family w:val="swiss"/>
    <w:pitch w:val="variable"/>
    <w:sig w:usb0="00000287" w:usb1="00000800" w:usb2="00000000" w:usb3="00000000" w:csb0="0000009F" w:csb1="00000000"/>
  </w:font>
  <w:font w:name="Arial Nova">
    <w:panose1 w:val="020B0504020202020204"/>
    <w:charset w:val="00"/>
    <w:family w:val="swiss"/>
    <w:pitch w:val="variable"/>
    <w:sig w:usb0="2000028F" w:usb1="00000002" w:usb2="00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lang w:val="es-ES"/>
      </w:rPr>
      <w:id w:val="-1071572585"/>
      <w:docPartObj>
        <w:docPartGallery w:val="Page Numbers (Bottom of Page)"/>
        <w:docPartUnique/>
      </w:docPartObj>
    </w:sdtPr>
    <w:sdtEndPr>
      <w:rPr>
        <w:lang w:val="es-ES"/>
      </w:rPr>
    </w:sdtEndPr>
    <w:sdtContent>
      <w:p w:rsidR="004A2104" w:rsidRDefault="004A2104" w14:paraId="324BE145" w14:textId="7C1CE0B8">
        <w:pPr>
          <w:pStyle w:val="Footer"/>
          <w:jc w:val="right"/>
        </w:pPr>
        <w:r>
          <w:rPr>
            <w:noProof/>
            <w:color w:val="2B579A"/>
            <w:shd w:val="clear" w:color="auto" w:fill="E6E6E6"/>
            <w:lang w:eastAsia="es-CO"/>
          </w:rPr>
          <mc:AlternateContent>
            <mc:Choice Requires="wps">
              <w:drawing>
                <wp:anchor distT="0" distB="0" distL="114300" distR="114300" simplePos="0" relativeHeight="251658241" behindDoc="0" locked="0" layoutInCell="1" allowOverlap="1" wp14:anchorId="7AE5F12B" wp14:editId="69828E74">
                  <wp:simplePos x="0" y="0"/>
                  <wp:positionH relativeFrom="margin">
                    <wp:posOffset>-99060</wp:posOffset>
                  </wp:positionH>
                  <wp:positionV relativeFrom="paragraph">
                    <wp:posOffset>-248285</wp:posOffset>
                  </wp:positionV>
                  <wp:extent cx="6029325" cy="1229995"/>
                  <wp:effectExtent l="0" t="0" r="0" b="0"/>
                  <wp:wrapNone/>
                  <wp:docPr id="1223101586" name="Cuadro de texto 1223101586"/>
                  <wp:cNvGraphicFramePr/>
                  <a:graphic xmlns:a="http://schemas.openxmlformats.org/drawingml/2006/main">
                    <a:graphicData uri="http://schemas.microsoft.com/office/word/2010/wordprocessingShape">
                      <wps:wsp>
                        <wps:cNvSpPr txBox="1"/>
                        <wps:spPr>
                          <a:xfrm>
                            <a:off x="0" y="0"/>
                            <a:ext cx="6029325" cy="1229995"/>
                          </a:xfrm>
                          <a:prstGeom prst="rect">
                            <a:avLst/>
                          </a:prstGeom>
                          <a:noFill/>
                          <a:ln w="6350">
                            <a:noFill/>
                          </a:ln>
                        </wps:spPr>
                        <wps:txbx>
                          <w:txbxContent>
                            <w:p w:rsidR="004A2104" w:rsidP="00D34D20" w:rsidRDefault="004A2104" w14:paraId="79D92C5A" w14:textId="2A0E6DCC">
                              <w:pPr>
                                <w:pBdr>
                                  <w:bottom w:val="single" w:color="auto" w:sz="12" w:space="1"/>
                                </w:pBdr>
                                <w:spacing w:after="0" w:line="276" w:lineRule="auto"/>
                                <w:jc w:val="both"/>
                                <w:rPr>
                                  <w:rFonts w:ascii="Helvetica" w:hAnsi="Helvetica"/>
                                  <w:sz w:val="20"/>
                                  <w:szCs w:val="20"/>
                                </w:rPr>
                              </w:pPr>
                            </w:p>
                            <w:p w:rsidRPr="00256928" w:rsidR="004A2104" w:rsidP="00D34D20" w:rsidRDefault="004A2104" w14:paraId="7E6955D3" w14:textId="77777777">
                              <w:pPr>
                                <w:spacing w:after="0" w:line="276" w:lineRule="auto"/>
                                <w:jc w:val="both"/>
                                <w:rPr>
                                  <w:rFonts w:ascii="Helvetica" w:hAnsi="Helvetica"/>
                                  <w:sz w:val="20"/>
                                  <w:szCs w:val="20"/>
                                </w:rPr>
                              </w:pPr>
                            </w:p>
                            <w:p w:rsidRPr="00E31033" w:rsidR="004A2104" w:rsidP="00D34D20" w:rsidRDefault="004A2104" w14:paraId="1B8765A5" w14:textId="324E78F8">
                              <w:pPr>
                                <w:spacing w:after="0" w:line="276" w:lineRule="auto"/>
                                <w:jc w:val="both"/>
                                <w:rPr>
                                  <w:rFonts w:ascii="Helvetica" w:hAnsi="Helvetica"/>
                                  <w:b/>
                                  <w:bCs/>
                                  <w:sz w:val="14"/>
                                  <w:szCs w:val="14"/>
                                </w:rPr>
                              </w:pPr>
                              <w:r w:rsidRPr="00E31033">
                                <w:rPr>
                                  <w:rFonts w:ascii="Helvetica" w:hAnsi="Helvetica"/>
                                  <w:b/>
                                  <w:bCs/>
                                  <w:sz w:val="14"/>
                                  <w:szCs w:val="14"/>
                                </w:rPr>
                                <w:t>Ministerio de Minas y Energía</w:t>
                              </w:r>
                            </w:p>
                            <w:p w:rsidRPr="00E31033" w:rsidR="004A2104" w:rsidP="00D34D20" w:rsidRDefault="004A2104" w14:paraId="3453229D" w14:textId="32EEE107">
                              <w:pPr>
                                <w:spacing w:after="0" w:line="276" w:lineRule="auto"/>
                                <w:jc w:val="both"/>
                                <w:rPr>
                                  <w:rFonts w:ascii="Helvetica" w:hAnsi="Helvetica"/>
                                  <w:sz w:val="10"/>
                                  <w:szCs w:val="10"/>
                                </w:rPr>
                              </w:pPr>
                              <w:r w:rsidRPr="00E31033">
                                <w:rPr>
                                  <w:rFonts w:ascii="Helvetica" w:hAnsi="Helvetica"/>
                                  <w:sz w:val="10"/>
                                  <w:szCs w:val="10"/>
                                </w:rPr>
                                <w:t>Dirección: Calle 43 No.57 – 31 CAN, Bogotá D.C., Colombia</w:t>
                              </w:r>
                            </w:p>
                            <w:p w:rsidRPr="00E31033" w:rsidR="004A2104" w:rsidP="00D34D20" w:rsidRDefault="004A2104" w14:paraId="7463B94C" w14:textId="151AC0DF">
                              <w:pPr>
                                <w:spacing w:after="0" w:line="276" w:lineRule="auto"/>
                                <w:jc w:val="both"/>
                                <w:rPr>
                                  <w:rFonts w:ascii="Helvetica" w:hAnsi="Helvetica"/>
                                  <w:sz w:val="10"/>
                                  <w:szCs w:val="10"/>
                                </w:rPr>
                              </w:pPr>
                              <w:r w:rsidRPr="00E31033">
                                <w:rPr>
                                  <w:rFonts w:ascii="Helvetica" w:hAnsi="Helvetica"/>
                                  <w:sz w:val="10"/>
                                  <w:szCs w:val="10"/>
                                </w:rPr>
                                <w:t>Conmutador: (60) +1 220 0300</w:t>
                              </w:r>
                            </w:p>
                            <w:p w:rsidRPr="00E31033" w:rsidR="004A2104" w:rsidP="00256928" w:rsidRDefault="004A2104" w14:paraId="3F743D65" w14:textId="3EDB22A9">
                              <w:pPr>
                                <w:spacing w:after="0" w:line="276" w:lineRule="auto"/>
                                <w:jc w:val="both"/>
                                <w:rPr>
                                  <w:rFonts w:ascii="Helvetica" w:hAnsi="Helvetica"/>
                                  <w:sz w:val="10"/>
                                  <w:szCs w:val="10"/>
                                </w:rPr>
                              </w:pPr>
                              <w:r w:rsidRPr="00E31033">
                                <w:rPr>
                                  <w:rFonts w:ascii="Helvetica" w:hAnsi="Helvetica"/>
                                  <w:sz w:val="10"/>
                                  <w:szCs w:val="10"/>
                                </w:rPr>
                                <w:t>Línea Gratuita: 01 8000 910 180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w14:anchorId="5CB61E3C">
                <v:shapetype id="_x0000_t202" coordsize="21600,21600" o:spt="202" path="m,l,21600r21600,l21600,xe" w14:anchorId="7AE5F12B">
                  <v:stroke joinstyle="miter"/>
                  <v:path gradientshapeok="t" o:connecttype="rect"/>
                </v:shapetype>
                <v:shape id="Cuadro de texto 1223101586" style="position:absolute;left:0;text-align:left;margin-left:-7.8pt;margin-top:-19.55pt;width:474.75pt;height:96.85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">
                  <v:textbox>
                    <w:txbxContent>
                      <w:p w:rsidR="004A2104" w:rsidP="00D34D20" w:rsidRDefault="004A2104" w14:paraId="672A6659" w14:textId="2A0E6DCC">
                        <w:pPr>
                          <w:pBdr>
                            <w:bottom w:val="single" w:color="auto" w:sz="12" w:space="1"/>
                          </w:pBdr>
                          <w:spacing w:after="0" w:line="276" w:lineRule="auto"/>
                          <w:jc w:val="both"/>
                          <w:rPr>
                            <w:rFonts w:ascii="Helvetica" w:hAnsi="Helvetica"/>
                            <w:sz w:val="20"/>
                            <w:szCs w:val="20"/>
                          </w:rPr>
                        </w:pPr>
                      </w:p>
                      <w:p w:rsidRPr="00256928" w:rsidR="004A2104" w:rsidP="00D34D20" w:rsidRDefault="004A2104" w14:paraId="0A37501D" w14:textId="77777777">
                        <w:pPr>
                          <w:spacing w:after="0" w:line="276" w:lineRule="auto"/>
                          <w:jc w:val="both"/>
                          <w:rPr>
                            <w:rFonts w:ascii="Helvetica" w:hAnsi="Helvetica"/>
                            <w:sz w:val="20"/>
                            <w:szCs w:val="20"/>
                          </w:rPr>
                        </w:pPr>
                      </w:p>
                      <w:p w:rsidRPr="00E31033" w:rsidR="004A2104" w:rsidP="00D34D20" w:rsidRDefault="004A2104" w14:paraId="4B70372F" w14:textId="324E78F8">
                        <w:pPr>
                          <w:spacing w:after="0" w:line="276" w:lineRule="auto"/>
                          <w:jc w:val="both"/>
                          <w:rPr>
                            <w:rFonts w:ascii="Helvetica" w:hAnsi="Helvetica"/>
                            <w:b/>
                            <w:bCs/>
                            <w:sz w:val="14"/>
                            <w:szCs w:val="14"/>
                          </w:rPr>
                        </w:pPr>
                        <w:r w:rsidRPr="00E31033">
                          <w:rPr>
                            <w:rFonts w:ascii="Helvetica" w:hAnsi="Helvetica"/>
                            <w:b/>
                            <w:bCs/>
                            <w:sz w:val="14"/>
                            <w:szCs w:val="14"/>
                          </w:rPr>
                          <w:t>Ministerio de Minas y Energía</w:t>
                        </w:r>
                      </w:p>
                      <w:p w:rsidRPr="00E31033" w:rsidR="004A2104" w:rsidP="00D34D20" w:rsidRDefault="004A2104" w14:paraId="571749EB" w14:textId="32EEE107">
                        <w:pPr>
                          <w:spacing w:after="0" w:line="276" w:lineRule="auto"/>
                          <w:jc w:val="both"/>
                          <w:rPr>
                            <w:rFonts w:ascii="Helvetica" w:hAnsi="Helvetica"/>
                            <w:sz w:val="10"/>
                            <w:szCs w:val="10"/>
                          </w:rPr>
                        </w:pPr>
                        <w:r w:rsidRPr="00E31033">
                          <w:rPr>
                            <w:rFonts w:ascii="Helvetica" w:hAnsi="Helvetica"/>
                            <w:sz w:val="10"/>
                            <w:szCs w:val="10"/>
                          </w:rPr>
                          <w:t>Dirección: Calle 43 No.57 – 31 CAN, Bogotá D.C., Colombia</w:t>
                        </w:r>
                      </w:p>
                      <w:p w:rsidRPr="00E31033" w:rsidR="004A2104" w:rsidP="00D34D20" w:rsidRDefault="004A2104" w14:paraId="43EC34D2" w14:textId="151AC0DF">
                        <w:pPr>
                          <w:spacing w:after="0" w:line="276" w:lineRule="auto"/>
                          <w:jc w:val="both"/>
                          <w:rPr>
                            <w:rFonts w:ascii="Helvetica" w:hAnsi="Helvetica"/>
                            <w:sz w:val="10"/>
                            <w:szCs w:val="10"/>
                          </w:rPr>
                        </w:pPr>
                        <w:r w:rsidRPr="00E31033">
                          <w:rPr>
                            <w:rFonts w:ascii="Helvetica" w:hAnsi="Helvetica"/>
                            <w:sz w:val="10"/>
                            <w:szCs w:val="10"/>
                          </w:rPr>
                          <w:t>Conmutador: (60) +1 220 0300</w:t>
                        </w:r>
                      </w:p>
                      <w:p w:rsidRPr="00E31033" w:rsidR="004A2104" w:rsidP="00256928" w:rsidRDefault="004A2104" w14:paraId="2846F7BA" w14:textId="3EDB22A9">
                        <w:pPr>
                          <w:spacing w:after="0" w:line="276" w:lineRule="auto"/>
                          <w:jc w:val="both"/>
                          <w:rPr>
                            <w:rFonts w:ascii="Helvetica" w:hAnsi="Helvetica"/>
                            <w:sz w:val="10"/>
                            <w:szCs w:val="10"/>
                          </w:rPr>
                        </w:pPr>
                        <w:r w:rsidRPr="00E31033">
                          <w:rPr>
                            <w:rFonts w:ascii="Helvetica" w:hAnsi="Helvetica"/>
                            <w:sz w:val="10"/>
                            <w:szCs w:val="10"/>
                          </w:rPr>
                          <w:t>Línea Gratuita: 01 8000 910 180</w:t>
                        </w:r>
                      </w:p>
                    </w:txbxContent>
                  </v:textbox>
                  <w10:wrap anchorx="margin"/>
                </v:shape>
              </w:pict>
            </mc:Fallback>
          </mc:AlternateContent>
        </w:r>
        <w:r w:rsidR="769A4CE5">
          <w:rPr>
            <w:lang w:val="es-ES"/>
          </w:rPr>
          <w:t xml:space="preserve">Página | </w:t>
        </w:r>
        <w:r w:rsidRPr="769A4CE5">
          <w:rPr>
            <w:color w:val="000000" w:themeColor="text1"/>
            <w:shd w:val="clear" w:color="auto" w:fill="E6E6E6"/>
          </w:rPr>
          <w:fldChar w:fldCharType="begin"/>
        </w:r>
        <w:r>
          <w:instrText>PAGE   \* MERGEFORMAT</w:instrText>
        </w:r>
        <w:r w:rsidRPr="769A4CE5">
          <w:rPr>
            <w:color w:val="000000" w:themeColor="text1"/>
            <w:shd w:val="clear" w:color="auto" w:fill="E6E6E6"/>
          </w:rPr>
          <w:fldChar w:fldCharType="separate"/>
        </w:r>
        <w:r w:rsidRPr="001D3D57" w:rsidR="769A4CE5">
          <w:rPr>
            <w:noProof/>
            <w:lang w:val="es-ES"/>
          </w:rPr>
          <w:t>21</w:t>
        </w:r>
        <w:r w:rsidRPr="769A4CE5">
          <w:rPr>
            <w:color w:val="000000" w:themeColor="text1"/>
            <w:shd w:val="clear" w:color="auto" w:fill="E6E6E6"/>
          </w:rPr>
          <w:fldChar w:fldCharType="end"/>
        </w:r>
        <w:r w:rsidR="769A4CE5">
          <w:rPr>
            <w:lang w:val="es-ES"/>
          </w:rPr>
          <w:t xml:space="preserve"> </w:t>
        </w:r>
      </w:p>
    </w:sdtContent>
  </w:sdt>
  <w:p w:rsidRPr="00D34D20" w:rsidR="004A2104" w:rsidP="00D34D20" w:rsidRDefault="004A2104" w14:paraId="409F4B9A" w14:textId="79830460">
    <w:pPr>
      <w:spacing w:after="0" w:line="276" w:lineRule="auto"/>
      <w:jc w:val="both"/>
      <w:rPr>
        <w:rFonts w:ascii="Helvetica" w:hAnsi="Helvetica"/>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933CC" w:rsidP="00757B36" w:rsidRDefault="00F933CC" w14:paraId="67DA3F1D" w14:textId="77777777">
      <w:pPr>
        <w:spacing w:after="0" w:line="240" w:lineRule="auto"/>
      </w:pPr>
      <w:r>
        <w:separator/>
      </w:r>
    </w:p>
  </w:footnote>
  <w:footnote w:type="continuationSeparator" w:id="0">
    <w:p w:rsidR="00F933CC" w:rsidP="00757B36" w:rsidRDefault="00F933CC" w14:paraId="29F2720F" w14:textId="77777777">
      <w:pPr>
        <w:spacing w:after="0" w:line="240" w:lineRule="auto"/>
      </w:pPr>
      <w:r>
        <w:continuationSeparator/>
      </w:r>
    </w:p>
  </w:footnote>
  <w:footnote w:type="continuationNotice" w:id="1">
    <w:p w:rsidR="00F933CC" w:rsidRDefault="00F933CC" w14:paraId="23911BF4" w14:textId="77777777">
      <w:pPr>
        <w:spacing w:after="0" w:line="240" w:lineRule="auto"/>
      </w:pPr>
    </w:p>
  </w:footnote>
  <w:footnote w:id="2">
    <w:p w:rsidR="00D17F09" w:rsidP="3845A57C" w:rsidRDefault="00D17F09" w14:paraId="64D5DDB6" w14:textId="62408E29">
      <w:pPr>
        <w:pStyle w:val="FootnoteText"/>
        <w:rPr>
          <w:rFonts w:ascii="Calibri" w:hAnsi="Calibri" w:eastAsia="Calibri" w:cs="Calibri"/>
          <w:color w:val="000000" w:themeColor="text1"/>
          <w:lang w:val="es-CO"/>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Ministerio de Minas y Energía. (s.f.) Minerales estratégicos. Disponible en: </w:t>
      </w:r>
      <w:r w:rsidRPr="7DF7D6D5" w:rsidR="3845A57C">
        <w:rPr>
          <w:rFonts w:ascii="Calibri" w:hAnsi="Calibri" w:eastAsia="Calibri" w:cs="Calibri"/>
          <w:sz w:val="16"/>
          <w:szCs w:val="16"/>
          <w:lang w:val="es-CO"/>
        </w:rPr>
        <w:t>https://mineriaencolombia.anm.gov.co/contenido/minerales-estrategicos</w:t>
      </w:r>
    </w:p>
  </w:footnote>
  <w:footnote w:id="3">
    <w:p w:rsidR="50847D6A" w:rsidP="3845A57C" w:rsidRDefault="50847D6A" w14:paraId="629650C5" w14:textId="6719F55A">
      <w:pPr>
        <w:pStyle w:val="FootnoteText"/>
        <w:rPr>
          <w:rFonts w:ascii="Calibri" w:hAnsi="Calibri" w:eastAsia="Calibri" w:cs="Calibri"/>
          <w:sz w:val="16"/>
          <w:szCs w:val="16"/>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Congreso de la República. </w:t>
      </w:r>
      <w:r w:rsidRPr="3845A57C" w:rsidR="3845A57C">
        <w:rPr>
          <w:rFonts w:ascii="Calibri" w:hAnsi="Calibri" w:eastAsia="Calibri" w:cs="Calibri"/>
          <w:i/>
          <w:iCs/>
          <w:sz w:val="16"/>
          <w:szCs w:val="16"/>
        </w:rPr>
        <w:t>Ley 2294 de 2023, “por la cual se expide el Plan Nacional de Desarrollo 2022- 2026 - Colombia Potencia Mundial de la Vida</w:t>
      </w:r>
      <w:r w:rsidRPr="7DF7D6D5" w:rsidR="3845A57C">
        <w:rPr>
          <w:rFonts w:ascii="Calibri" w:hAnsi="Calibri" w:eastAsia="Calibri" w:cs="Calibri"/>
          <w:sz w:val="16"/>
          <w:szCs w:val="16"/>
        </w:rPr>
        <w:t>”.</w:t>
      </w:r>
    </w:p>
  </w:footnote>
  <w:footnote w:id="4">
    <w:p w:rsidR="00060036" w:rsidP="3845A57C" w:rsidRDefault="00060036" w14:paraId="67A931CB" w14:textId="08D86E91">
      <w:pPr>
        <w:pStyle w:val="FootnoteText"/>
        <w:rPr>
          <w:rFonts w:asciiTheme="minorHAnsi" w:hAnsiTheme="minorHAnsi" w:cstheme="minorBidi"/>
          <w:sz w:val="16"/>
          <w:szCs w:val="16"/>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Consejo de Estado. Referencia: Medio de control de protección de los derechos e intereses colectivos. Radicación: 25000234100020130245901 (Sentencia de “Ventanilla Minera”).</w:t>
      </w:r>
    </w:p>
  </w:footnote>
  <w:footnote w:id="5">
    <w:p w:rsidR="00060036" w:rsidP="3845A57C" w:rsidRDefault="00060036" w14:paraId="68D01008" w14:textId="60C0DB99">
      <w:pPr>
        <w:pStyle w:val="FootnoteText"/>
        <w:rPr>
          <w:rFonts w:asciiTheme="minorHAnsi" w:hAnsiTheme="minorHAnsi" w:eastAsiaTheme="minorEastAsia" w:cstheme="minorBidi"/>
          <w:sz w:val="16"/>
          <w:szCs w:val="16"/>
          <w:lang w:val="es-CO" w:eastAsia="en-US"/>
        </w:rPr>
      </w:pPr>
      <w:r w:rsidRPr="3845A57C">
        <w:rPr>
          <w:rStyle w:val="FootnoteReference"/>
          <w:rFonts w:asciiTheme="minorHAnsi" w:hAnsiTheme="minorHAnsi" w:eastAsiaTheme="majorEastAsia" w:cstheme="minorBidi"/>
          <w:sz w:val="18"/>
          <w:szCs w:val="18"/>
        </w:rPr>
        <w:footnoteRef/>
      </w:r>
      <w:r w:rsidRPr="3845A57C" w:rsidR="3845A57C">
        <w:rPr>
          <w:rFonts w:asciiTheme="minorHAnsi" w:hAnsiTheme="minorHAnsi" w:cstheme="minorBidi"/>
          <w:sz w:val="18"/>
          <w:szCs w:val="18"/>
        </w:rPr>
        <w:t xml:space="preserve"> </w:t>
      </w:r>
      <w:r w:rsidRPr="3845A57C" w:rsidR="3845A57C">
        <w:rPr>
          <w:rFonts w:asciiTheme="minorHAnsi" w:hAnsiTheme="minorHAnsi" w:eastAsiaTheme="minorEastAsia" w:cstheme="minorBidi"/>
          <w:sz w:val="18"/>
          <w:szCs w:val="18"/>
          <w:lang w:val="es-CO" w:eastAsia="en-US"/>
        </w:rPr>
        <w:t xml:space="preserve">“147. (…) </w:t>
      </w:r>
      <w:r w:rsidRPr="3845A57C" w:rsidR="3845A57C">
        <w:rPr>
          <w:rFonts w:asciiTheme="minorHAnsi" w:hAnsiTheme="minorHAnsi" w:eastAsiaTheme="minorEastAsia" w:cstheme="minorBidi"/>
          <w:i/>
          <w:iCs/>
          <w:sz w:val="16"/>
          <w:szCs w:val="16"/>
          <w:lang w:val="es-CO" w:eastAsia="en-US"/>
        </w:rPr>
        <w:t>la jurisprudencia de la Corte Constitucional, contenida en las sentencias C-339 de 2002, C-336 de 2011, C-123 de 2014, C-035 de 2016, C-298 de 2016, C-389 de 2016, T-445 de 2016 y SU-133 de 2017 2017, pone en evidencia los retos y las problemáticas que debe resolver el Gobierno nacional para promover una minería sostenible en Colombia. Así mismo, la Sección Primera del Consejo de Estado, en las sentencias de 13 de julio de 2017 y 30 de marzo de 2017, se pronunció sobre los daños que ocasiona el ejercicio de la actividad minera en zonas de protección</w:t>
      </w:r>
      <w:r w:rsidRPr="3845A57C" w:rsidR="3845A57C">
        <w:rPr>
          <w:rFonts w:asciiTheme="minorHAnsi" w:hAnsiTheme="minorHAnsi" w:eastAsiaTheme="minorEastAsia" w:cstheme="minorBidi"/>
          <w:sz w:val="18"/>
          <w:szCs w:val="18"/>
          <w:lang w:val="es-CO" w:eastAsia="en-US"/>
        </w:rPr>
        <w:t xml:space="preserve">” </w:t>
      </w:r>
      <w:sdt>
        <w:sdtPr>
          <w:rPr>
            <w:rFonts w:asciiTheme="minorHAnsi" w:hAnsiTheme="minorHAnsi" w:eastAsiaTheme="minorEastAsia" w:cstheme="minorBidi"/>
            <w:sz w:val="16"/>
            <w:szCs w:val="16"/>
            <w:shd w:val="clear" w:color="auto" w:fill="E6E6E6"/>
            <w:lang w:val="es-CO" w:eastAsia="en-US"/>
          </w:rPr>
          <w:id w:val="1741130799"/>
          <w:citation/>
        </w:sdtPr>
        <w:sdtEndPr/>
        <w:sdtContent>
          <w:r w:rsidRPr="3845A57C">
            <w:rPr>
              <w:rFonts w:asciiTheme="minorHAnsi" w:hAnsiTheme="minorHAnsi" w:eastAsiaTheme="minorEastAsia" w:cstheme="minorBidi"/>
              <w:sz w:val="16"/>
              <w:szCs w:val="16"/>
              <w:shd w:val="clear" w:color="auto" w:fill="E6E6E6"/>
              <w:lang w:val="es-CO" w:eastAsia="en-US"/>
            </w:rPr>
            <w:fldChar w:fldCharType="begin"/>
          </w:r>
          <w:r w:rsidRPr="3845A57C">
            <w:rPr>
              <w:rFonts w:asciiTheme="minorHAnsi" w:hAnsiTheme="minorHAnsi" w:eastAsiaTheme="minorEastAsia" w:cstheme="minorBidi"/>
              <w:sz w:val="16"/>
              <w:szCs w:val="16"/>
              <w:shd w:val="clear" w:color="auto" w:fill="E6E6E6"/>
              <w:lang w:val="es-CO" w:eastAsia="en-US"/>
            </w:rPr>
            <w:instrText xml:space="preserve"> CITATION Acc22 \l 3082 </w:instrText>
          </w:r>
          <w:r w:rsidRPr="3845A57C">
            <w:rPr>
              <w:rFonts w:asciiTheme="minorHAnsi" w:hAnsiTheme="minorHAnsi" w:eastAsiaTheme="minorEastAsia" w:cstheme="minorBidi"/>
              <w:sz w:val="16"/>
              <w:szCs w:val="16"/>
              <w:shd w:val="clear" w:color="auto" w:fill="E6E6E6"/>
              <w:lang w:val="es-CO" w:eastAsia="en-US"/>
            </w:rPr>
            <w:fldChar w:fldCharType="separate"/>
          </w:r>
          <w:r w:rsidRPr="00104221" w:rsidR="00104221">
            <w:rPr>
              <w:rFonts w:asciiTheme="minorHAnsi" w:hAnsiTheme="minorHAnsi" w:eastAsiaTheme="minorEastAsia" w:cstheme="minorBidi"/>
              <w:noProof/>
              <w:sz w:val="16"/>
              <w:szCs w:val="16"/>
              <w:shd w:val="clear" w:color="auto" w:fill="E6E6E6"/>
              <w:lang w:val="es-CO" w:eastAsia="en-US"/>
            </w:rPr>
            <w:t>(Acción Popular 2013-02459-01, 2022)</w:t>
          </w:r>
          <w:r w:rsidRPr="3845A57C">
            <w:rPr>
              <w:rFonts w:asciiTheme="minorHAnsi" w:hAnsiTheme="minorHAnsi" w:eastAsiaTheme="minorEastAsia" w:cstheme="minorBidi"/>
              <w:sz w:val="16"/>
              <w:szCs w:val="16"/>
              <w:shd w:val="clear" w:color="auto" w:fill="E6E6E6"/>
              <w:lang w:val="es-CO" w:eastAsia="en-US"/>
            </w:rPr>
            <w:fldChar w:fldCharType="end"/>
          </w:r>
        </w:sdtContent>
      </w:sdt>
      <w:r w:rsidRPr="3845A57C" w:rsidR="3845A57C">
        <w:rPr>
          <w:rFonts w:asciiTheme="minorHAnsi" w:hAnsiTheme="minorHAnsi" w:eastAsiaTheme="minorEastAsia" w:cstheme="minorBidi"/>
          <w:sz w:val="18"/>
          <w:szCs w:val="18"/>
          <w:lang w:val="es-CO" w:eastAsia="en-US"/>
        </w:rPr>
        <w:t xml:space="preserve">. </w:t>
      </w:r>
    </w:p>
  </w:footnote>
  <w:footnote w:id="6">
    <w:p w:rsidRPr="00B036D9" w:rsidR="6CF7E57B" w:rsidP="3845A57C" w:rsidRDefault="6CF7E57B" w14:paraId="06C29748" w14:textId="3606802A">
      <w:pPr>
        <w:pStyle w:val="FootnoteText"/>
        <w:rPr>
          <w:rFonts w:asciiTheme="minorHAnsi" w:hAnsiTheme="minorHAnsi" w:cstheme="minorBidi"/>
          <w:sz w:val="16"/>
          <w:szCs w:val="16"/>
        </w:rPr>
      </w:pPr>
      <w:r w:rsidRPr="000D1EC1">
        <w:rPr>
          <w:rFonts w:ascii="Calibri" w:hAnsi="Calibri" w:eastAsia="Calibri" w:cs="Calibri"/>
          <w:sz w:val="16"/>
          <w:szCs w:val="16"/>
          <w:vertAlign w:val="superscript"/>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
        </w:rPr>
        <w:t xml:space="preserve">Documento obrante en el índice </w:t>
      </w:r>
      <w:proofErr w:type="spellStart"/>
      <w:r w:rsidRPr="7DF7D6D5" w:rsidR="3845A57C">
        <w:rPr>
          <w:rFonts w:ascii="Calibri" w:hAnsi="Calibri" w:eastAsia="Calibri" w:cs="Calibri"/>
          <w:sz w:val="16"/>
          <w:szCs w:val="16"/>
          <w:lang w:val="es"/>
        </w:rPr>
        <w:t>Samai</w:t>
      </w:r>
      <w:proofErr w:type="spellEnd"/>
      <w:r w:rsidRPr="7DF7D6D5" w:rsidR="3845A57C">
        <w:rPr>
          <w:rFonts w:ascii="Calibri" w:hAnsi="Calibri" w:eastAsia="Calibri" w:cs="Calibri"/>
          <w:sz w:val="16"/>
          <w:szCs w:val="16"/>
          <w:lang w:val="es"/>
        </w:rPr>
        <w:t xml:space="preserve"> 49 del expediente digital. Prueba recaudada de oficio.</w:t>
      </w:r>
    </w:p>
  </w:footnote>
  <w:footnote w:id="7">
    <w:p w:rsidRPr="00B036D9" w:rsidR="00B036D9" w:rsidP="3845A57C" w:rsidRDefault="00B036D9" w14:paraId="6E6BE396" w14:textId="467702F1">
      <w:pPr>
        <w:pStyle w:val="FootnoteText"/>
        <w:spacing w:line="257" w:lineRule="auto"/>
        <w:rPr>
          <w:rFonts w:ascii="Calibri" w:hAnsi="Calibri" w:eastAsia="Calibri" w:cs="Calibri"/>
          <w:sz w:val="16"/>
          <w:szCs w:val="16"/>
          <w:lang w:val="es-CO"/>
        </w:rPr>
      </w:pPr>
      <w:r w:rsidRPr="000D1EC1">
        <w:rPr>
          <w:rFonts w:ascii="Calibri" w:hAnsi="Calibri" w:eastAsia="Calibri" w:cs="Calibri"/>
          <w:sz w:val="16"/>
          <w:szCs w:val="16"/>
          <w:vertAlign w:val="superscript"/>
        </w:rPr>
        <w:footnoteRef/>
      </w:r>
      <w:r w:rsidRPr="7DF7D6D5" w:rsidR="3845A57C">
        <w:rPr>
          <w:rFonts w:ascii="Calibri" w:hAnsi="Calibri" w:eastAsia="Calibri" w:cs="Calibri"/>
          <w:sz w:val="16"/>
          <w:szCs w:val="16"/>
        </w:rPr>
        <w:t xml:space="preserve"> Congreso de la República. </w:t>
      </w:r>
      <w:r w:rsidRPr="3845A57C" w:rsidR="3845A57C">
        <w:rPr>
          <w:rFonts w:ascii="Calibri" w:hAnsi="Calibri" w:eastAsia="Calibri" w:cs="Calibri"/>
          <w:i/>
          <w:iCs/>
          <w:sz w:val="16"/>
          <w:szCs w:val="16"/>
          <w:lang w:val="es-CO"/>
        </w:rPr>
        <w:t>Ley 1658 del 15 de julio de 2013</w:t>
      </w:r>
      <w:r w:rsidRPr="7DF7D6D5" w:rsidR="3845A57C">
        <w:rPr>
          <w:rFonts w:ascii="Calibri" w:hAnsi="Calibri" w:eastAsia="Calibri" w:cs="Calibri"/>
          <w:sz w:val="16"/>
          <w:szCs w:val="16"/>
          <w:lang w:val="es-CO"/>
        </w:rPr>
        <w:t>. Artículo 2.</w:t>
      </w:r>
    </w:p>
  </w:footnote>
  <w:footnote w:id="8">
    <w:p w:rsidRPr="00B036D9" w:rsidR="00B036D9" w:rsidP="3845A57C" w:rsidRDefault="00B036D9" w14:paraId="01885EC7" w14:textId="7827BB4E">
      <w:pPr>
        <w:pStyle w:val="FootnoteText"/>
        <w:rPr>
          <w:rFonts w:asciiTheme="minorHAnsi" w:hAnsiTheme="minorHAnsi" w:cstheme="minorBidi"/>
          <w:sz w:val="16"/>
          <w:szCs w:val="16"/>
          <w:lang w:val="es-CO"/>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3845A57C" w:rsidR="3845A57C">
        <w:rPr>
          <w:rFonts w:ascii="Calibri" w:hAnsi="Calibri" w:eastAsia="Calibri" w:cs="Calibri"/>
          <w:i/>
          <w:iCs/>
          <w:sz w:val="16"/>
          <w:szCs w:val="16"/>
        </w:rPr>
        <w:t>Plan Nacional de Desarrollo Minero</w:t>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rPr>
        <w:t>Disponible en: https://www.upme.gov.co/simec/planeacion-energetica/plan-nacional-de-desarrollo-minero/</w:t>
      </w:r>
    </w:p>
  </w:footnote>
  <w:footnote w:id="9">
    <w:p w:rsidRPr="00B036D9" w:rsidR="00B036D9" w:rsidP="3845A57C" w:rsidRDefault="00B036D9" w14:paraId="028B2C13" w14:textId="28F72CB8">
      <w:pPr>
        <w:pStyle w:val="FootnoteText"/>
        <w:rPr>
          <w:rFonts w:eastAsia="Calibri" w:asciiTheme="minorHAnsi" w:hAnsiTheme="minorHAnsi" w:cstheme="minorBidi"/>
          <w:sz w:val="16"/>
          <w:szCs w:val="16"/>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Congreso de la República.</w:t>
      </w:r>
      <w:r w:rsidRPr="3845A57C" w:rsidR="3845A57C">
        <w:rPr>
          <w:rFonts w:ascii="Calibri" w:hAnsi="Calibri" w:eastAsia="Calibri" w:cs="Calibri"/>
          <w:i/>
          <w:iCs/>
          <w:sz w:val="16"/>
          <w:szCs w:val="16"/>
        </w:rPr>
        <w:t xml:space="preserve"> </w:t>
      </w:r>
      <w:r w:rsidRPr="3845A57C" w:rsidR="3845A57C">
        <w:rPr>
          <w:rFonts w:ascii="Calibri" w:hAnsi="Calibri" w:eastAsia="Calibri" w:cs="Calibri"/>
          <w:i/>
          <w:iCs/>
          <w:sz w:val="16"/>
          <w:szCs w:val="16"/>
          <w:lang w:val="es-CO"/>
        </w:rPr>
        <w:t>Ley 2273 del 5 de noviembre de 2022</w:t>
      </w:r>
      <w:r w:rsidRPr="7DF7D6D5" w:rsidR="3845A57C">
        <w:rPr>
          <w:rFonts w:ascii="Calibri" w:hAnsi="Calibri" w:eastAsia="Calibri" w:cs="Calibri"/>
          <w:sz w:val="16"/>
          <w:szCs w:val="16"/>
          <w:lang w:val="es-CO"/>
        </w:rPr>
        <w:t>.</w:t>
      </w:r>
    </w:p>
  </w:footnote>
  <w:footnote w:id="10">
    <w:p w:rsidR="00B234F0" w:rsidP="3845A57C" w:rsidRDefault="00B234F0" w14:paraId="564638A6" w14:textId="673EFBA0">
      <w:pPr>
        <w:pStyle w:val="FootnoteText"/>
        <w:rPr>
          <w:rFonts w:asciiTheme="minorHAnsi" w:hAnsiTheme="minorHAnsi" w:cstheme="minorBidi"/>
          <w:sz w:val="18"/>
          <w:szCs w:val="18"/>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Ministerio de Minas y Energía. Borrador del articulado publicado el 16 de febrero de 2024. Disponible en: https://www.minenergia.gov.co/es/sala-de-prensa/noticias-index/el-borrador-del-articulado-de-la-ley-minera-disponible-al-publico-desde-hoy/</w:t>
      </w:r>
    </w:p>
  </w:footnote>
  <w:footnote w:id="11">
    <w:p w:rsidRPr="00581B66" w:rsidR="002C4045" w:rsidP="3845A57C" w:rsidRDefault="002C4045" w14:paraId="07EC806A" w14:textId="3D38BA23">
      <w:pPr>
        <w:pStyle w:val="FootnoteText"/>
        <w:rPr>
          <w:rFonts w:eastAsia="Calibri" w:asciiTheme="minorHAnsi" w:hAnsiTheme="minorHAnsi" w:cstheme="minorBidi"/>
          <w:color w:val="000000" w:themeColor="text1"/>
          <w:sz w:val="18"/>
          <w:szCs w:val="18"/>
          <w:lang w:val="es-CO"/>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color w:val="000000" w:themeColor="text1"/>
          <w:sz w:val="16"/>
          <w:szCs w:val="16"/>
          <w:lang w:val="es-CO"/>
        </w:rPr>
        <w:t xml:space="preserve">Demanda de inconstitucionalidad contra el Artículo 37 de la Ley 685 de 2001 y del Artículo 2º (parcial) del Decreto 0934 de 2013. </w:t>
      </w:r>
    </w:p>
  </w:footnote>
  <w:footnote w:id="12">
    <w:p w:rsidRPr="00581B66" w:rsidR="002C4045" w:rsidP="3845A57C" w:rsidRDefault="002C4045" w14:paraId="15986E86" w14:textId="77D52FE3">
      <w:pPr>
        <w:pStyle w:val="FootnoteText"/>
        <w:rPr>
          <w:rFonts w:ascii="Calibri" w:hAnsi="Calibri" w:eastAsia="Calibri" w:cs="Calibri"/>
          <w:sz w:val="16"/>
          <w:szCs w:val="16"/>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Corte Constitucional de Colombia.</w:t>
      </w:r>
      <w:r w:rsidRPr="3845A57C" w:rsidR="3845A57C">
        <w:rPr>
          <w:rFonts w:ascii="Calibri" w:hAnsi="Calibri" w:eastAsia="Calibri" w:cs="Calibri"/>
          <w:i/>
          <w:iCs/>
          <w:sz w:val="16"/>
          <w:szCs w:val="16"/>
        </w:rPr>
        <w:t xml:space="preserve"> Sentencia C-339 de 2002</w:t>
      </w:r>
      <w:r w:rsidRPr="7DF7D6D5" w:rsidR="3845A57C">
        <w:rPr>
          <w:rFonts w:ascii="Calibri" w:hAnsi="Calibri" w:eastAsia="Calibri" w:cs="Calibri"/>
          <w:sz w:val="16"/>
          <w:szCs w:val="16"/>
        </w:rPr>
        <w:t>.</w:t>
      </w:r>
    </w:p>
  </w:footnote>
  <w:footnote w:id="13">
    <w:p w:rsidRPr="00581B66" w:rsidR="002C4045" w:rsidP="3845A57C" w:rsidRDefault="002C4045" w14:paraId="02B69F3F" w14:textId="6AF8E4DC">
      <w:pPr>
        <w:pStyle w:val="FootnoteText"/>
        <w:rPr>
          <w:rFonts w:ascii="Calibri" w:hAnsi="Calibri" w:eastAsia="Calibri" w:cs="Calibri"/>
          <w:color w:val="000000" w:themeColor="text1"/>
          <w:sz w:val="16"/>
          <w:szCs w:val="16"/>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Congreso de la República. </w:t>
      </w:r>
      <w:r w:rsidRPr="3845A57C" w:rsidR="3845A57C">
        <w:rPr>
          <w:rFonts w:ascii="Calibri" w:hAnsi="Calibri" w:eastAsia="Calibri" w:cs="Calibri"/>
          <w:i/>
          <w:iCs/>
          <w:color w:val="000000" w:themeColor="text1"/>
          <w:sz w:val="16"/>
          <w:szCs w:val="16"/>
        </w:rPr>
        <w:t>Ley 685 de 2001, Artículo 35</w:t>
      </w:r>
      <w:r w:rsidRPr="7DF7D6D5" w:rsidR="3845A57C">
        <w:rPr>
          <w:rFonts w:ascii="Calibri" w:hAnsi="Calibri" w:eastAsia="Calibri" w:cs="Calibri"/>
          <w:color w:val="000000" w:themeColor="text1"/>
          <w:sz w:val="16"/>
          <w:szCs w:val="16"/>
        </w:rPr>
        <w:t>.</w:t>
      </w:r>
    </w:p>
  </w:footnote>
  <w:footnote w:id="14">
    <w:p w:rsidRPr="00581B66" w:rsidR="002C4045" w:rsidP="3845A57C" w:rsidRDefault="002C4045" w14:paraId="481334C5" w14:textId="0EDFDCBA">
      <w:pPr>
        <w:pStyle w:val="FootnoteText"/>
        <w:rPr>
          <w:rFonts w:asciiTheme="minorHAnsi" w:hAnsiTheme="minorHAnsi" w:cstheme="minorBidi"/>
          <w:sz w:val="18"/>
          <w:szCs w:val="18"/>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color w:val="000000" w:themeColor="text1"/>
          <w:sz w:val="16"/>
          <w:szCs w:val="16"/>
          <w:lang w:val="es-CO"/>
        </w:rPr>
        <w:t>En los términos de lo establecido en el Artículo 34 de la Ley 685 de 2001.</w:t>
      </w:r>
    </w:p>
  </w:footnote>
  <w:footnote w:id="15">
    <w:p w:rsidRPr="000936BD" w:rsidR="002C4045" w:rsidP="3845A57C" w:rsidRDefault="002C4045" w14:paraId="00D38EDD" w14:textId="6316CFB8">
      <w:pPr>
        <w:pStyle w:val="FootnoteText"/>
        <w:spacing w:line="257" w:lineRule="auto"/>
        <w:rPr>
          <w:rFonts w:eastAsia="Calibri" w:asciiTheme="minorHAnsi" w:hAnsiTheme="minorHAnsi" w:cstheme="minorBidi"/>
          <w:color w:val="000000" w:themeColor="text1"/>
          <w:sz w:val="18"/>
          <w:szCs w:val="18"/>
          <w:vertAlign w:val="superscript"/>
          <w:lang w:val="es"/>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El principio de precaución señala que, en caso de presentarse una falta de certeza científica absoluta frente a la exploración o explotación minera de una zona determinada, la decisión debe inclinarse necesariamente hacia la protección de medio ambiente, pues si se adelanta la actividad minera y luego se demuestra que ocasionaba un grave daño ambiental, sería imposible revertir sus consecuencias. Esto en concordancia con la Sentencia C-339 de 2002 de la Corte Constitucional de Colombia.</w:t>
      </w:r>
    </w:p>
  </w:footnote>
  <w:footnote w:id="16">
    <w:p w:rsidRPr="000936BD" w:rsidR="00581B66" w:rsidP="3845A57C" w:rsidRDefault="00581B66" w14:paraId="5A62AE73" w14:textId="031AF1EF">
      <w:pPr>
        <w:pStyle w:val="FootnoteText"/>
        <w:rPr>
          <w:rFonts w:ascii="Calibri" w:hAnsi="Calibri" w:eastAsia="Calibri" w:cs="Calibri"/>
          <w:sz w:val="16"/>
          <w:szCs w:val="16"/>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Resultado de una acción popular como Medio de control de protección de los derechos e intereses colectivos, dictada el 6 de diciembre de 2018 por el Tribunal Administrativo de Cundinamarca en primera instancia, y confirmada y modificada el 4 de agosto de 2022 por el Consejo de Estado.</w:t>
      </w:r>
    </w:p>
  </w:footnote>
  <w:footnote w:id="17">
    <w:p w:rsidRPr="000936BD" w:rsidR="00581B66" w:rsidP="3845A57C" w:rsidRDefault="00581B66" w14:paraId="6033D289" w14:textId="11D0DBB7">
      <w:pPr>
        <w:pStyle w:val="FootnoteText"/>
        <w:rPr>
          <w:rFonts w:asciiTheme="minorHAnsi" w:hAnsiTheme="minorHAnsi" w:cstheme="minorBidi"/>
          <w:sz w:val="18"/>
          <w:szCs w:val="18"/>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color w:val="000000" w:themeColor="text1"/>
          <w:sz w:val="16"/>
          <w:szCs w:val="16"/>
          <w:lang w:val="es-CO"/>
        </w:rPr>
        <w:t>Esta sentencia, en su parte resolutiva (Artículo 3º, Numeral 1º), ordena al Ministerio de Ambiente y Desarrollo Sostenible, al Ministerio de Minas y Energía y a la Agencia Nacional de Minería que apliquen los artículos 16, 34, 36, 53, 270, 201, 271, 273 y 274 de la Ley 685 de 2001 – Código de Minas, respetando lo resuelto por la Corte Constitucional en las sentencias: C–339 de 2002, C–443 de 2009 y C–389 de 2016.</w:t>
      </w:r>
    </w:p>
  </w:footnote>
  <w:footnote w:id="18">
    <w:p w:rsidRPr="00E748DF" w:rsidR="00E748DF" w:rsidP="3845A57C" w:rsidRDefault="00E748DF" w14:paraId="5B8D09D5" w14:textId="1A954E1F">
      <w:pPr>
        <w:pStyle w:val="FootnoteText"/>
        <w:rPr>
          <w:rFonts w:asciiTheme="minorHAnsi" w:hAnsiTheme="minorHAnsi" w:cstheme="minorBidi"/>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Ministerio de Minas y Energía. (s.f.) Proyecto de resolución para la adopción de Política de Derechos Humanos del Sector Minero Energético. Disponible en: https://www.minenergia.gov.co/documents/8314/250718_Proyecto_Resolucion_DDHH_300718.pdf</w:t>
      </w:r>
    </w:p>
  </w:footnote>
  <w:footnote w:id="19">
    <w:p w:rsidRPr="00EC0B16" w:rsidR="00E748DF" w:rsidP="3845A57C" w:rsidRDefault="00E748DF" w14:paraId="226C6BAD" w14:textId="3793F601">
      <w:pPr>
        <w:pStyle w:val="FootnoteText"/>
        <w:rPr>
          <w:rFonts w:ascii="Calibri" w:hAnsi="Calibri" w:cs="Calibri"/>
          <w:sz w:val="18"/>
          <w:szCs w:val="18"/>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Ministerio de Minas y Energía.</w:t>
      </w:r>
      <w:r w:rsidRPr="3845A57C" w:rsidR="3845A57C">
        <w:rPr>
          <w:rFonts w:ascii="Calibri" w:hAnsi="Calibri" w:eastAsia="Calibri" w:cs="Calibri"/>
          <w:i/>
          <w:iCs/>
          <w:sz w:val="16"/>
          <w:szCs w:val="16"/>
        </w:rPr>
        <w:t xml:space="preserve"> Resolución 40209 de 2022 del 10 de junio de 2022, </w:t>
      </w:r>
      <w:r w:rsidRPr="7DF7D6D5" w:rsidR="3845A57C">
        <w:rPr>
          <w:rFonts w:ascii="Calibri" w:hAnsi="Calibri" w:eastAsia="Calibri" w:cs="Calibri"/>
          <w:sz w:val="16"/>
          <w:szCs w:val="16"/>
        </w:rPr>
        <w:t>”por medio de la cual se actualiza la Política Nacional de Seguridad Minera“. Disponible en: https://acmineria.com.co/acm/wp-content/uploads/2022/06/Resoluci%C3%B3n-40209-de-2022.pdf</w:t>
      </w:r>
    </w:p>
  </w:footnote>
  <w:footnote w:id="20">
    <w:p w:rsidRPr="00E748DF" w:rsidR="00E9513B" w:rsidP="3845A57C" w:rsidRDefault="00E9513B" w14:paraId="435C50C5" w14:textId="41BCD809">
      <w:pPr>
        <w:pStyle w:val="FootnoteText"/>
        <w:rPr>
          <w:rFonts w:asciiTheme="minorHAnsi" w:hAnsiTheme="minorHAnsi" w:cstheme="minorBidi"/>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Ministerio de Minas y Energía. (2022). </w:t>
      </w:r>
      <w:r w:rsidRPr="3845A57C" w:rsidR="3845A57C">
        <w:rPr>
          <w:rFonts w:ascii="Calibri" w:hAnsi="Calibri" w:eastAsia="Calibri" w:cs="Calibri"/>
          <w:i/>
          <w:iCs/>
          <w:sz w:val="16"/>
          <w:szCs w:val="16"/>
        </w:rPr>
        <w:t>Política Pública para la Minería de Subsistencia en Colombia</w:t>
      </w:r>
      <w:r w:rsidRPr="7DF7D6D5" w:rsidR="3845A57C">
        <w:rPr>
          <w:rFonts w:ascii="Calibri" w:hAnsi="Calibri" w:eastAsia="Calibri" w:cs="Calibri"/>
          <w:sz w:val="16"/>
          <w:szCs w:val="16"/>
        </w:rPr>
        <w:t>. Disponible en: https://www.minenergia.gov.co/documents/5975/DT_Se_adopta_la_Pol%C3%ADtica_Nacional_para_la_miner%C3%ADa_de_Subsistencia.pdf</w:t>
      </w:r>
    </w:p>
  </w:footnote>
  <w:footnote w:id="21">
    <w:p w:rsidRPr="00EC0B16" w:rsidR="00EC0B16" w:rsidP="3845A57C" w:rsidRDefault="00EC0B16" w14:paraId="4DC07E65" w14:textId="05363952">
      <w:pPr>
        <w:pStyle w:val="FootnoteText"/>
        <w:rPr>
          <w:rFonts w:asciiTheme="minorHAnsi" w:hAnsiTheme="minorHAnsi" w:cstheme="minorBidi"/>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Ministerio de Minas y Energía &amp; Agencia Nacional de Minería. (2023). </w:t>
      </w:r>
      <w:r w:rsidRPr="3845A57C" w:rsidR="3845A57C">
        <w:rPr>
          <w:rFonts w:ascii="Calibri" w:hAnsi="Calibri" w:eastAsia="Calibri" w:cs="Calibri"/>
          <w:i/>
          <w:iCs/>
          <w:sz w:val="16"/>
          <w:szCs w:val="16"/>
        </w:rPr>
        <w:t>Plan Único de Legalización y Formalización Minera</w:t>
      </w:r>
      <w:r w:rsidRPr="7DF7D6D5" w:rsidR="3845A57C">
        <w:rPr>
          <w:rFonts w:ascii="Calibri" w:hAnsi="Calibri" w:eastAsia="Calibri" w:cs="Calibri"/>
          <w:sz w:val="16"/>
          <w:szCs w:val="16"/>
        </w:rPr>
        <w:t>. Disponible en: https://www.minenergia.gov.co/documents/10010/Plan-unico-legalizaci%C3%B3n-y-formalizacion-minera-2023.pdf</w:t>
      </w:r>
    </w:p>
  </w:footnote>
  <w:footnote w:id="22">
    <w:p w:rsidRPr="00CF208F" w:rsidR="00EC0B16" w:rsidP="3845A57C" w:rsidRDefault="00EC0B16" w14:paraId="6A273E20" w14:textId="7261663F">
      <w:pPr>
        <w:pStyle w:val="FootnoteText"/>
        <w:rPr>
          <w:rFonts w:ascii="Calibri" w:hAnsi="Calibri" w:eastAsia="Calibri" w:cs="Calibri"/>
          <w:sz w:val="16"/>
          <w:szCs w:val="16"/>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Ministerio de Minas y Energía et al. (2023).</w:t>
      </w:r>
      <w:r w:rsidRPr="3845A57C" w:rsidR="3845A57C">
        <w:rPr>
          <w:rFonts w:ascii="Calibri" w:hAnsi="Calibri" w:eastAsia="Calibri" w:cs="Calibri"/>
          <w:i/>
          <w:iCs/>
          <w:sz w:val="16"/>
          <w:szCs w:val="16"/>
        </w:rPr>
        <w:t xml:space="preserve"> Plan de Acción Nacional sobre Mercurio en la Minería Artesanal y de Pequeña Escala en Colombia</w:t>
      </w:r>
      <w:r w:rsidRPr="7DF7D6D5" w:rsidR="3845A57C">
        <w:rPr>
          <w:rFonts w:ascii="Calibri" w:hAnsi="Calibri" w:eastAsia="Calibri" w:cs="Calibri"/>
          <w:sz w:val="16"/>
          <w:szCs w:val="16"/>
        </w:rPr>
        <w:t>. Disponible en: https://minamataconvention.org/sites/default/files/documents/national_action_plan/Colombia-ASGM-NAP-2024-SP.pdf</w:t>
      </w:r>
    </w:p>
  </w:footnote>
  <w:footnote w:id="23">
    <w:p w:rsidR="008A22DF" w:rsidP="3845A57C" w:rsidRDefault="008A22DF" w14:paraId="677F3D20" w14:textId="77777777">
      <w:pPr>
        <w:pStyle w:val="FootnoteText"/>
        <w:rPr>
          <w:rFonts w:asciiTheme="minorHAnsi" w:hAnsiTheme="minorHAnsi" w:cstheme="minorBidi"/>
          <w:sz w:val="18"/>
          <w:szCs w:val="18"/>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La inclusión de estos elementos puede contribuir a superar las brechas que históricamente se han tenido en el sector minero-energético en cuanto al acceso laboral, cargos de toma de decisión y gestión de espacios de cuidado. </w:t>
      </w:r>
    </w:p>
  </w:footnote>
  <w:footnote w:id="24">
    <w:p w:rsidR="008A22DF" w:rsidP="3845A57C" w:rsidRDefault="008A22DF" w14:paraId="1758DA61" w14:textId="36FFE187">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Para más información de los enfoques: PNUD. </w:t>
      </w:r>
      <w:r w:rsidRPr="7DF7D6D5" w:rsidR="3845A57C">
        <w:rPr>
          <w:rStyle w:val="Emphasis"/>
          <w:rFonts w:ascii="Calibri" w:hAnsi="Calibri" w:eastAsia="Calibri" w:cs="Calibri"/>
          <w:sz w:val="16"/>
          <w:szCs w:val="16"/>
        </w:rPr>
        <w:t>Enfoque diferencial e interseccional</w:t>
      </w:r>
      <w:r w:rsidRPr="7DF7D6D5" w:rsidR="3845A57C">
        <w:rPr>
          <w:rFonts w:ascii="Calibri" w:hAnsi="Calibri" w:eastAsia="Calibri" w:cs="Calibri"/>
          <w:sz w:val="16"/>
          <w:szCs w:val="16"/>
        </w:rPr>
        <w:t xml:space="preserve">. Disponible en: </w:t>
      </w:r>
      <w:hyperlink r:id="rId1">
        <w:r w:rsidRPr="7DF7D6D5" w:rsidR="3845A57C">
          <w:rPr>
            <w:rStyle w:val="Hyperlink"/>
            <w:rFonts w:ascii="Calibri" w:hAnsi="Calibri" w:eastAsia="Calibri" w:cs="Calibri"/>
            <w:sz w:val="16"/>
            <w:szCs w:val="16"/>
          </w:rPr>
          <w:t>https://www.undp.org/es/colombia/enfoque-2</w:t>
        </w:r>
      </w:hyperlink>
      <w:r w:rsidRPr="7DF7D6D5" w:rsidR="3845A57C">
        <w:rPr>
          <w:rFonts w:ascii="Calibri" w:hAnsi="Calibri" w:eastAsia="Calibri" w:cs="Calibri"/>
          <w:sz w:val="16"/>
          <w:szCs w:val="16"/>
        </w:rPr>
        <w:t>. Recuperado el 22 de mayo de 2025.</w:t>
      </w:r>
    </w:p>
  </w:footnote>
  <w:footnote w:id="25">
    <w:p w:rsidR="008A22DF" w:rsidP="3845A57C" w:rsidRDefault="008A22DF" w14:paraId="46BE8857" w14:textId="061C727B">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Resolución 40807 de 2018 del Ministerio de Minas y Energía; Resolución 40350 del 2021 del Ministerio de Minas y Energía. Véase también: Ley 2099 de 2021 y CONPES 4075 de 2022.</w:t>
      </w:r>
    </w:p>
  </w:footnote>
  <w:footnote w:id="26">
    <w:p w:rsidR="008A22DF" w:rsidP="3845A57C" w:rsidRDefault="008A22DF" w14:paraId="168147ED" w14:textId="056AF535">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El dióxido de carbono equivalente es una medida universal utilizada para indicar, en términos de CO2, el equivalente de cada uno de los gases de efecto invernadero con respecto a su potencial de calentamiento global.</w:t>
      </w:r>
    </w:p>
  </w:footnote>
  <w:footnote w:id="27">
    <w:p w:rsidR="008A22DF" w:rsidP="3845A57C" w:rsidRDefault="008A22DF" w14:paraId="3B2C8285" w14:textId="5B905816">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Asimismo, el país cuenta con insumos técnicos que permiten incorporar factores de riesgos climáticos, mediante instrumentos tales como la Tercer Comunicación Nacional de Cambio Climático, que presenta el análisis de riesgos tanto para la población como para los territorios (ocurrencia de eventos climáticos extremos, cambios graduales en la temperatura y la precipitación, pérdida de servicios ecosistémicos, entre otros) y los estudios que soportan la Estrategia Climática de Largo Plazo de Colombia E2050 para cumplir el Acuerdo de París, específicamente el Estudio de riesgo por efectos del cambio climático, donde se generan modelaciones probabilísticas de la amenaza para los fenómenos como Inundación, deslizamientos, sequía y otros fenómenos como los incendios forestales y los ciclones tropicales.</w:t>
      </w:r>
    </w:p>
  </w:footnote>
  <w:footnote w:id="28">
    <w:p w:rsidRPr="000D43A5" w:rsidR="007F1674" w:rsidP="3845A57C" w:rsidRDefault="007F1674" w14:paraId="5B2054A6" w14:textId="569200F8">
      <w:pPr>
        <w:pStyle w:val="FootnoteText"/>
        <w:rPr>
          <w:rFonts w:ascii="Calibri" w:hAnsi="Calibri" w:eastAsia="Calibri" w:cs="Calibri"/>
          <w:color w:val="000000" w:themeColor="text1"/>
          <w:sz w:val="16"/>
          <w:szCs w:val="16"/>
          <w:lang w:val="es-CO"/>
        </w:rPr>
      </w:pPr>
      <w:r w:rsidRPr="7DF7D6D5">
        <w:rPr>
          <w:rFonts w:ascii="Calibri" w:hAnsi="Calibri" w:eastAsia="Calibri" w:cs="Calibri"/>
          <w:sz w:val="16"/>
          <w:szCs w:val="16"/>
          <w:vertAlign w:val="superscript"/>
        </w:rPr>
        <w:footnoteRef/>
      </w:r>
      <w:r w:rsidRPr="7DF7D6D5" w:rsidR="3845A57C">
        <w:rPr>
          <w:rFonts w:ascii="Calibri" w:hAnsi="Calibri" w:eastAsia="Calibri" w:cs="Calibri"/>
          <w:color w:val="000000" w:themeColor="text1"/>
          <w:sz w:val="16"/>
          <w:szCs w:val="16"/>
          <w:lang w:val="es-CO"/>
        </w:rPr>
        <w:t xml:space="preserve"> Congreso de la República.</w:t>
      </w:r>
      <w:r w:rsidRPr="3845A57C" w:rsidR="3845A57C">
        <w:rPr>
          <w:rFonts w:ascii="Calibri" w:hAnsi="Calibri" w:eastAsia="Calibri" w:cs="Calibri"/>
          <w:i/>
          <w:iCs/>
          <w:color w:val="000000" w:themeColor="text1"/>
          <w:sz w:val="16"/>
          <w:szCs w:val="16"/>
          <w:lang w:val="es-CO"/>
        </w:rPr>
        <w:t xml:space="preserve"> Ley 685 de 2001 </w:t>
      </w:r>
      <w:r w:rsidRPr="7DF7D6D5" w:rsidR="3845A57C">
        <w:rPr>
          <w:rFonts w:ascii="Calibri" w:hAnsi="Calibri" w:eastAsia="Calibri" w:cs="Calibri"/>
          <w:color w:val="000000" w:themeColor="text1"/>
          <w:sz w:val="16"/>
          <w:szCs w:val="16"/>
          <w:lang w:val="es-CO"/>
        </w:rPr>
        <w:t>(Código de Minas). Artículo 13.</w:t>
      </w:r>
    </w:p>
  </w:footnote>
  <w:footnote w:id="29">
    <w:p w:rsidR="007F1674" w:rsidP="3845A57C" w:rsidRDefault="007F1674" w14:paraId="025C5A19" w14:textId="25BA118A">
      <w:pPr>
        <w:pStyle w:val="FootnoteText"/>
        <w:rPr>
          <w:rFonts w:ascii="Calibri" w:hAnsi="Calibri" w:eastAsia="Calibri" w:cs="Calibri"/>
          <w:sz w:val="16"/>
          <w:szCs w:val="16"/>
        </w:rPr>
      </w:pPr>
      <w:r w:rsidRPr="7DF7D6D5">
        <w:rPr>
          <w:rFonts w:ascii="Calibri" w:hAnsi="Calibri" w:eastAsia="Calibri" w:cs="Calibri"/>
          <w:sz w:val="16"/>
          <w:szCs w:val="16"/>
          <w:vertAlign w:val="superscript"/>
        </w:rPr>
        <w:footnoteRef/>
      </w:r>
      <w:r w:rsidRPr="7DF7D6D5" w:rsidR="3845A57C">
        <w:rPr>
          <w:rFonts w:ascii="Calibri" w:hAnsi="Calibri" w:eastAsia="Calibri" w:cs="Calibri"/>
          <w:sz w:val="16"/>
          <w:szCs w:val="16"/>
        </w:rPr>
        <w:t xml:space="preserve"> Presidencia de la República de Colombia. </w:t>
      </w:r>
      <w:r w:rsidRPr="3845A57C" w:rsidR="3845A57C">
        <w:rPr>
          <w:rFonts w:ascii="Calibri" w:hAnsi="Calibri" w:eastAsia="Calibri" w:cs="Calibri"/>
          <w:i/>
          <w:iCs/>
          <w:color w:val="000000" w:themeColor="text1"/>
          <w:sz w:val="16"/>
          <w:szCs w:val="16"/>
          <w:lang w:val="es-CO"/>
        </w:rPr>
        <w:t>Decreto 2811 de 1974</w:t>
      </w:r>
      <w:r w:rsidRPr="7DF7D6D5" w:rsidR="3845A57C">
        <w:rPr>
          <w:rFonts w:ascii="Calibri" w:hAnsi="Calibri" w:eastAsia="Calibri" w:cs="Calibri"/>
          <w:color w:val="000000" w:themeColor="text1"/>
          <w:sz w:val="16"/>
          <w:szCs w:val="16"/>
          <w:lang w:val="es-CO"/>
        </w:rPr>
        <w:t xml:space="preserve"> (Código Nacional de Recursos Naturales Renovables y de Protección al Medio Ambiente). Artículo 1º.</w:t>
      </w:r>
    </w:p>
  </w:footnote>
  <w:footnote w:id="30">
    <w:p w:rsidRPr="000D43A5" w:rsidR="00DB7D90" w:rsidP="3845A57C" w:rsidRDefault="00DB7D90" w14:paraId="05A00052" w14:textId="4BA17311">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Presidencia de la República. </w:t>
      </w:r>
      <w:r w:rsidRPr="3845A57C" w:rsidR="3845A57C">
        <w:rPr>
          <w:rFonts w:ascii="Calibri" w:hAnsi="Calibri" w:eastAsia="Calibri" w:cs="Calibri"/>
          <w:i/>
          <w:iCs/>
          <w:sz w:val="16"/>
          <w:szCs w:val="16"/>
        </w:rPr>
        <w:t>Decreto 2201 de 2003</w:t>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rPr>
        <w:t>Artículo 2º.</w:t>
      </w:r>
    </w:p>
  </w:footnote>
  <w:footnote w:id="31">
    <w:p w:rsidRPr="001F5EC1" w:rsidR="005B0F98" w:rsidP="3845A57C" w:rsidRDefault="005B0F98" w14:paraId="047FD5A5" w14:textId="77777777">
      <w:pPr>
        <w:pStyle w:val="FootnoteText"/>
        <w:rPr>
          <w:rFonts w:asciiTheme="minorHAnsi" w:hAnsiTheme="minorHAnsi" w:cstheme="minorBidi"/>
          <w:sz w:val="18"/>
          <w:szCs w:val="18"/>
          <w:lang w:val="es-CO"/>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rPr>
        <w:t>Se entiende por atender: acoger favorablemente por las entidades competentes de la función que asigna el Estado, en este caso para la planificación.</w:t>
      </w:r>
    </w:p>
    <w:p w:rsidR="005B0F98" w:rsidP="3845A57C" w:rsidRDefault="005B0F98" w14:paraId="3733D742" w14:textId="77777777">
      <w:pPr>
        <w:pStyle w:val="FootnoteText"/>
        <w:rPr>
          <w:rFonts w:cstheme="minorBidi"/>
          <w:lang w:val="es-CO"/>
        </w:rPr>
      </w:pPr>
    </w:p>
  </w:footnote>
  <w:footnote w:id="32">
    <w:p w:rsidR="005B0F98" w:rsidP="3845A57C" w:rsidRDefault="005B0F98" w14:paraId="5AD5E148" w14:textId="33D910CD">
      <w:pPr>
        <w:spacing w:after="0"/>
        <w:jc w:val="both"/>
        <w:rPr>
          <w:lang w:val="es-ES"/>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Ministerio de Ambiente y Desarrollo Sostenible. (2016). </w:t>
      </w:r>
      <w:r w:rsidRPr="3845A57C" w:rsidR="3845A57C">
        <w:rPr>
          <w:rFonts w:ascii="Calibri" w:hAnsi="Calibri" w:eastAsia="Calibri" w:cs="Calibri"/>
          <w:i/>
          <w:iCs/>
          <w:sz w:val="16"/>
          <w:szCs w:val="16"/>
        </w:rPr>
        <w:t>Diseño de una Estrategia Integral para la Gestión de los Pasivos Ambientales en Colombia</w:t>
      </w:r>
      <w:r w:rsidRPr="7DF7D6D5" w:rsidR="3845A57C">
        <w:rPr>
          <w:rFonts w:ascii="Calibri" w:hAnsi="Calibri" w:eastAsia="Calibri" w:cs="Calibri"/>
          <w:sz w:val="16"/>
          <w:szCs w:val="16"/>
        </w:rPr>
        <w:t xml:space="preserve">. </w:t>
      </w:r>
    </w:p>
  </w:footnote>
  <w:footnote w:id="33">
    <w:p w:rsidRPr="00684653" w:rsidR="00684653" w:rsidP="3845A57C" w:rsidRDefault="00684653" w14:paraId="353B33B7" w14:textId="31AA768F">
      <w:pPr>
        <w:pStyle w:val="FootnoteText"/>
        <w:rPr>
          <w:rFonts w:asciiTheme="minorHAnsi" w:hAnsiTheme="minorHAnsi" w:cstheme="minorBidi"/>
          <w:lang w:val="es-CO"/>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Esta situación se puso en evidencia en la Sentencia 2013-02459-01, indicando que esta falencia conlleva, entre otras, a la realización de procesos sin contar con la participación de instituciones o dependencias que trabajan temas similares, o normatividad e instrumentos contradictorios que pueden ser percibidos como positivos por el sector que los impulsa, pero como negativos por los potenciales impactos que su implementación genera.</w:t>
      </w:r>
    </w:p>
  </w:footnote>
  <w:footnote w:id="34">
    <w:p w:rsidRPr="00775B8F" w:rsidR="17F8AA9B" w:rsidP="3845A57C" w:rsidRDefault="17F8AA9B" w14:paraId="1FC65334" w14:textId="3C47CA16">
      <w:pPr>
        <w:pStyle w:val="FootnoteText"/>
        <w:rPr>
          <w:rFonts w:asciiTheme="minorHAnsi" w:hAnsiTheme="minorHAnsi" w:cstheme="minorBidi"/>
          <w:sz w:val="16"/>
          <w:szCs w:val="16"/>
        </w:rPr>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Consejo de Estado. Referencia: Medio de control de protección de los derechos e intereses colectivos. Radicación: 25000234100020130245901 (Sentencia de “Ventanilla Minera”).</w:t>
      </w:r>
    </w:p>
  </w:footnote>
  <w:footnote w:id="35">
    <w:p w:rsidR="17F8AA9B" w:rsidP="3845A57C" w:rsidRDefault="17F8AA9B" w14:paraId="12BF30FB" w14:textId="1F2D4667">
      <w:pPr>
        <w:pStyle w:val="FootnoteText"/>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Ibid.</w:t>
      </w:r>
    </w:p>
  </w:footnote>
  <w:footnote w:id="36">
    <w:p w:rsidR="17F8AA9B" w:rsidP="3845A57C" w:rsidRDefault="17F8AA9B" w14:paraId="208AEACB" w14:textId="5945DFE6">
      <w:pPr>
        <w:pStyle w:val="FootnoteText"/>
      </w:pPr>
      <w:r w:rsidRPr="7DF7D6D5">
        <w:rPr>
          <w:rFonts w:ascii="Calibri" w:hAnsi="Calibri" w:eastAsia="Calibri" w:cs="Calibri"/>
          <w:sz w:val="16"/>
          <w:szCs w:val="16"/>
        </w:rPr>
        <w:footnoteRef/>
      </w:r>
      <w:r w:rsidRPr="7DF7D6D5" w:rsidR="3845A57C">
        <w:rPr>
          <w:rFonts w:ascii="Calibri" w:hAnsi="Calibri" w:eastAsia="Calibri" w:cs="Calibri"/>
          <w:sz w:val="16"/>
          <w:szCs w:val="16"/>
        </w:rPr>
        <w:t xml:space="preserve"> Ibid. </w:t>
      </w:r>
    </w:p>
  </w:footnote>
  <w:footnote w:id="37">
    <w:p w:rsidRPr="009147B0" w:rsidR="00E74D6B" w:rsidP="3845A57C" w:rsidRDefault="00E74D6B" w14:paraId="59C66289" w14:textId="4096DE7A">
      <w:pPr>
        <w:pStyle w:val="FootnoteText"/>
        <w:rPr>
          <w:rFonts w:asciiTheme="minorHAnsi" w:hAnsiTheme="minorHAnsi" w:cstheme="minorBidi"/>
          <w:sz w:val="18"/>
          <w:szCs w:val="18"/>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V</w:t>
      </w:r>
      <w:r w:rsidRPr="7DF7D6D5" w:rsidR="3845A57C">
        <w:rPr>
          <w:rFonts w:ascii="Calibri" w:hAnsi="Calibri" w:eastAsia="Calibri" w:cs="Calibri"/>
          <w:sz w:val="16"/>
          <w:szCs w:val="16"/>
          <w:lang w:eastAsia="es-CO"/>
        </w:rPr>
        <w:t>igencias 2015-2016, 2017-2018 y 2018- 2019.</w:t>
      </w:r>
    </w:p>
  </w:footnote>
  <w:footnote w:id="38">
    <w:p w:rsidRPr="009147B0" w:rsidR="17F8AA9B" w:rsidP="3845A57C" w:rsidRDefault="17F8AA9B" w14:paraId="0A6C6D98" w14:textId="68D4478B">
      <w:pPr>
        <w:pStyle w:val="FootnoteText"/>
        <w:rPr>
          <w:rFonts w:asciiTheme="minorHAnsi" w:hAnsiTheme="minorHAnsi" w:cstheme="minorBidi"/>
          <w:sz w:val="16"/>
          <w:szCs w:val="16"/>
        </w:rPr>
      </w:pPr>
      <w:r w:rsidRPr="7DF7D6D5">
        <w:rPr>
          <w:rFonts w:ascii="Calibri" w:hAnsi="Calibri" w:eastAsia="Calibri" w:cs="Calibri"/>
          <w:sz w:val="16"/>
          <w:szCs w:val="16"/>
          <w:vertAlign w:val="superscript"/>
        </w:rPr>
        <w:footnoteRef/>
      </w:r>
      <w:r w:rsidRPr="7DF7D6D5" w:rsidR="3845A57C">
        <w:rPr>
          <w:rFonts w:ascii="Calibri" w:hAnsi="Calibri" w:eastAsia="Calibri" w:cs="Calibri"/>
          <w:sz w:val="16"/>
          <w:szCs w:val="16"/>
        </w:rPr>
        <w:t xml:space="preserve"> Consejo de Estado. Referencia: Medio de control de protección de los derechos e intereses colectivos. Radicación: 25000234100020130245901 (Sentencia de “Ventanilla Minera”).</w:t>
      </w:r>
    </w:p>
  </w:footnote>
  <w:footnote w:id="39">
    <w:p w:rsidRPr="009147B0" w:rsidR="00E74D6B" w:rsidP="3845A57C" w:rsidRDefault="00E74D6B" w14:paraId="2ABF0008" w14:textId="5765D770">
      <w:pPr>
        <w:pStyle w:val="FootnoteText"/>
        <w:rPr>
          <w:rFonts w:ascii="Calibri" w:hAnsi="Calibri" w:eastAsia="Calibri" w:cs="Calibri"/>
          <w:sz w:val="16"/>
          <w:szCs w:val="16"/>
          <w:lang w:val="es-CO" w:eastAsia="en-US"/>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Parques Nacionales Naturales de Colombia. (s.f.) </w:t>
      </w:r>
      <w:r w:rsidRPr="3845A57C" w:rsidR="3845A57C">
        <w:rPr>
          <w:rFonts w:ascii="Calibri" w:hAnsi="Calibri" w:eastAsia="Calibri" w:cs="Calibri"/>
          <w:i/>
          <w:iCs/>
          <w:sz w:val="16"/>
          <w:szCs w:val="16"/>
          <w:lang w:val="es-CO" w:eastAsia="en-US"/>
        </w:rPr>
        <w:t>Registro Único Nacional de Áreas Protegidas</w:t>
      </w:r>
      <w:r w:rsidRPr="7DF7D6D5" w:rsidR="3845A57C">
        <w:rPr>
          <w:rFonts w:ascii="Calibri" w:hAnsi="Calibri" w:eastAsia="Calibri" w:cs="Calibri"/>
          <w:sz w:val="16"/>
          <w:szCs w:val="16"/>
          <w:lang w:val="es-CO" w:eastAsia="en-US"/>
        </w:rPr>
        <w:t>. Disponible en: https://runap.parquesnacionales.gov.co/ https://runap.parquesnacionales.gov.co/</w:t>
      </w:r>
    </w:p>
  </w:footnote>
  <w:footnote w:id="40">
    <w:p w:rsidRPr="009147B0" w:rsidR="00E74D6B" w:rsidP="3845A57C" w:rsidRDefault="00E74D6B" w14:paraId="7C70F9B6" w14:textId="4926C641">
      <w:pPr>
        <w:pStyle w:val="FootnoteText"/>
        <w:rPr>
          <w:rFonts w:asciiTheme="minorHAnsi" w:hAnsiTheme="minorHAnsi" w:cstheme="minorBidi"/>
          <w:sz w:val="18"/>
          <w:szCs w:val="18"/>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Sistema de Información Ambiental para Colombia. Disponible en: http://www.siac.gov.co/</w:t>
      </w:r>
    </w:p>
  </w:footnote>
  <w:footnote w:id="41">
    <w:p w:rsidRPr="00B45D54" w:rsidR="00E74D6B" w:rsidP="3845A57C" w:rsidRDefault="00E74D6B" w14:paraId="1528ADE9" w14:textId="54B113CF">
      <w:pPr>
        <w:pStyle w:val="FootnoteText"/>
        <w:rPr>
          <w:rFonts w:ascii="Calibri" w:hAnsi="Calibri" w:eastAsia="Calibri" w:cs="Calibri"/>
          <w:sz w:val="16"/>
          <w:szCs w:val="16"/>
          <w:lang w:val="es-CO" w:eastAsia="en-US"/>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Lo anterior ha ocasionado que se desarrollen proyectos mineros con estándares minero-ambientales poco rigurosos, producto de la desarticulación entre autoridades minero ambientales que pueden representar un alto riesgo jurídico para la autoridad minera y ambiental, así como un impacto territorial negativo que puede generar conflictividad entre la comunidad, autoridades y titular minero.</w:t>
      </w:r>
    </w:p>
  </w:footnote>
  <w:footnote w:id="42">
    <w:p w:rsidRPr="007A2606" w:rsidR="00E74D6B" w:rsidP="3845A57C" w:rsidRDefault="00E74D6B" w14:paraId="54A4819C" w14:textId="1D29B2AF">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Congreso de la República. </w:t>
      </w:r>
      <w:r w:rsidRPr="3845A57C" w:rsidR="3845A57C">
        <w:rPr>
          <w:rFonts w:ascii="Calibri" w:hAnsi="Calibri" w:eastAsia="Calibri" w:cs="Calibri"/>
          <w:i/>
          <w:iCs/>
          <w:sz w:val="16"/>
          <w:szCs w:val="16"/>
        </w:rPr>
        <w:t>Ley 2056 de 2020</w:t>
      </w:r>
      <w:r w:rsidRPr="7DF7D6D5" w:rsidR="3845A57C">
        <w:rPr>
          <w:rFonts w:ascii="Calibri" w:hAnsi="Calibri" w:eastAsia="Calibri" w:cs="Calibri"/>
          <w:sz w:val="16"/>
          <w:szCs w:val="16"/>
        </w:rPr>
        <w:t>.</w:t>
      </w:r>
    </w:p>
  </w:footnote>
  <w:footnote w:id="43">
    <w:p w:rsidRPr="00B45D54" w:rsidR="00E74D6B" w:rsidP="3845A57C" w:rsidRDefault="00E74D6B" w14:paraId="460D1FD4" w14:textId="69178DE2">
      <w:pPr>
        <w:pStyle w:val="FootnoteText"/>
        <w:rPr>
          <w:rFonts w:ascii="Calibri" w:hAnsi="Calibri" w:eastAsia="Calibri" w:cs="Calibri"/>
          <w:sz w:val="16"/>
          <w:szCs w:val="16"/>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Debe precisarse que existe un subregistro, por lo tanto, las cifras reales podrían superar los 122,4 trabajadores fallecidos.</w:t>
      </w:r>
    </w:p>
  </w:footnote>
  <w:footnote w:id="44">
    <w:p w:rsidRPr="00B45D54" w:rsidR="00E74D6B" w:rsidP="3845A57C" w:rsidRDefault="00E74D6B" w14:paraId="008ADFE9" w14:textId="7EE6B644">
      <w:pPr>
        <w:pStyle w:val="FootnoteText"/>
        <w:rPr>
          <w:rFonts w:asciiTheme="minorHAnsi" w:hAnsiTheme="minorHAnsi" w:eastAsiaTheme="minorEastAsia" w:cstheme="minorBidi"/>
          <w:sz w:val="18"/>
          <w:szCs w:val="18"/>
          <w:lang w:val="es-CO" w:eastAsia="en-US"/>
        </w:rPr>
      </w:pPr>
      <w:r w:rsidRPr="7DF7D6D5">
        <w:rPr>
          <w:rStyle w:val="FootnoteReference"/>
          <w:rFonts w:ascii="Calibri" w:hAnsi="Calibri" w:eastAsia="Calibri" w:cs="Calibri"/>
          <w:kern w:val="2"/>
          <w:sz w:val="16"/>
          <w:szCs w:val="16"/>
          <w14:ligatures w14:val="standardContextual"/>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Esto ha ocasionado que se presenten accidentes que inciden en el deterioro de la imagen de los proyectos mineros por su alto nivel de riesgo, y en muchos casos han generado el rechazo de éstos por parte de las comunidades, porque se considera que generan un impacto negativo por la pérdida de vidas humanas y afectación al medio ambiente.</w:t>
      </w:r>
    </w:p>
  </w:footnote>
  <w:footnote w:id="45">
    <w:p w:rsidR="00470F04" w:rsidP="3845A57C" w:rsidRDefault="00470F04" w14:paraId="3558F53F" w14:textId="4B2C3630">
      <w:pPr>
        <w:pStyle w:val="FootnoteText"/>
        <w:rPr>
          <w:rFonts w:ascii="Calibri" w:hAnsi="Calibri" w:cs="Calibri"/>
          <w:sz w:val="18"/>
          <w:szCs w:val="18"/>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En Colombia, la actividad minera ocupa un lugar estratégico dentro del modelo de desarrollo económico nacional, reconocida como una actividad de interés general y de desarrollo prioritario. Según lo establece la Ley 685 de 2001 (Código de Minas), la minería no solo es fuente de ingresos y empleo, sino también un sector que genera profundos impactos sociales, territoriales y ambientales. En este contexto, las decisiones judiciales, en particular las proferidas por la Corte Constitucional, han adquirido una relevancia fundamental en la orientación y transformación del marco regulatorio minero. Las sentencias emitidas en el marco de acciones de inconstitucionalidad, nulidad, tutelas y otros medios de control no se limitan a resolver conflictos puntuales. Por el contrario, conforman un cuerpo jurisprudencial que interpreta la Constitución a la luz de los desafíos que plantea el desarrollo minero. Estas decisiones han evidenciado la necesidad de replantear normas, procedimientos y enfoques para garantizar que la política minera responda a los principios del Estado Social de Derecho: sostenibilidad ambiental, equidad, protección de derechos fundamentales y participación ciudadana.</w:t>
      </w:r>
    </w:p>
  </w:footnote>
  <w:footnote w:id="46">
    <w:p w:rsidR="00470F04" w:rsidP="3845A57C" w:rsidRDefault="00470F04" w14:paraId="30C53E77" w14:textId="0F22552D">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Corte Constitucional de Colombia. </w:t>
      </w:r>
      <w:r w:rsidRPr="3845A57C" w:rsidR="3845A57C">
        <w:rPr>
          <w:rFonts w:ascii="Calibri" w:hAnsi="Calibri" w:eastAsia="Calibri" w:cs="Calibri"/>
          <w:i/>
          <w:iCs/>
          <w:sz w:val="16"/>
          <w:szCs w:val="16"/>
        </w:rPr>
        <w:t>Sentencia T-455 de 2016</w:t>
      </w:r>
      <w:r w:rsidRPr="7DF7D6D5" w:rsidR="3845A57C">
        <w:rPr>
          <w:rFonts w:ascii="Calibri" w:hAnsi="Calibri" w:eastAsia="Calibri" w:cs="Calibri"/>
          <w:sz w:val="16"/>
          <w:szCs w:val="16"/>
        </w:rPr>
        <w:t xml:space="preserve">. </w:t>
      </w:r>
    </w:p>
  </w:footnote>
  <w:footnote w:id="47">
    <w:p w:rsidRPr="008924B2" w:rsidR="008924B2" w:rsidP="3845A57C" w:rsidRDefault="008924B2" w14:paraId="52B22EFC" w14:textId="575AF12E">
      <w:pPr>
        <w:pStyle w:val="FootnoteText"/>
        <w:shd w:val="clear" w:color="auto" w:fill="FFFFFF" w:themeFill="background1"/>
        <w:spacing w:after="120"/>
        <w:rPr>
          <w:rFonts w:asciiTheme="minorHAnsi" w:hAnsiTheme="minorHAnsi" w:cstheme="minorBidi"/>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Defensoría del Pueblo de Colombia. (2024). </w:t>
      </w:r>
      <w:r w:rsidRPr="3845A57C" w:rsidR="3845A57C">
        <w:rPr>
          <w:rFonts w:ascii="Calibri" w:hAnsi="Calibri" w:eastAsia="Calibri" w:cs="Calibri"/>
          <w:i/>
          <w:iCs/>
          <w:color w:val="272833"/>
          <w:sz w:val="16"/>
          <w:szCs w:val="16"/>
        </w:rPr>
        <w:t xml:space="preserve">Conflictos sociales en el sector minero-energético aumentaron un 46% durante el 2023 en Colombia. </w:t>
      </w:r>
      <w:r w:rsidRPr="3845A57C" w:rsidR="3845A57C">
        <w:rPr>
          <w:rFonts w:ascii="Calibri" w:hAnsi="Calibri" w:eastAsia="Calibri" w:cs="Calibri"/>
          <w:color w:val="272833"/>
          <w:sz w:val="16"/>
          <w:szCs w:val="16"/>
        </w:rPr>
        <w:t>Disponible en:</w:t>
      </w:r>
      <w:r w:rsidRPr="3845A57C" w:rsidR="3845A57C">
        <w:rPr>
          <w:rFonts w:ascii="Calibri" w:hAnsi="Calibri" w:eastAsia="Calibri" w:cs="Calibri"/>
          <w:i/>
          <w:iCs/>
          <w:color w:val="272833"/>
          <w:sz w:val="16"/>
          <w:szCs w:val="16"/>
        </w:rPr>
        <w:t xml:space="preserve"> </w:t>
      </w:r>
      <w:r w:rsidRPr="7DF7D6D5" w:rsidR="3845A57C">
        <w:rPr>
          <w:rFonts w:ascii="Calibri" w:hAnsi="Calibri" w:eastAsia="Calibri" w:cs="Calibri"/>
          <w:sz w:val="16"/>
          <w:szCs w:val="16"/>
        </w:rPr>
        <w:t>https://www.defensoria.gov.co/-/conflictos-sociales-en-el-sector-minero-energ%C3%A9tico-aumentaron-un-46-durante-el-2023-en-colombia</w:t>
      </w:r>
    </w:p>
  </w:footnote>
  <w:footnote w:id="48">
    <w:p w:rsidR="00470F04" w:rsidP="3845A57C" w:rsidRDefault="00470F04" w14:paraId="47BB9258" w14:textId="16099D4E">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Corte Constitucional de Colombia. </w:t>
      </w:r>
      <w:r w:rsidRPr="3845A57C" w:rsidR="3845A57C">
        <w:rPr>
          <w:rFonts w:ascii="Calibri" w:hAnsi="Calibri" w:eastAsia="Calibri" w:cs="Calibri"/>
          <w:i/>
          <w:iCs/>
          <w:sz w:val="16"/>
          <w:szCs w:val="16"/>
        </w:rPr>
        <w:t>Sentencia T-445-2016</w:t>
      </w:r>
      <w:r w:rsidRPr="7DF7D6D5" w:rsidR="3845A57C">
        <w:rPr>
          <w:rFonts w:ascii="Calibri" w:hAnsi="Calibri" w:eastAsia="Calibri" w:cs="Calibri"/>
          <w:sz w:val="16"/>
          <w:szCs w:val="16"/>
        </w:rPr>
        <w:t>.</w:t>
      </w:r>
    </w:p>
  </w:footnote>
  <w:footnote w:id="49">
    <w:p w:rsidRPr="0087300A" w:rsidR="0087300A" w:rsidP="3845A57C" w:rsidRDefault="0087300A" w14:paraId="62792CB7" w14:textId="7B34DE43">
      <w:pPr>
        <w:jc w:val="both"/>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En la sentencia SU-095 de 2018, la Corte Constitucional señaló al respecto: “</w:t>
      </w:r>
      <w:r w:rsidRPr="3845A57C" w:rsidR="3845A57C">
        <w:rPr>
          <w:rFonts w:ascii="Calibri" w:hAnsi="Calibri" w:eastAsia="Calibri" w:cs="Calibri"/>
          <w:i/>
          <w:iCs/>
          <w:sz w:val="16"/>
          <w:szCs w:val="16"/>
        </w:rPr>
        <w:t xml:space="preserve">en lo relacionado con el sector minero, la Sala evidencia que en el trámite para el otorgamiento de un contrato único de concesión minera el Código de Minas (Ley 685 de 2001), las leyes estatutarias u orgánicas, los procedimientos administrativos u otras normas concomitantes no establecen un mecanismo de participación ciudadana, ni un instrumento en el que se aplique el artículo 288 constitucional que permita la concurrencia y coordinación del nivel nacional y territorial. Sin embargo, y en cumplimiento de lo dispuesto en las sentencias C-123 de 2014 y C -389 de 2016 la ANM diseñó e implementó el programa de relacionamiento con el territorio y en tal marco creó dos procedimientos específicos denominados: i) concertación con alcaldes como primera autoridad del municipio y, </w:t>
      </w:r>
      <w:proofErr w:type="spellStart"/>
      <w:r w:rsidRPr="3845A57C" w:rsidR="3845A57C">
        <w:rPr>
          <w:rFonts w:ascii="Calibri" w:hAnsi="Calibri" w:eastAsia="Calibri" w:cs="Calibri"/>
          <w:i/>
          <w:iCs/>
          <w:sz w:val="16"/>
          <w:szCs w:val="16"/>
        </w:rPr>
        <w:t>ii</w:t>
      </w:r>
      <w:proofErr w:type="spellEnd"/>
      <w:r w:rsidRPr="3845A57C" w:rsidR="3845A57C">
        <w:rPr>
          <w:rFonts w:ascii="Calibri" w:hAnsi="Calibri" w:eastAsia="Calibri" w:cs="Calibri"/>
          <w:i/>
          <w:iCs/>
          <w:sz w:val="16"/>
          <w:szCs w:val="16"/>
        </w:rPr>
        <w:t>) audiencias de participación mineras previo al otorgamiento del título minero.”</w:t>
      </w:r>
      <w:r w:rsidRPr="7DF7D6D5" w:rsidR="3845A57C">
        <w:rPr>
          <w:rFonts w:ascii="Calibri" w:hAnsi="Calibri" w:eastAsia="Calibri" w:cs="Calibri"/>
          <w:sz w:val="16"/>
          <w:szCs w:val="16"/>
        </w:rPr>
        <w:t xml:space="preserve"> </w:t>
      </w:r>
    </w:p>
  </w:footnote>
  <w:footnote w:id="50">
    <w:p w:rsidRPr="008924B2" w:rsidR="00470F04" w:rsidP="3845A57C" w:rsidRDefault="00470F04" w14:paraId="01EA0F3E" w14:textId="28B53CAC">
      <w:pPr>
        <w:pStyle w:val="FootnoteText"/>
        <w:rPr>
          <w:rStyle w:val="normaltextrun"/>
          <w:rFonts w:ascii="Calibri" w:hAnsi="Calibri" w:eastAsia="Calibri" w:cs="Calibri"/>
          <w:color w:val="000000" w:themeColor="text1"/>
          <w:sz w:val="16"/>
          <w:szCs w:val="16"/>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Style w:val="normaltextrun"/>
          <w:rFonts w:ascii="Calibri" w:hAnsi="Calibri" w:eastAsia="Calibri" w:cs="Calibri"/>
          <w:color w:val="000000"/>
          <w:sz w:val="16"/>
          <w:szCs w:val="16"/>
        </w:rPr>
        <w:t xml:space="preserve">Corte Constitucional de Colombia. </w:t>
      </w:r>
      <w:r w:rsidRPr="3845A57C" w:rsidR="3845A57C">
        <w:rPr>
          <w:rStyle w:val="normaltextrun"/>
          <w:rFonts w:ascii="Calibri" w:hAnsi="Calibri" w:eastAsia="Calibri" w:cs="Calibri"/>
          <w:i/>
          <w:iCs/>
          <w:color w:val="000000"/>
          <w:sz w:val="16"/>
          <w:szCs w:val="16"/>
        </w:rPr>
        <w:t>Sentencia SU-095 de 2018</w:t>
      </w:r>
      <w:r w:rsidRPr="7DF7D6D5" w:rsidR="3845A57C">
        <w:rPr>
          <w:rStyle w:val="normaltextrun"/>
          <w:rFonts w:ascii="Calibri" w:hAnsi="Calibri" w:eastAsia="Calibri" w:cs="Calibri"/>
          <w:color w:val="000000"/>
          <w:sz w:val="16"/>
          <w:szCs w:val="16"/>
        </w:rPr>
        <w:t>.</w:t>
      </w:r>
    </w:p>
  </w:footnote>
  <w:footnote w:id="51">
    <w:p w:rsidR="00470F04" w:rsidP="3845A57C" w:rsidRDefault="00470F04" w14:paraId="0B5765C3" w14:textId="78EA83D6">
      <w:pPr>
        <w:pStyle w:val="FootnoteText"/>
        <w:rPr>
          <w:rStyle w:val="eop"/>
          <w:rFonts w:ascii="Calibri" w:hAnsi="Calibri" w:eastAsia="Calibri" w:cs="Calibri"/>
          <w:color w:val="000000" w:themeColor="text1"/>
          <w:sz w:val="16"/>
          <w:szCs w:val="16"/>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Style w:val="normaltextrun"/>
          <w:rFonts w:ascii="Calibri" w:hAnsi="Calibri" w:eastAsia="Calibri" w:cs="Calibri"/>
          <w:color w:val="000000" w:themeColor="text1"/>
          <w:sz w:val="16"/>
          <w:szCs w:val="16"/>
          <w:lang w:val="es-CO"/>
        </w:rPr>
        <w:t>Corte Constitucional de Colombia.</w:t>
      </w:r>
      <w:r w:rsidRPr="7DF7D6D5" w:rsidR="3845A57C">
        <w:rPr>
          <w:rStyle w:val="normaltextrun"/>
          <w:rFonts w:ascii="Calibri" w:hAnsi="Calibri" w:eastAsia="Calibri" w:cs="Calibri"/>
          <w:color w:val="000000"/>
          <w:sz w:val="16"/>
          <w:szCs w:val="16"/>
          <w:shd w:val="clear" w:color="auto" w:fill="FFFFFF"/>
          <w:lang w:val="es-CO"/>
        </w:rPr>
        <w:t xml:space="preserve"> </w:t>
      </w:r>
      <w:r w:rsidRPr="3845A57C" w:rsidR="3845A57C">
        <w:rPr>
          <w:rStyle w:val="normaltextrun"/>
          <w:rFonts w:ascii="Calibri" w:hAnsi="Calibri" w:eastAsia="Calibri" w:cs="Calibri"/>
          <w:i/>
          <w:iCs/>
          <w:color w:val="000000"/>
          <w:sz w:val="16"/>
          <w:szCs w:val="16"/>
          <w:shd w:val="clear" w:color="auto" w:fill="FFFFFF"/>
          <w:lang w:val="es-CO"/>
        </w:rPr>
        <w:t>Sentencia T-445 de</w:t>
      </w:r>
      <w:r w:rsidRPr="3845A57C" w:rsidR="3845A57C">
        <w:rPr>
          <w:rStyle w:val="normaltextrun"/>
          <w:rFonts w:ascii="Calibri" w:hAnsi="Calibri" w:eastAsia="Calibri" w:cs="Calibri"/>
          <w:i/>
          <w:iCs/>
          <w:color w:val="000000" w:themeColor="text1"/>
          <w:sz w:val="16"/>
          <w:szCs w:val="16"/>
          <w:lang w:val="es-CO"/>
        </w:rPr>
        <w:t>2016</w:t>
      </w:r>
      <w:r w:rsidRPr="7DF7D6D5" w:rsidR="3845A57C">
        <w:rPr>
          <w:rStyle w:val="normaltextrun"/>
          <w:rFonts w:ascii="Calibri" w:hAnsi="Calibri" w:eastAsia="Calibri" w:cs="Calibri"/>
          <w:color w:val="000000" w:themeColor="text1"/>
          <w:sz w:val="16"/>
          <w:szCs w:val="16"/>
          <w:lang w:val="es-CO"/>
        </w:rPr>
        <w:t>,</w:t>
      </w:r>
    </w:p>
  </w:footnote>
  <w:footnote w:id="52">
    <w:p w:rsidRPr="00223AF7" w:rsidR="00223AF7" w:rsidP="3845A57C" w:rsidRDefault="00223AF7" w14:paraId="11261FBE" w14:textId="63E49438">
      <w:pPr>
        <w:pStyle w:val="FootnoteText"/>
        <w:rPr>
          <w:rFonts w:ascii="Calibri" w:hAnsi="Calibri" w:cs="Calibri"/>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La Carta Política de 1991 desarrolla el reconocimiento y la protección étnica, en los artículos 7, 8, 10, 13, 70, 72, 171, 176, 246, 329, 330.</w:t>
      </w:r>
    </w:p>
  </w:footnote>
  <w:footnote w:id="53">
    <w:p w:rsidR="00470F04" w:rsidP="3845A57C" w:rsidRDefault="00470F04" w14:paraId="7DA75144" w14:textId="77777777">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En el caso de La Guajira, por ejemplo, existen casi una decena de sentencias de altas cortes, a través de las cuales se ampararon los derechos fundamentales de las comunidades, vulnerados en el contexto de procesos de explotación minera. </w:t>
      </w:r>
    </w:p>
  </w:footnote>
  <w:footnote w:id="54">
    <w:p w:rsidRPr="00223AF7" w:rsidR="00223AF7" w:rsidP="3845A57C" w:rsidRDefault="00223AF7" w14:paraId="483330C5" w14:textId="4F756491">
      <w:pPr>
        <w:suppressAutoHyphens/>
        <w:autoSpaceDN w:val="0"/>
        <w:spacing w:line="251" w:lineRule="auto"/>
        <w:jc w:val="both"/>
        <w:textAlignment w:val="baseline"/>
        <w:rPr>
          <w:color w:val="000000"/>
          <w:sz w:val="18"/>
          <w:szCs w:val="18"/>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La Corte Constitucional, en cumplimiento del Convenio 169 de la OIT (Ley 21 de 1991) y la Constitución Política (arts. 1, 7, 40, 70, 329 y 330), ha reconocido como derecho fundamental la consulta previa, libre e informada frente a proyectos mineros que puedan generar afectación directa sobre los pueblos étnicamente diferenciados. Asimismo, ha establecido la exigencia del consentimiento previo, libre e informado (CPLI) cuando se verifiquen impactos significativos, tales como e</w:t>
      </w:r>
      <w:r w:rsidRPr="7DF7D6D5" w:rsidR="3845A57C">
        <w:rPr>
          <w:rFonts w:ascii="Calibri" w:hAnsi="Calibri" w:eastAsia="Calibri" w:cs="Calibri"/>
          <w:color w:val="000000" w:themeColor="text1"/>
          <w:sz w:val="16"/>
          <w:szCs w:val="16"/>
        </w:rPr>
        <w:t xml:space="preserve">l traslado o reubicación de la comunidad étnica de su lugar de asentamiento. </w:t>
      </w:r>
    </w:p>
    <w:p w:rsidRPr="00223AF7" w:rsidR="00223AF7" w:rsidP="3845A57C" w:rsidRDefault="00223AF7" w14:paraId="0763D185" w14:textId="6EE2CAFB">
      <w:pPr>
        <w:pStyle w:val="FootnoteText"/>
        <w:rPr>
          <w:lang w:val="es-CO"/>
        </w:rPr>
      </w:pPr>
    </w:p>
  </w:footnote>
  <w:footnote w:id="55">
    <w:p w:rsidRPr="008B0809" w:rsidR="008B0809" w:rsidP="3845A57C" w:rsidRDefault="008B0809" w14:paraId="41344314" w14:textId="06ABDB86">
      <w:pPr>
        <w:rPr>
          <w:rFonts w:eastAsia="Times New Roman"/>
          <w:kern w:val="0"/>
          <w:sz w:val="18"/>
          <w:szCs w:val="18"/>
          <w:lang w:val="es-ES" w:eastAsia="es-ES"/>
          <w14:ligatures w14:val="none"/>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kern w:val="0"/>
          <w:sz w:val="16"/>
          <w:szCs w:val="16"/>
          <w:lang w:val="es-ES" w:eastAsia="es-ES"/>
          <w14:ligatures w14:val="none"/>
        </w:rPr>
        <w:t xml:space="preserve">Para tener un contexto más amplio se deben tener en cuenta que existen prerrogativas y otras medidas para este tipo de solicitudes, tales como lo contenido en la Ley 2250 de 2022 y el Decreto 1396 de 2023. </w:t>
      </w:r>
    </w:p>
    <w:p w:rsidRPr="008B0809" w:rsidR="008B0809" w:rsidP="3845A57C" w:rsidRDefault="008B0809" w14:paraId="4E4C17CF" w14:textId="0CFE1CED">
      <w:pPr>
        <w:pStyle w:val="FootnoteText"/>
      </w:pPr>
    </w:p>
  </w:footnote>
  <w:footnote w:id="56">
    <w:p w:rsidRPr="002E0555" w:rsidR="002E0555" w:rsidP="3845A57C" w:rsidRDefault="002E0555" w14:paraId="427A1E04" w14:textId="5AE8B3D8">
      <w:pPr>
        <w:jc w:val="both"/>
        <w:rPr>
          <w:b/>
          <w:bCs/>
          <w:sz w:val="18"/>
          <w:szCs w:val="18"/>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Siguiendo el Artículo 2 , se entiende por minería tradicional aquellas actividades que realizan personas naturales o jurídicas, asociaciones o grupos de personas o comunidades o diferentes grupos asociativos de :trabajo que explotan minas de propiedad estatal sin título inscrito en el Registro Minero Nacional, que acrediten que los trabajos mineros se vienen adelantando en forma continua a través del tiempo, mediante documentación comercial o técnica o cualquier otro medio de prueba aceptado por la ley colombiana que demuestre la antigüedad de la actividad minera, y una presencia mínima en una zona de explotación minera no menor a diez (10) años, contados a partir de la fecha de promulgación de la presente Ley. </w:t>
      </w:r>
    </w:p>
    <w:p w:rsidRPr="002E0555" w:rsidR="002E0555" w:rsidP="3845A57C" w:rsidRDefault="002E0555" w14:paraId="61DE5339" w14:textId="77777777">
      <w:pPr>
        <w:pStyle w:val="FootnoteText"/>
        <w:rPr>
          <w:lang w:val="es-CO"/>
        </w:rPr>
      </w:pPr>
    </w:p>
  </w:footnote>
  <w:footnote w:id="57">
    <w:p w:rsidRPr="00B45D54" w:rsidR="007D08D3" w:rsidP="3D2173F3" w:rsidRDefault="007D08D3" w14:paraId="3DD339E2" w14:noSpellErr="1" w14:textId="5E9191BE">
      <w:pPr>
        <w:spacing w:after="0" w:line="240" w:lineRule="auto"/>
        <w:jc w:val="both"/>
        <w:textAlignment w:val="baseline"/>
        <w:rPr>
          <w:rFonts w:ascii="Calibri" w:hAnsi="Calibri" w:eastAsia="Calibri" w:cs="Calibri"/>
          <w:sz w:val="16"/>
          <w:szCs w:val="16"/>
        </w:rPr>
      </w:pPr>
      <w:r w:rsidRPr="7DF7D6D5">
        <w:rPr>
          <w:rStyle w:val="FootnoteReference"/>
          <w:rFonts w:ascii="Calibri" w:hAnsi="Calibri" w:eastAsia="Calibri" w:cs="Calibri"/>
          <w:sz w:val="16"/>
          <w:szCs w:val="16"/>
          <w:lang w:eastAsia="es-ES"/>
        </w:rPr>
        <w:footnoteRef/>
      </w:r>
      <w:r w:rsidRPr="3D2173F3" w:rsidR="3D2173F3">
        <w:rPr>
          <w:rFonts w:ascii="Calibri" w:hAnsi="Calibri" w:eastAsia="Calibri" w:cs="Calibri"/>
          <w:sz w:val="16"/>
          <w:szCs w:val="16"/>
        </w:rPr>
        <w:t xml:space="preserve"> </w:t>
      </w:r>
      <w:r w:rsidRPr="3D2173F3" w:rsidR="3D2173F3">
        <w:rPr>
          <w:rFonts w:ascii="Calibri" w:hAnsi="Calibri" w:eastAsia="Calibri" w:cs="Calibri"/>
          <w:sz w:val="16"/>
          <w:szCs w:val="16"/>
        </w:rPr>
        <w:t xml:space="preserve">Por alta accidentalidad MinTrabajo refuerza medidas de prevención en sector minero. </w:t>
      </w:r>
      <w:r w:rsidRPr="3D2173F3" w:rsidR="3D2173F3">
        <w:rPr>
          <w:rFonts w:ascii="Calibri" w:hAnsi="Calibri" w:eastAsia="Calibri" w:cs="Calibri"/>
          <w:sz w:val="16"/>
          <w:szCs w:val="16"/>
        </w:rPr>
        <w:t>MinTrabajo</w:t>
      </w:r>
      <w:r w:rsidRPr="3D2173F3" w:rsidR="3D2173F3">
        <w:rPr>
          <w:rFonts w:ascii="Calibri" w:hAnsi="Calibri" w:eastAsia="Calibri" w:cs="Calibri"/>
          <w:sz w:val="16"/>
          <w:szCs w:val="16"/>
        </w:rPr>
        <w:t>, 2023. Disponible en: https://www.mintrabajo.gov.co/comunicados/2023/abril/por-alta-accidentalidad-mintrabajo-refuerza-medidas-de-prevencion-en-sector-minero</w:t>
      </w:r>
    </w:p>
  </w:footnote>
  <w:footnote w:id="58">
    <w:p w:rsidRPr="00B45D54" w:rsidR="002C71D6" w:rsidP="3845A57C" w:rsidRDefault="002C71D6" w14:paraId="15A7D770" w14:textId="77777777">
      <w:pPr>
        <w:jc w:val="both"/>
        <w:textAlignment w:val="baseline"/>
        <w:rPr>
          <w:sz w:val="18"/>
          <w:szCs w:val="18"/>
        </w:rPr>
      </w:pPr>
      <w:r w:rsidRPr="7DF7D6D5">
        <w:rPr>
          <w:rStyle w:val="FootnoteReference"/>
          <w:rFonts w:ascii="Calibri" w:hAnsi="Calibri" w:eastAsia="Calibri" w:cs="Calibri"/>
          <w:sz w:val="16"/>
          <w:szCs w:val="16"/>
          <w:lang w:val="es-ES" w:eastAsia="es-ES"/>
        </w:rPr>
        <w:footnoteRef/>
      </w:r>
      <w:r w:rsidRPr="7DF7D6D5" w:rsidR="3845A57C">
        <w:rPr>
          <w:rFonts w:ascii="Calibri" w:hAnsi="Calibri" w:eastAsia="Calibri" w:cs="Calibri"/>
          <w:sz w:val="16"/>
          <w:szCs w:val="16"/>
        </w:rPr>
        <w:t xml:space="preserve"> Adicionalmente, la necesidad de que exista confianza recíproca del sector minero y de todas las instituciones estatales y de otro tipo es de vital importancia, con el fin de superar la estigmatización de la actividad minera desconociendo las particularidades que han llevado a desarrollo de la actividad de manera informal, lo que ha ocasionado poca armonía entre el estado y comunidades mineras de pequeña minería. </w:t>
      </w:r>
    </w:p>
  </w:footnote>
  <w:footnote w:id="59">
    <w:p w:rsidRPr="00026EF6" w:rsidR="004A2104" w:rsidP="3845A57C" w:rsidRDefault="004A2104" w14:paraId="20439A59" w14:textId="77777777">
      <w:pPr>
        <w:pStyle w:val="FootnoteText"/>
        <w:rPr>
          <w:rFonts w:ascii="Calibri" w:hAnsi="Calibri" w:cs="Calibri" w:eastAsiaTheme="minorEastAsia"/>
          <w:sz w:val="18"/>
          <w:szCs w:val="18"/>
          <w:lang w:val="es-CO" w:eastAsia="en-US"/>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 xml:space="preserve">Cubrimiento geofísico alcanzado a partir de la adquisición </w:t>
      </w:r>
      <w:proofErr w:type="spellStart"/>
      <w:r w:rsidRPr="7DF7D6D5" w:rsidR="3845A57C">
        <w:rPr>
          <w:rFonts w:ascii="Calibri" w:hAnsi="Calibri" w:eastAsia="Calibri" w:cs="Calibri"/>
          <w:sz w:val="16"/>
          <w:szCs w:val="16"/>
          <w:lang w:val="es-CO" w:eastAsia="en-US"/>
        </w:rPr>
        <w:t>aerogeofísica</w:t>
      </w:r>
      <w:proofErr w:type="spellEnd"/>
      <w:r w:rsidRPr="7DF7D6D5" w:rsidR="3845A57C">
        <w:rPr>
          <w:rFonts w:ascii="Calibri" w:hAnsi="Calibri" w:eastAsia="Calibri" w:cs="Calibri"/>
          <w:sz w:val="16"/>
          <w:szCs w:val="16"/>
          <w:lang w:val="es-CO" w:eastAsia="en-US"/>
        </w:rPr>
        <w:t xml:space="preserve"> de </w:t>
      </w:r>
      <w:proofErr w:type="spellStart"/>
      <w:r w:rsidRPr="7DF7D6D5" w:rsidR="3845A57C">
        <w:rPr>
          <w:rFonts w:ascii="Calibri" w:hAnsi="Calibri" w:eastAsia="Calibri" w:cs="Calibri"/>
          <w:sz w:val="16"/>
          <w:szCs w:val="16"/>
          <w:lang w:val="es-CO" w:eastAsia="en-US"/>
        </w:rPr>
        <w:t>gammaespectrometría</w:t>
      </w:r>
      <w:proofErr w:type="spellEnd"/>
      <w:r w:rsidRPr="7DF7D6D5" w:rsidR="3845A57C">
        <w:rPr>
          <w:rFonts w:ascii="Calibri" w:hAnsi="Calibri" w:eastAsia="Calibri" w:cs="Calibri"/>
          <w:sz w:val="16"/>
          <w:szCs w:val="16"/>
          <w:lang w:val="es-CO" w:eastAsia="en-US"/>
        </w:rPr>
        <w:t xml:space="preserve"> y magnetometría. </w:t>
      </w:r>
    </w:p>
  </w:footnote>
  <w:footnote w:id="60">
    <w:p w:rsidRPr="00026EF6" w:rsidR="5734DBB2" w:rsidP="3845A57C" w:rsidRDefault="5734DBB2" w14:paraId="0F4D45DC" w14:textId="7EDE218F">
      <w:pPr>
        <w:pStyle w:val="FootnoteText"/>
        <w:spacing w:before="240" w:after="240"/>
        <w:rPr>
          <w:rFonts w:ascii="Calibri" w:hAnsi="Calibri" w:cs="Calibri"/>
          <w:sz w:val="18"/>
          <w:szCs w:val="18"/>
        </w:rPr>
      </w:pPr>
      <w:r w:rsidRPr="7DF7D6D5">
        <w:rPr>
          <w:rFonts w:ascii="Calibri" w:hAnsi="Calibri" w:eastAsia="Calibri" w:cs="Calibri"/>
          <w:sz w:val="16"/>
          <w:szCs w:val="16"/>
          <w:vertAlign w:val="superscript"/>
        </w:rPr>
        <w:footnoteRef/>
      </w:r>
      <w:r w:rsidRPr="7DF7D6D5" w:rsidR="3845A57C">
        <w:rPr>
          <w:rFonts w:ascii="Calibri" w:hAnsi="Calibri" w:eastAsia="Calibri" w:cs="Calibri"/>
          <w:sz w:val="16"/>
          <w:szCs w:val="16"/>
        </w:rPr>
        <w:t xml:space="preserve"> Servicio Geológico Colombiano. (s.f.). </w:t>
      </w:r>
      <w:r w:rsidRPr="3845A57C" w:rsidR="3845A57C">
        <w:rPr>
          <w:rFonts w:ascii="Calibri" w:hAnsi="Calibri" w:eastAsia="Calibri" w:cs="Calibri"/>
          <w:i/>
          <w:iCs/>
          <w:sz w:val="16"/>
          <w:szCs w:val="16"/>
        </w:rPr>
        <w:t>Mapa de Anomalías Geofísicas</w:t>
      </w:r>
      <w:r w:rsidRPr="7DF7D6D5" w:rsidR="3845A57C">
        <w:rPr>
          <w:rFonts w:ascii="Calibri" w:hAnsi="Calibri" w:eastAsia="Calibri" w:cs="Calibri"/>
          <w:sz w:val="16"/>
          <w:szCs w:val="16"/>
        </w:rPr>
        <w:t>. Disponible en: https://srvags.sgc.gov.co/jsviewer/Mapa_de_Anomalias_Geofisicas_de_Colombia_2022/</w:t>
      </w:r>
    </w:p>
  </w:footnote>
  <w:footnote w:id="61">
    <w:p w:rsidRPr="00026EF6" w:rsidR="5734DBB2" w:rsidP="3845A57C" w:rsidRDefault="5734DBB2" w14:paraId="337AE6EE" w14:textId="1DFA2CC5">
      <w:pPr>
        <w:pStyle w:val="FootnoteText"/>
        <w:rPr>
          <w:rFonts w:ascii="Calibri" w:hAnsi="Calibri" w:cs="Calibri"/>
          <w:sz w:val="18"/>
          <w:szCs w:val="18"/>
        </w:rPr>
      </w:pPr>
      <w:r w:rsidRPr="7DF7D6D5">
        <w:rPr>
          <w:rFonts w:ascii="Calibri" w:hAnsi="Calibri" w:eastAsia="Calibri" w:cs="Calibri"/>
          <w:sz w:val="16"/>
          <w:szCs w:val="16"/>
          <w:vertAlign w:val="superscript"/>
        </w:rPr>
        <w:footnoteRef/>
      </w:r>
      <w:r w:rsidRPr="7DF7D6D5" w:rsidR="3845A57C">
        <w:rPr>
          <w:rFonts w:ascii="Calibri" w:hAnsi="Calibri" w:eastAsia="Calibri" w:cs="Calibri"/>
          <w:sz w:val="16"/>
          <w:szCs w:val="16"/>
        </w:rPr>
        <w:t xml:space="preserve"> Servicio Geológico Colombiano. (s.f.). </w:t>
      </w:r>
      <w:r w:rsidRPr="3845A57C" w:rsidR="3845A57C">
        <w:rPr>
          <w:rFonts w:ascii="Calibri" w:hAnsi="Calibri" w:eastAsia="Calibri" w:cs="Calibri"/>
          <w:i/>
          <w:iCs/>
          <w:sz w:val="16"/>
          <w:szCs w:val="16"/>
        </w:rPr>
        <w:t>Atlas Geoquímico de Colombia Versión 2020, 2018 y 2016</w:t>
      </w:r>
      <w:r w:rsidRPr="7DF7D6D5" w:rsidR="3845A57C">
        <w:rPr>
          <w:rFonts w:ascii="Calibri" w:hAnsi="Calibri" w:eastAsia="Calibri" w:cs="Calibri"/>
          <w:sz w:val="16"/>
          <w:szCs w:val="16"/>
        </w:rPr>
        <w:t>. Disponible en: https://www2.sgc.gov.co/sgc/mapas/Paginas/AtlasGeoquimico.aspx</w:t>
      </w:r>
    </w:p>
  </w:footnote>
  <w:footnote w:id="62">
    <w:p w:rsidRPr="00B45D54" w:rsidR="004A2104" w:rsidP="3845A57C" w:rsidRDefault="004A2104" w14:paraId="5C850699" w14:textId="77777777">
      <w:pPr>
        <w:pStyle w:val="FootnoteText"/>
        <w:rPr>
          <w:rFonts w:asciiTheme="minorHAnsi" w:hAnsiTheme="minorHAnsi" w:eastAsiaTheme="minorEastAsia" w:cstheme="minorBidi"/>
          <w:sz w:val="18"/>
          <w:szCs w:val="18"/>
          <w:lang w:val="es-CO" w:eastAsia="en-US"/>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El potencial mineral es el conjunto de atributos de un área particular que describe la probabilidad de presencia o ausencia de depósitos minerales.</w:t>
      </w:r>
    </w:p>
  </w:footnote>
  <w:footnote w:id="63">
    <w:p w:rsidRPr="00B45D54" w:rsidR="004A2104" w:rsidP="3845A57C" w:rsidRDefault="004A2104" w14:paraId="765AF33F" w14:textId="3FFDF70B">
      <w:pPr>
        <w:pStyle w:val="FootnoteText"/>
        <w:rPr>
          <w:rFonts w:ascii="Calibri" w:hAnsi="Calibri" w:eastAsia="Calibri" w:cs="Calibri"/>
          <w:sz w:val="16"/>
          <w:szCs w:val="16"/>
          <w:lang w:val="es-CO" w:eastAsia="en-US"/>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 xml:space="preserve">Servicio Geológico Colombiano. (s.f.). </w:t>
      </w:r>
      <w:r w:rsidRPr="3845A57C" w:rsidR="3845A57C">
        <w:rPr>
          <w:rFonts w:ascii="Calibri" w:hAnsi="Calibri" w:eastAsia="Calibri" w:cs="Calibri"/>
          <w:i/>
          <w:iCs/>
          <w:sz w:val="16"/>
          <w:szCs w:val="16"/>
          <w:lang w:val="es-CO" w:eastAsia="en-US"/>
        </w:rPr>
        <w:t>Mapa Metalogénico de Colombia Versión 2020</w:t>
      </w:r>
      <w:r w:rsidRPr="7DF7D6D5" w:rsidR="3845A57C">
        <w:rPr>
          <w:rFonts w:ascii="Calibri" w:hAnsi="Calibri" w:eastAsia="Calibri" w:cs="Calibri"/>
          <w:sz w:val="16"/>
          <w:szCs w:val="16"/>
          <w:lang w:val="es-CO" w:eastAsia="en-US"/>
        </w:rPr>
        <w:t>.</w:t>
      </w:r>
    </w:p>
  </w:footnote>
  <w:footnote w:id="64">
    <w:p w:rsidRPr="00B45D54" w:rsidR="00012130" w:rsidP="3845A57C" w:rsidRDefault="00012130" w14:paraId="5F22536F" w14:textId="7C709C5D">
      <w:pPr>
        <w:pStyle w:val="FootnoteText"/>
        <w:rPr>
          <w:rFonts w:asciiTheme="minorHAnsi" w:hAnsiTheme="minorHAnsi" w:cstheme="minorBidi"/>
          <w:sz w:val="18"/>
          <w:szCs w:val="18"/>
          <w:lang w:val="es-CO"/>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 xml:space="preserve">Mapa temático a escala regional que presenta en un mapa geotectónico base, las provincias, subprovincias, franjas y distritos </w:t>
      </w:r>
      <w:proofErr w:type="spellStart"/>
      <w:r w:rsidRPr="7DF7D6D5" w:rsidR="3845A57C">
        <w:rPr>
          <w:rFonts w:ascii="Calibri" w:hAnsi="Calibri" w:eastAsia="Calibri" w:cs="Calibri"/>
          <w:sz w:val="16"/>
          <w:szCs w:val="16"/>
          <w:lang w:val="es-CO" w:eastAsia="en-US"/>
        </w:rPr>
        <w:t>metalogéneticos</w:t>
      </w:r>
      <w:proofErr w:type="spellEnd"/>
      <w:r w:rsidRPr="7DF7D6D5" w:rsidR="3845A57C">
        <w:rPr>
          <w:rFonts w:ascii="Calibri" w:hAnsi="Calibri" w:eastAsia="Calibri" w:cs="Calibri"/>
          <w:sz w:val="16"/>
          <w:szCs w:val="16"/>
          <w:lang w:val="es-CO" w:eastAsia="en-US"/>
        </w:rPr>
        <w:t xml:space="preserve"> (información en polígonos), conjuntamente representados con la distribución espacial y temporal, así como los modelos genéticos, asociación </w:t>
      </w:r>
      <w:proofErr w:type="spellStart"/>
      <w:r w:rsidRPr="7DF7D6D5" w:rsidR="3845A57C">
        <w:rPr>
          <w:rFonts w:ascii="Calibri" w:hAnsi="Calibri" w:eastAsia="Calibri" w:cs="Calibri"/>
          <w:sz w:val="16"/>
          <w:szCs w:val="16"/>
          <w:lang w:val="es-CO" w:eastAsia="en-US"/>
        </w:rPr>
        <w:t>paragenética</w:t>
      </w:r>
      <w:proofErr w:type="spellEnd"/>
      <w:r w:rsidRPr="7DF7D6D5" w:rsidR="3845A57C">
        <w:rPr>
          <w:rFonts w:ascii="Calibri" w:hAnsi="Calibri" w:eastAsia="Calibri" w:cs="Calibri"/>
          <w:sz w:val="16"/>
          <w:szCs w:val="16"/>
          <w:lang w:val="es-CO" w:eastAsia="en-US"/>
        </w:rPr>
        <w:t xml:space="preserve"> y tamaño de las ocurrencias, prospectos y depósitos minerales (información puntual), acorde con estándares internacionales.</w:t>
      </w:r>
    </w:p>
  </w:footnote>
  <w:footnote w:id="65">
    <w:p w:rsidRPr="00B45D54" w:rsidR="004A2104" w:rsidP="3845A57C" w:rsidRDefault="004A2104" w14:paraId="0AE32410" w14:textId="77777777">
      <w:pPr>
        <w:pStyle w:val="FootnoteText"/>
        <w:rPr>
          <w:rFonts w:asciiTheme="minorHAnsi" w:hAnsiTheme="minorHAnsi" w:eastAsiaTheme="minorEastAsia" w:cstheme="minorBidi"/>
          <w:sz w:val="18"/>
          <w:szCs w:val="18"/>
          <w:lang w:val="es-CO" w:eastAsia="en-US"/>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Los medios fracturados son los medios en los cuales la ocurrencia y movimiento del agua subterránea es controlado por conductos definidos por fracturas y otras discontinuidades, las cuales aumentan la permeabilidad del macizo rocoso deformado.</w:t>
      </w:r>
    </w:p>
  </w:footnote>
  <w:footnote w:id="66">
    <w:p w:rsidRPr="00B45D54" w:rsidR="00AE38DB" w:rsidP="3845A57C" w:rsidRDefault="00AE38DB" w14:paraId="30F086CE" w14:textId="77777777">
      <w:pPr>
        <w:pStyle w:val="FootnoteText"/>
        <w:rPr>
          <w:rFonts w:asciiTheme="minorHAnsi" w:hAnsiTheme="minorHAnsi" w:eastAsiaTheme="minorEastAsia" w:cstheme="minorBidi"/>
          <w:sz w:val="18"/>
          <w:szCs w:val="18"/>
          <w:lang w:val="es-CO" w:eastAsia="en-US"/>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eastAsia="en-US"/>
        </w:rPr>
        <w:t>El Índice de Producción Industrial (IPI) estima la evolución del sector industrial en el corto plazo a través de la variable de producción real a nivel nacional, incluyendo en la industria los sectores de minas y canteras, manufacturero, electricidad, gas y agua.</w:t>
      </w:r>
    </w:p>
  </w:footnote>
  <w:footnote w:id="67">
    <w:p w:rsidRPr="00BF4D03" w:rsidR="004A2104" w:rsidP="3845A57C" w:rsidRDefault="004A2104" w14:paraId="66499409" w14:textId="16554203">
      <w:pPr>
        <w:pStyle w:val="FootnoteText"/>
        <w:rPr>
          <w:rFonts w:asciiTheme="minorHAnsi" w:hAnsiTheme="minorHAnsi" w:cstheme="minorBidi"/>
          <w:sz w:val="18"/>
          <w:szCs w:val="18"/>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CEPAL. (2021). </w:t>
      </w:r>
      <w:r w:rsidRPr="3845A57C" w:rsidR="3845A57C">
        <w:rPr>
          <w:rFonts w:ascii="Calibri" w:hAnsi="Calibri" w:eastAsia="Calibri" w:cs="Calibri"/>
          <w:i/>
          <w:iCs/>
          <w:sz w:val="16"/>
          <w:szCs w:val="16"/>
        </w:rPr>
        <w:t>Cambios en la demanda de minerales Análisis de los mercados del cobre y el litio, y sus implicaciones para los países de la región andina</w:t>
      </w:r>
      <w:r w:rsidRPr="7DF7D6D5" w:rsidR="3845A57C">
        <w:rPr>
          <w:rFonts w:ascii="Calibri" w:hAnsi="Calibri" w:eastAsia="Calibri" w:cs="Calibri"/>
          <w:sz w:val="16"/>
          <w:szCs w:val="16"/>
        </w:rPr>
        <w:t xml:space="preserve">. Disponible en: </w:t>
      </w:r>
      <w:hyperlink w:history="1" r:id="rId2">
        <w:r w:rsidRPr="7DF7D6D5" w:rsidR="3845A57C">
          <w:rPr>
            <w:rStyle w:val="Hyperlink"/>
            <w:rFonts w:ascii="Calibri" w:hAnsi="Calibri" w:eastAsia="Calibri" w:cs="Calibri"/>
            <w:color w:val="auto"/>
            <w:sz w:val="16"/>
            <w:szCs w:val="16"/>
          </w:rPr>
          <w:t>https://repositorio.cepal.org/server/api/core/bitstreams/adbb16fd-48d0-4ba6-aab4-59561bfa0578/content</w:t>
        </w:r>
      </w:hyperlink>
      <w:r w:rsidRPr="7DF7D6D5" w:rsidR="3845A57C">
        <w:rPr>
          <w:rFonts w:ascii="Calibri" w:hAnsi="Calibri" w:eastAsia="Calibri" w:cs="Calibri"/>
          <w:sz w:val="16"/>
          <w:szCs w:val="16"/>
        </w:rPr>
        <w:t xml:space="preserve"> </w:t>
      </w:r>
    </w:p>
  </w:footnote>
  <w:footnote w:id="68">
    <w:p w:rsidRPr="008653A3" w:rsidR="0010298F" w:rsidP="3845A57C" w:rsidRDefault="0010298F" w14:paraId="2E37F733" w14:textId="77777777">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sz w:val="16"/>
          <w:szCs w:val="16"/>
          <w:lang w:val="es-CO"/>
        </w:rPr>
        <w:t>Ley 685, artículo 84 ley 685 de 2001 </w:t>
      </w:r>
      <w:r w:rsidRPr="3845A57C" w:rsidR="3845A57C">
        <w:rPr>
          <w:rFonts w:ascii="Calibri" w:hAnsi="Calibri" w:eastAsia="Calibri" w:cs="Calibri"/>
          <w:i/>
          <w:iCs/>
          <w:sz w:val="16"/>
          <w:szCs w:val="16"/>
          <w:lang w:val="es-CO"/>
        </w:rPr>
        <w:t>Programa de trabajos y obras.</w:t>
      </w:r>
      <w:r w:rsidRPr="7DF7D6D5" w:rsidR="3845A57C">
        <w:rPr>
          <w:rFonts w:ascii="Calibri" w:hAnsi="Calibri" w:eastAsia="Calibri" w:cs="Calibri"/>
          <w:sz w:val="16"/>
          <w:szCs w:val="16"/>
          <w:lang w:val="es-CO"/>
        </w:rPr>
        <w:t> Como resultado de los estudios y trabajos de exploración, el concesionario, antes del vencimiento definitivo de este período, presentará para la aprobación de la autoridad concedente o el auditor, el Programa de Trabajos y Obras de Explotación que se anexará al contrato como parte de las obligaciones. Este programa deberá contener los siguientes elementos y documentos: 1. Delimitación definitiva del área de explotación. (…), 11. Plan de cierre de la explotación y abandono de los montajes y de la infraestructura. </w:t>
      </w:r>
    </w:p>
  </w:footnote>
  <w:footnote w:id="69">
    <w:p w:rsidRPr="00E9680A" w:rsidR="00E9680A" w:rsidP="3845A57C" w:rsidRDefault="00E9680A" w14:paraId="450CB5A2" w14:textId="55206078">
      <w:pPr>
        <w:pStyle w:val="FootnoteText"/>
        <w:rPr>
          <w:rFonts w:ascii="Calibri" w:hAnsi="Calibri" w:eastAsia="Calibri" w:cs="Calibri"/>
          <w:sz w:val="16"/>
          <w:szCs w:val="16"/>
          <w:lang w:val="es-CO"/>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Congreso de la República. </w:t>
      </w:r>
      <w:r w:rsidRPr="3845A57C" w:rsidR="3845A57C">
        <w:rPr>
          <w:rFonts w:ascii="Calibri" w:hAnsi="Calibri" w:eastAsia="Calibri" w:cs="Calibri"/>
          <w:i/>
          <w:iCs/>
          <w:sz w:val="16"/>
          <w:szCs w:val="16"/>
          <w:lang w:val="es-CO"/>
        </w:rPr>
        <w:t>Ley 99 de 1993, ”por la cual se crea el Ministerio del Medio Ambiente, se reordena el Sector Público encargado de la gestión y conservación del medio ambiente y los recursos naturales renovables, se organiza el Sistema Nacional Ambiental, SINA, y se dictan otras disposiciones”</w:t>
      </w:r>
      <w:r w:rsidRPr="7DF7D6D5" w:rsidR="3845A57C">
        <w:rPr>
          <w:rFonts w:ascii="Calibri" w:hAnsi="Calibri" w:eastAsia="Calibri" w:cs="Calibri"/>
          <w:sz w:val="16"/>
          <w:szCs w:val="16"/>
          <w:lang w:val="es-CO"/>
        </w:rPr>
        <w:t>.</w:t>
      </w:r>
    </w:p>
  </w:footnote>
  <w:footnote w:id="70">
    <w:p w:rsidRPr="00281B68" w:rsidR="00281B68" w:rsidP="3845A57C" w:rsidRDefault="00281B68" w14:paraId="78B56243" w14:textId="7801CA2D">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Según el</w:t>
      </w:r>
      <w:r w:rsidRPr="7DF7D6D5" w:rsidR="3845A57C">
        <w:rPr>
          <w:rFonts w:ascii="Calibri" w:hAnsi="Calibri" w:eastAsia="Calibri" w:cs="Calibri"/>
          <w:kern w:val="2"/>
          <w:sz w:val="16"/>
          <w:szCs w:val="16"/>
          <w:lang w:eastAsia="en-US"/>
          <w14:ligatures w14:val="standardContextual"/>
        </w:rPr>
        <w:t xml:space="preserve"> Decreto Único Reglamentario del </w:t>
      </w:r>
      <w:r w:rsidRPr="7DF7D6D5" w:rsidR="3845A57C">
        <w:rPr>
          <w:rFonts w:ascii="Calibri" w:hAnsi="Calibri" w:eastAsia="Calibri" w:cs="Calibri"/>
          <w:kern w:val="2"/>
          <w:sz w:val="16"/>
          <w:szCs w:val="16"/>
          <w:lang w:val="es" w:eastAsia="en-US"/>
          <w14:ligatures w14:val="standardContextual"/>
        </w:rPr>
        <w:t>Ministerio de Ambiente</w:t>
      </w:r>
      <w:r w:rsidRPr="7DF7D6D5" w:rsidR="3845A57C">
        <w:rPr>
          <w:rFonts w:ascii="Calibri" w:hAnsi="Calibri" w:eastAsia="Calibri" w:cs="Calibri"/>
          <w:kern w:val="2"/>
          <w:sz w:val="16"/>
          <w:szCs w:val="16"/>
          <w:lang w:eastAsia="en-US"/>
          <w14:ligatures w14:val="standardContextual"/>
        </w:rPr>
        <w:t xml:space="preserve"> 1076 del 26 de mayo de 2015, el cierre minero se contempla en el “Artículo 2.2.2.3.9.2. De la fase de desmantelamiento y abandono” (Decreto 2041 de 2014 artículo 41), así como la Resolución 2206 de 2016</w:t>
      </w:r>
      <w:r w:rsidRPr="7DF7D6D5" w:rsidR="3845A57C">
        <w:rPr>
          <w:rFonts w:ascii="Calibri" w:hAnsi="Calibri" w:eastAsia="Calibri" w:cs="Calibri"/>
          <w:sz w:val="16"/>
          <w:szCs w:val="16"/>
          <w:lang w:eastAsia="en-US"/>
        </w:rPr>
        <w:t>.</w:t>
      </w:r>
      <w:r w:rsidRPr="7DF7D6D5" w:rsidR="3845A57C">
        <w:rPr>
          <w:rFonts w:ascii="Calibri" w:hAnsi="Calibri" w:eastAsia="Calibri" w:cs="Calibri"/>
          <w:kern w:val="2"/>
          <w:sz w:val="16"/>
          <w:szCs w:val="16"/>
          <w:lang w:eastAsia="en-US"/>
          <w14:ligatures w14:val="standardContextual"/>
        </w:rPr>
        <w:t> </w:t>
      </w:r>
    </w:p>
  </w:footnote>
  <w:footnote w:id="71">
    <w:p w:rsidRPr="00E9680A" w:rsidR="00E9680A" w:rsidP="3845A57C" w:rsidRDefault="00E9680A" w14:paraId="08559426" w14:textId="5F663D03">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Congreso de la República. </w:t>
      </w:r>
      <w:r w:rsidRPr="3845A57C" w:rsidR="3845A57C">
        <w:rPr>
          <w:rFonts w:ascii="Calibri" w:hAnsi="Calibri" w:eastAsia="Calibri" w:cs="Calibri"/>
          <w:i/>
          <w:iCs/>
          <w:sz w:val="16"/>
          <w:szCs w:val="16"/>
        </w:rPr>
        <w:t>Ley 1753 de 2015, ”por la cual se expide el Plan Nacional de Desarrollo 2014-2018 “Todos por un nuevo país”</w:t>
      </w:r>
      <w:r w:rsidRPr="7DF7D6D5" w:rsidR="3845A57C">
        <w:rPr>
          <w:rFonts w:ascii="Calibri" w:hAnsi="Calibri" w:eastAsia="Calibri" w:cs="Calibri"/>
          <w:sz w:val="16"/>
          <w:szCs w:val="16"/>
        </w:rPr>
        <w:t>.</w:t>
      </w:r>
    </w:p>
    <w:p w:rsidRPr="00E9680A" w:rsidR="00E9680A" w:rsidP="3845A57C" w:rsidRDefault="00E9680A" w14:paraId="65610B6A" w14:textId="4328CC93">
      <w:pPr>
        <w:pStyle w:val="FootnoteText"/>
        <w:rPr>
          <w:rFonts w:ascii="Calibri" w:hAnsi="Calibri" w:eastAsia="Calibri" w:cs="Calibri"/>
          <w:sz w:val="16"/>
          <w:szCs w:val="16"/>
        </w:rPr>
      </w:pPr>
    </w:p>
    <w:p w:rsidRPr="00E9680A" w:rsidR="00E9680A" w:rsidP="3845A57C" w:rsidRDefault="3845A57C" w14:paraId="2FC1317D" w14:textId="56AB628B">
      <w:pPr>
        <w:pStyle w:val="FootnoteText"/>
      </w:pPr>
      <w:r w:rsidRPr="7DF7D6D5">
        <w:rPr>
          <w:rFonts w:ascii="Calibri" w:hAnsi="Calibri" w:eastAsia="Calibri" w:cs="Calibri"/>
          <w:sz w:val="16"/>
          <w:szCs w:val="16"/>
        </w:rPr>
        <w:t>Ésta d</w:t>
      </w:r>
      <w:r w:rsidRPr="7DF7D6D5">
        <w:rPr>
          <w:rFonts w:ascii="Calibri" w:hAnsi="Calibri" w:eastAsia="Calibri" w:cs="Calibri"/>
          <w:kern w:val="2"/>
          <w:sz w:val="16"/>
          <w:szCs w:val="16"/>
          <w14:ligatures w14:val="standardContextual"/>
        </w:rPr>
        <w:t>ispuso en su artículo 24°: “C</w:t>
      </w:r>
      <w:r w:rsidRPr="3845A57C">
        <w:rPr>
          <w:rFonts w:ascii="Calibri" w:hAnsi="Calibri" w:eastAsia="Calibri" w:cs="Calibri"/>
          <w:i/>
          <w:iCs/>
          <w:kern w:val="2"/>
          <w:sz w:val="16"/>
          <w:szCs w:val="16"/>
          <w14:ligatures w14:val="standardContextual"/>
        </w:rPr>
        <w:t>ierre de minas. El Gobierno Nacional establecerá las condiciones ambientales, técnicas, financieras, sociales y demás que deberá observar el titular minero al momento de ejecutar el plan de cierre y abandono de minas, incluyendo el aprovisionamiento de recursos para tal fin y/o sus garantías. Adicionalmente se establecerá el procedimiento para la aprobación del mencionado plan y el cumplimiento de esta obligación</w:t>
      </w:r>
      <w:r w:rsidRPr="7DF7D6D5">
        <w:rPr>
          <w:rFonts w:ascii="Calibri" w:hAnsi="Calibri" w:eastAsia="Calibri" w:cs="Calibri"/>
          <w:kern w:val="2"/>
          <w:sz w:val="16"/>
          <w:szCs w:val="16"/>
          <w14:ligatures w14:val="standardContextual"/>
        </w:rPr>
        <w:t>”.</w:t>
      </w:r>
    </w:p>
  </w:footnote>
  <w:footnote w:id="72">
    <w:p w:rsidRPr="0050456C" w:rsidR="00FB1563" w:rsidP="3845A57C" w:rsidRDefault="00FB1563" w14:paraId="76474079" w14:textId="011AFD4F">
      <w:pPr>
        <w:pStyle w:val="FootnoteText"/>
        <w:rPr>
          <w:rFonts w:ascii="Calibri" w:hAnsi="Calibri" w:eastAsia="Calibri" w:cs="Calibri"/>
          <w:sz w:val="16"/>
          <w:szCs w:val="16"/>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3845A57C" w:rsidR="3845A57C">
        <w:rPr>
          <w:rFonts w:ascii="Calibri" w:hAnsi="Calibri" w:eastAsia="Calibri" w:cs="Calibri"/>
          <w:i/>
          <w:iCs/>
          <w:sz w:val="16"/>
          <w:szCs w:val="16"/>
        </w:rPr>
        <w:t>Artículo 45. Definición. El contrato de concesión minera. El contrato de concesión comprende dentro de su objeto las fases de exploración técnica, explotación económica, beneficio de los minerales por cuenta y riesgo del concesionario y el cierre o abandono de los trabajos y obras correspondientes</w:t>
      </w:r>
      <w:r w:rsidRPr="7DF7D6D5" w:rsidR="3845A57C">
        <w:rPr>
          <w:rFonts w:ascii="Calibri" w:hAnsi="Calibri" w:eastAsia="Calibri" w:cs="Calibri"/>
          <w:sz w:val="16"/>
          <w:szCs w:val="16"/>
        </w:rPr>
        <w:t>”.</w:t>
      </w:r>
    </w:p>
  </w:footnote>
  <w:footnote w:id="73">
    <w:p w:rsidRPr="0050456C" w:rsidR="00FB1563" w:rsidP="3845A57C" w:rsidRDefault="00FB1563" w14:paraId="1D8B7EC0" w14:textId="445CDE56">
      <w:pPr>
        <w:pStyle w:val="FootnoteText"/>
        <w:rPr>
          <w:rFonts w:ascii="Calibri" w:hAnsi="Calibri" w:eastAsia="Calibri" w:cs="Calibri"/>
          <w:sz w:val="16"/>
          <w:szCs w:val="16"/>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3845A57C" w:rsidR="3845A57C">
        <w:rPr>
          <w:rFonts w:ascii="Calibri" w:hAnsi="Calibri" w:eastAsia="Calibri" w:cs="Calibri"/>
          <w:i/>
          <w:iCs/>
          <w:sz w:val="16"/>
          <w:szCs w:val="16"/>
        </w:rPr>
        <w:t>Artículo 84. Programa de trabajos y obras. Como resultado de los estudios y trabajos de exploración. Este programa deberá contener los siguientes elementos y documentos: (…) 7. Plan de Obras de Recuperación geomorfológica paisajística y forestal del sistema alterado (…) 11. Plan de cierre de la explotación y abandono de los montajes y de la infraestructura</w:t>
      </w:r>
      <w:r w:rsidRPr="7DF7D6D5" w:rsidR="3845A57C">
        <w:rPr>
          <w:rFonts w:ascii="Calibri" w:hAnsi="Calibri" w:eastAsia="Calibri" w:cs="Calibri"/>
          <w:sz w:val="16"/>
          <w:szCs w:val="16"/>
        </w:rPr>
        <w:t>”.</w:t>
      </w:r>
    </w:p>
  </w:footnote>
  <w:footnote w:id="74">
    <w:p w:rsidRPr="0050456C" w:rsidR="00FB1563" w:rsidP="3845A57C" w:rsidRDefault="00FB1563" w14:paraId="2757E05F" w14:textId="61F29C7D">
      <w:pPr>
        <w:pStyle w:val="FootnoteText"/>
        <w:rPr>
          <w:rFonts w:ascii="Calibri" w:hAnsi="Calibri" w:eastAsia="Calibri" w:cs="Calibri"/>
          <w:sz w:val="16"/>
          <w:szCs w:val="16"/>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3845A57C" w:rsidR="3845A57C">
        <w:rPr>
          <w:rFonts w:ascii="Calibri" w:hAnsi="Calibri" w:eastAsia="Calibri" w:cs="Calibri"/>
          <w:i/>
          <w:iCs/>
          <w:sz w:val="16"/>
          <w:szCs w:val="16"/>
        </w:rPr>
        <w:t>Artículo 95. Naturaleza de la explotación. La explotación es el conjunto de operaciones que tienen por objeto la extracción o captación de los minerales yacentes en el suelo o subsuelo del área de la concesión, su acopio, su beneficio y el cierre y abandono de los montajes y de la infraestructura</w:t>
      </w:r>
      <w:r w:rsidRPr="7DF7D6D5" w:rsidR="3845A57C">
        <w:rPr>
          <w:rFonts w:ascii="Calibri" w:hAnsi="Calibri" w:eastAsia="Calibri" w:cs="Calibri"/>
          <w:sz w:val="16"/>
          <w:szCs w:val="16"/>
        </w:rPr>
        <w:t xml:space="preserve"> (…)”. </w:t>
      </w:r>
    </w:p>
  </w:footnote>
  <w:footnote w:id="75">
    <w:p w:rsidRPr="00FB1563" w:rsidR="00FB1563" w:rsidP="3845A57C" w:rsidRDefault="00FB1563" w14:paraId="158CBAFB" w14:textId="6899253C">
      <w:pPr>
        <w:pStyle w:val="FootnoteText"/>
        <w:rPr>
          <w:lang w:val="es-CO"/>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3845A57C" w:rsidR="3845A57C">
        <w:rPr>
          <w:rFonts w:ascii="Calibri" w:hAnsi="Calibri" w:eastAsia="Calibri" w:cs="Calibri"/>
          <w:i/>
          <w:iCs/>
          <w:sz w:val="16"/>
          <w:szCs w:val="16"/>
        </w:rPr>
        <w:t>Artículo 209. Obligaciones en caso de terminación. En todos los casos de terminación del título, el beneficiario estará obligado a hacer las obras y poner en práctica todas las medidas ambientales necesarias para el cierre o abandono de las operaciones y frentes de trabajo. Para el efecto se le exigirá la extensión de la garantía ambiental por tres (3) años más a partir de la fecha de terminación del contrato</w:t>
      </w:r>
      <w:r w:rsidRPr="7DF7D6D5" w:rsidR="3845A57C">
        <w:rPr>
          <w:rFonts w:ascii="Calibri" w:hAnsi="Calibri" w:eastAsia="Calibri" w:cs="Calibri"/>
          <w:sz w:val="16"/>
          <w:szCs w:val="16"/>
        </w:rPr>
        <w:t>”.</w:t>
      </w:r>
    </w:p>
  </w:footnote>
  <w:footnote w:id="76">
    <w:p w:rsidRPr="008653A3" w:rsidR="008653A3" w:rsidP="3845A57C" w:rsidRDefault="008653A3" w14:paraId="1DD5C11B" w14:textId="31FF4F27">
      <w:pPr>
        <w:pStyle w:val="FootnoteText"/>
        <w:rPr>
          <w:rFonts w:ascii="Calibri" w:hAnsi="Calibri" w:eastAsia="Calibri" w:cs="Calibri"/>
          <w:sz w:val="16"/>
          <w:szCs w:val="16"/>
          <w:lang w:val="es-CO"/>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Congreso de la República. </w:t>
      </w:r>
      <w:r w:rsidRPr="3845A57C" w:rsidR="3845A57C">
        <w:rPr>
          <w:rFonts w:ascii="Calibri" w:hAnsi="Calibri" w:eastAsia="Calibri" w:cs="Calibri"/>
          <w:i/>
          <w:iCs/>
          <w:sz w:val="16"/>
          <w:szCs w:val="16"/>
        </w:rPr>
        <w:t>Ley 1930 de 2018, ”</w:t>
      </w:r>
      <w:r w:rsidRPr="3845A57C" w:rsidR="3845A57C">
        <w:rPr>
          <w:rFonts w:ascii="Calibri" w:hAnsi="Calibri" w:eastAsia="Calibri" w:cs="Calibri"/>
          <w:i/>
          <w:iCs/>
          <w:sz w:val="16"/>
          <w:szCs w:val="16"/>
          <w:lang w:val="es-CO"/>
        </w:rPr>
        <w:t>por medio de la cual se dictan disposiciones para la gestión integral de los páramos en Colombia”</w:t>
      </w:r>
      <w:r w:rsidRPr="7DF7D6D5" w:rsidR="3845A57C">
        <w:rPr>
          <w:rFonts w:ascii="Calibri" w:hAnsi="Calibri" w:eastAsia="Calibri" w:cs="Calibri"/>
          <w:sz w:val="16"/>
          <w:szCs w:val="16"/>
          <w:lang w:val="es-CO"/>
        </w:rPr>
        <w:t>.</w:t>
      </w:r>
    </w:p>
  </w:footnote>
  <w:footnote w:id="77">
    <w:p w:rsidRPr="00893E40" w:rsidR="00893E40" w:rsidP="3845A57C" w:rsidRDefault="00893E40" w14:paraId="28B3FA21" w14:textId="37F811F8">
      <w:pPr>
        <w:pStyle w:val="FootnoteText"/>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w:t>
      </w:r>
      <w:r w:rsidRPr="7DF7D6D5" w:rsidR="3845A57C">
        <w:rPr>
          <w:rFonts w:ascii="Calibri" w:hAnsi="Calibri" w:eastAsia="Calibri" w:cs="Calibri"/>
          <w:kern w:val="2"/>
          <w:sz w:val="16"/>
          <w:szCs w:val="16"/>
          <w:lang w:val="es-CO" w:eastAsia="en-US"/>
          <w14:ligatures w14:val="standardContextual"/>
        </w:rPr>
        <w:t>Para fortalecer el proceso de trazabilidad y control en la cadena productiva minera, en el año 2018 el Ministerio de Minas y Energía, junto con el Servicio Geológico Colombiano y la Universidad Nacional de Colombia, lideraron la iniciativa para la formulación del Proyecto Huella Digital de Minerales, el cual tiene el objetivo primordial identificar la huella digital de minerales en Colombia, mediante la implementación de una metodología de caracterización geoquímica para conocer la procedencia del mineral, el diseño del modelo de identificación de la Huella Digital de Oro en Colombia, el establecimiento de laboratorios altamente especializados en su sede regional Cali y la implementación e inicio de acreditación de las metodologías analíticas dispuestas para tal fin.</w:t>
      </w:r>
    </w:p>
  </w:footnote>
  <w:footnote w:id="78">
    <w:p w:rsidR="00677C07" w:rsidP="3845A57C" w:rsidRDefault="00677C07" w14:paraId="0995D8D1" w14:textId="6487A3C8">
      <w:pPr>
        <w:pStyle w:val="FootnoteText"/>
        <w:rPr>
          <w:rFonts w:ascii="Calibri" w:hAnsi="Calibri" w:eastAsia="Calibri" w:cs="Calibri"/>
          <w:sz w:val="16"/>
          <w:szCs w:val="16"/>
          <w:lang w:val="es-CO" w:eastAsia="en-US"/>
        </w:rPr>
      </w:pPr>
      <w:r w:rsidRPr="7DF7D6D5">
        <w:rPr>
          <w:rStyle w:val="FootnoteReference"/>
          <w:rFonts w:ascii="Calibri" w:hAnsi="Calibri" w:eastAsia="Calibri" w:cs="Calibri"/>
          <w:sz w:val="16"/>
          <w:szCs w:val="16"/>
        </w:rPr>
        <w:footnoteRef/>
      </w:r>
      <w:r w:rsidRPr="7DF7D6D5" w:rsidR="3845A57C">
        <w:rPr>
          <w:rFonts w:ascii="Calibri" w:hAnsi="Calibri" w:eastAsia="Calibri" w:cs="Calibri"/>
          <w:sz w:val="16"/>
          <w:szCs w:val="16"/>
        </w:rPr>
        <w:t xml:space="preserve"> Congreso de la República. </w:t>
      </w:r>
      <w:r w:rsidRPr="3845A57C" w:rsidR="3845A57C">
        <w:rPr>
          <w:rFonts w:ascii="Calibri" w:hAnsi="Calibri" w:eastAsia="Calibri" w:cs="Calibri"/>
          <w:i/>
          <w:iCs/>
          <w:sz w:val="16"/>
          <w:szCs w:val="16"/>
          <w:lang w:val="es-CO" w:eastAsia="en-US"/>
        </w:rPr>
        <w:t>Ley 2273 del 5 de noviembre de 2022, ”por medio de la cual se aprueba el Acuerdo Regional sobre el acceso a la información, la participación pública y el acceso a la justicia en asuntos ambientales en América Latina y el Caribe, adoptado en Escazú, Costa Rica, el 4 de marzo de 2018”</w:t>
      </w:r>
      <w:r w:rsidRPr="7DF7D6D5" w:rsidR="3845A57C">
        <w:rPr>
          <w:rFonts w:ascii="Calibri" w:hAnsi="Calibri" w:eastAsia="Calibri" w:cs="Calibri"/>
          <w:sz w:val="16"/>
          <w:szCs w:val="16"/>
          <w:lang w:val="es-CO" w:eastAsia="en-US"/>
        </w:rPr>
        <w:t>.</w:t>
      </w:r>
    </w:p>
  </w:footnote>
  <w:footnote w:id="79">
    <w:p w:rsidRPr="00340EC1" w:rsidR="17F8AA9B" w:rsidP="3845A57C" w:rsidRDefault="17F8AA9B" w14:paraId="42FBB7DC" w14:textId="287E7D70">
      <w:pPr>
        <w:pStyle w:val="FootnoteText"/>
        <w:rPr>
          <w:rFonts w:ascii="Calibri" w:hAnsi="Calibri" w:cs="Calibri"/>
          <w:sz w:val="18"/>
          <w:szCs w:val="18"/>
        </w:rPr>
      </w:pPr>
      <w:r w:rsidRPr="7DF7D6D5">
        <w:rPr>
          <w:rFonts w:ascii="Calibri" w:hAnsi="Calibri" w:eastAsia="Calibri" w:cs="Calibri"/>
          <w:sz w:val="16"/>
          <w:szCs w:val="16"/>
          <w:vertAlign w:val="superscript"/>
        </w:rPr>
        <w:footnoteRef/>
      </w:r>
      <w:r w:rsidRPr="7DF7D6D5" w:rsidR="3845A57C">
        <w:rPr>
          <w:rFonts w:ascii="Calibri" w:hAnsi="Calibri" w:eastAsia="Calibri" w:cs="Calibri"/>
          <w:sz w:val="16"/>
          <w:szCs w:val="16"/>
        </w:rPr>
        <w:t xml:space="preserve"> Fuentes de financiación de origen internacional tales como cooperación internacional, banca multilateral, ayuda oficial al desarrollo, entre otros. Fuentes de recursos públicos nacionales y/o territoriales.</w:t>
      </w:r>
    </w:p>
  </w:footnote>
  <w:footnote w:id="18613">
    <w:p w:rsidR="3D2173F3" w:rsidP="3D2173F3" w:rsidRDefault="3D2173F3" w14:paraId="3A19EEA7" w14:textId="5E141A2D">
      <w:pPr>
        <w:pStyle w:val="FootnoteText"/>
        <w:bidi w:val="0"/>
        <w:rPr>
          <w:rFonts w:ascii="Calibri" w:hAnsi="Calibri" w:eastAsia="Calibri" w:cs="Calibri" w:asciiTheme="minorAscii" w:hAnsiTheme="minorAscii" w:eastAsiaTheme="minorAscii" w:cstheme="minorAscii"/>
        </w:rPr>
      </w:pPr>
      <w:r w:rsidRPr="3D2173F3">
        <w:rPr>
          <w:rFonts w:ascii="Calibri" w:hAnsi="Calibri" w:eastAsia="Calibri" w:cs="Calibri" w:asciiTheme="minorAscii" w:hAnsiTheme="minorAscii" w:eastAsiaTheme="minorAscii" w:cstheme="minorAscii"/>
        </w:rPr>
        <w:footnoteRef/>
      </w:r>
      <w:r w:rsidRPr="3D2173F3" w:rsidR="3D2173F3">
        <w:rPr>
          <w:rFonts w:ascii="Calibri" w:hAnsi="Calibri" w:eastAsia="Calibri" w:cs="Calibri" w:asciiTheme="minorAscii" w:hAnsiTheme="minorAscii" w:eastAsiaTheme="minorAscii" w:cstheme="minorAscii"/>
        </w:rPr>
        <w:t xml:space="preserve"> OCMAL (2017). Informe del Observatorio de Conflictos Mineros en América Latina sobre la situación en 2016. Disponible en: https://www.nodal.am/2017/05/informe-del-observatorio-conflictos-mineros-america-latina-la-situacion-2016/</w:t>
      </w:r>
    </w:p>
  </w:footnote>
  <w:footnote w:id="12794">
    <w:p w:rsidR="3D2173F3" w:rsidP="3D2173F3" w:rsidRDefault="3D2173F3" w14:paraId="4DE0236D" w14:textId="7485D120">
      <w:pPr>
        <w:pStyle w:val="FootnoteText"/>
        <w:bidi w:val="0"/>
        <w:rPr>
          <w:sz w:val="18"/>
          <w:szCs w:val="18"/>
        </w:rPr>
      </w:pPr>
      <w:r>
        <w:footnoteRef/>
      </w:r>
      <w:r w:rsidR="3D2173F3">
        <w:rPr/>
        <w:t xml:space="preserve"> </w:t>
      </w:r>
      <w:r w:rsidRPr="3D2173F3" w:rsidR="3D2173F3">
        <w:rPr>
          <w:rFonts w:ascii="Calibri" w:hAnsi="Calibri" w:eastAsia="Calibri" w:cs="Calibri"/>
          <w:sz w:val="16"/>
          <w:szCs w:val="16"/>
        </w:rPr>
        <w:t>Entre las principales causas por las cuales se presentan las emergencias mineras en nuestro país, encontramos que el mayor número de emergencias son ocasionadas por: explosiones de metano y polvo de carbón, seguido por fallas geomecánicas y atmósferas contaminadas o irrespirables, las cuales ocasionan un alto porcentaje de fatalidades en el sector extractivo.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E32ACE" w:rsidRDefault="00E32ACE" w14:paraId="509DAFF0" w14:textId="1FE9F7D1">
    <w:pPr>
      <w:pStyle w:val="Header"/>
      <w:rPr>
        <w:noProof/>
        <w:color w:val="2B579A"/>
        <w:shd w:val="clear" w:color="auto" w:fill="E6E6E6"/>
        <w:lang w:eastAsia="es-CO"/>
      </w:rPr>
    </w:pPr>
    <w:r>
      <w:rPr>
        <w:noProof/>
        <w:color w:val="2B579A"/>
        <w:shd w:val="clear" w:color="auto" w:fill="E6E6E6"/>
        <w:lang w:eastAsia="es-CO"/>
      </w:rPr>
      <w:drawing>
        <wp:anchor distT="0" distB="0" distL="114300" distR="114300" simplePos="0" relativeHeight="251658240" behindDoc="0" locked="0" layoutInCell="1" allowOverlap="1" wp14:anchorId="4B676E97" wp14:editId="7FEA4B7C">
          <wp:simplePos x="0" y="0"/>
          <wp:positionH relativeFrom="page">
            <wp:posOffset>5060950</wp:posOffset>
          </wp:positionH>
          <wp:positionV relativeFrom="paragraph">
            <wp:posOffset>-215265</wp:posOffset>
          </wp:positionV>
          <wp:extent cx="2879725" cy="9929698"/>
          <wp:effectExtent l="0" t="0" r="0" b="0"/>
          <wp:wrapNone/>
          <wp:docPr id="773144590" name="Imagen 77314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993281" name="Imagen 1615993281"/>
                  <pic:cNvPicPr>
                    <a:picLocks noChangeAspect="1" noChangeArrowheads="1"/>
                  </pic:cNvPicPr>
                </pic:nvPicPr>
                <pic:blipFill rotWithShape="1">
                  <a:blip r:embed="rId1">
                    <a:extLst>
                      <a:ext uri="{28A0092B-C50C-407E-A947-70E740481C1C}">
                        <a14:useLocalDpi xmlns:a14="http://schemas.microsoft.com/office/drawing/2010/main" val="0"/>
                      </a:ext>
                    </a:extLst>
                  </a:blip>
                  <a:srcRect l="62934" t="1201"/>
                  <a:stretch>
                    <a:fillRect/>
                  </a:stretch>
                </pic:blipFill>
                <pic:spPr bwMode="auto">
                  <a:xfrm>
                    <a:off x="0" y="0"/>
                    <a:ext cx="2879725" cy="992969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A2104" w:rsidRDefault="004A2104" w14:paraId="5FF8CE25" w14:textId="285D574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813AA"/>
    <w:multiLevelType w:val="hybridMultilevel"/>
    <w:tmpl w:val="D1320426"/>
    <w:lvl w:ilvl="0" w:tplc="938CF320">
      <w:start w:val="1"/>
      <w:numFmt w:val="bullet"/>
      <w:lvlText w:val=""/>
      <w:lvlJc w:val="left"/>
      <w:pPr>
        <w:ind w:left="1080" w:hanging="360"/>
      </w:pPr>
      <w:rPr>
        <w:rFonts w:hint="default" w:ascii="Symbol" w:hAnsi="Symbol"/>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 w15:restartNumberingAfterBreak="0">
    <w:nsid w:val="00502F4C"/>
    <w:multiLevelType w:val="hybridMultilevel"/>
    <w:tmpl w:val="64384482"/>
    <w:lvl w:ilvl="0" w:tplc="8D928B10">
      <w:start w:val="1"/>
      <w:numFmt w:val="decimal"/>
      <w:lvlText w:val="%1."/>
      <w:lvlJc w:val="left"/>
      <w:pPr>
        <w:ind w:left="1080" w:hanging="360"/>
      </w:pPr>
      <w:rPr>
        <w:b/>
        <w:bCs/>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 w15:restartNumberingAfterBreak="0">
    <w:nsid w:val="01CA551D"/>
    <w:multiLevelType w:val="multilevel"/>
    <w:tmpl w:val="2A1A7F56"/>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8EF7BC8"/>
    <w:multiLevelType w:val="hybridMultilevel"/>
    <w:tmpl w:val="D4E4C92C"/>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 w15:restartNumberingAfterBreak="0">
    <w:nsid w:val="0CCA5F49"/>
    <w:multiLevelType w:val="hybridMultilevel"/>
    <w:tmpl w:val="6010CAB6"/>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 w15:restartNumberingAfterBreak="0">
    <w:nsid w:val="0FA85849"/>
    <w:multiLevelType w:val="multilevel"/>
    <w:tmpl w:val="002CE126"/>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2A32CF9"/>
    <w:multiLevelType w:val="hybridMultilevel"/>
    <w:tmpl w:val="FFFFFFFF"/>
    <w:lvl w:ilvl="0" w:tplc="759EBD32">
      <w:start w:val="1"/>
      <w:numFmt w:val="bullet"/>
      <w:lvlText w:val=""/>
      <w:lvlJc w:val="left"/>
      <w:pPr>
        <w:ind w:left="720" w:hanging="360"/>
      </w:pPr>
      <w:rPr>
        <w:rFonts w:hint="default" w:ascii="Symbol" w:hAnsi="Symbol"/>
      </w:rPr>
    </w:lvl>
    <w:lvl w:ilvl="1" w:tplc="9FAAA448">
      <w:start w:val="1"/>
      <w:numFmt w:val="bullet"/>
      <w:lvlText w:val="o"/>
      <w:lvlJc w:val="left"/>
      <w:pPr>
        <w:ind w:left="1440" w:hanging="360"/>
      </w:pPr>
      <w:rPr>
        <w:rFonts w:hint="default" w:ascii="Courier New" w:hAnsi="Courier New"/>
      </w:rPr>
    </w:lvl>
    <w:lvl w:ilvl="2" w:tplc="1236084A">
      <w:start w:val="1"/>
      <w:numFmt w:val="bullet"/>
      <w:lvlText w:val=""/>
      <w:lvlJc w:val="left"/>
      <w:pPr>
        <w:ind w:left="2160" w:hanging="360"/>
      </w:pPr>
      <w:rPr>
        <w:rFonts w:hint="default" w:ascii="Wingdings" w:hAnsi="Wingdings"/>
      </w:rPr>
    </w:lvl>
    <w:lvl w:ilvl="3" w:tplc="4064C64C">
      <w:start w:val="1"/>
      <w:numFmt w:val="bullet"/>
      <w:lvlText w:val=""/>
      <w:lvlJc w:val="left"/>
      <w:pPr>
        <w:ind w:left="2880" w:hanging="360"/>
      </w:pPr>
      <w:rPr>
        <w:rFonts w:hint="default" w:ascii="Symbol" w:hAnsi="Symbol"/>
      </w:rPr>
    </w:lvl>
    <w:lvl w:ilvl="4" w:tplc="0624D936">
      <w:start w:val="1"/>
      <w:numFmt w:val="bullet"/>
      <w:lvlText w:val="o"/>
      <w:lvlJc w:val="left"/>
      <w:pPr>
        <w:ind w:left="3600" w:hanging="360"/>
      </w:pPr>
      <w:rPr>
        <w:rFonts w:hint="default" w:ascii="Courier New" w:hAnsi="Courier New"/>
      </w:rPr>
    </w:lvl>
    <w:lvl w:ilvl="5" w:tplc="76B8DF02">
      <w:start w:val="1"/>
      <w:numFmt w:val="bullet"/>
      <w:lvlText w:val=""/>
      <w:lvlJc w:val="left"/>
      <w:pPr>
        <w:ind w:left="4320" w:hanging="360"/>
      </w:pPr>
      <w:rPr>
        <w:rFonts w:hint="default" w:ascii="Wingdings" w:hAnsi="Wingdings"/>
      </w:rPr>
    </w:lvl>
    <w:lvl w:ilvl="6" w:tplc="CC08E80E">
      <w:start w:val="1"/>
      <w:numFmt w:val="bullet"/>
      <w:lvlText w:val=""/>
      <w:lvlJc w:val="left"/>
      <w:pPr>
        <w:ind w:left="5040" w:hanging="360"/>
      </w:pPr>
      <w:rPr>
        <w:rFonts w:hint="default" w:ascii="Symbol" w:hAnsi="Symbol"/>
      </w:rPr>
    </w:lvl>
    <w:lvl w:ilvl="7" w:tplc="F47E496E">
      <w:start w:val="1"/>
      <w:numFmt w:val="bullet"/>
      <w:lvlText w:val="o"/>
      <w:lvlJc w:val="left"/>
      <w:pPr>
        <w:ind w:left="5760" w:hanging="360"/>
      </w:pPr>
      <w:rPr>
        <w:rFonts w:hint="default" w:ascii="Courier New" w:hAnsi="Courier New"/>
      </w:rPr>
    </w:lvl>
    <w:lvl w:ilvl="8" w:tplc="832A45C6">
      <w:start w:val="1"/>
      <w:numFmt w:val="bullet"/>
      <w:lvlText w:val=""/>
      <w:lvlJc w:val="left"/>
      <w:pPr>
        <w:ind w:left="6480" w:hanging="360"/>
      </w:pPr>
      <w:rPr>
        <w:rFonts w:hint="default" w:ascii="Wingdings" w:hAnsi="Wingdings"/>
      </w:rPr>
    </w:lvl>
  </w:abstractNum>
  <w:abstractNum w:abstractNumId="7" w15:restartNumberingAfterBreak="0">
    <w:nsid w:val="149C4629"/>
    <w:multiLevelType w:val="hybridMultilevel"/>
    <w:tmpl w:val="E68ACD20"/>
    <w:lvl w:ilvl="0" w:tplc="240A0001">
      <w:start w:val="1"/>
      <w:numFmt w:val="bullet"/>
      <w:lvlText w:val=""/>
      <w:lvlJc w:val="left"/>
      <w:pPr>
        <w:ind w:left="720" w:hanging="360"/>
      </w:pPr>
      <w:rPr>
        <w:rFonts w:hint="default" w:ascii="Symbol" w:hAnsi="Symbol"/>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8" w15:restartNumberingAfterBreak="0">
    <w:nsid w:val="152C60F1"/>
    <w:multiLevelType w:val="multilevel"/>
    <w:tmpl w:val="78A266D6"/>
    <w:lvl w:ilvl="0">
      <w:start w:val="1"/>
      <w:numFmt w:val="lowerRoman"/>
      <w:lvlText w:val="%1."/>
      <w:lvlJc w:val="left"/>
      <w:pPr>
        <w:ind w:left="1080" w:hanging="720"/>
      </w:pPr>
      <w:rPr>
        <w:b/>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9724E0F"/>
    <w:multiLevelType w:val="multilevel"/>
    <w:tmpl w:val="B3A2C26A"/>
    <w:lvl w:ilvl="0">
      <w:numFmt w:val="bullet"/>
      <w:lvlText w:val="-"/>
      <w:lvlJc w:val="left"/>
      <w:pPr>
        <w:ind w:left="1068" w:hanging="360"/>
      </w:pPr>
      <w:rPr>
        <w:rFonts w:ascii="Calibri" w:hAnsi="Calibri" w:eastAsia="Calibri" w:cs="Calibri"/>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10" w15:restartNumberingAfterBreak="0">
    <w:nsid w:val="1D3F3789"/>
    <w:multiLevelType w:val="hybridMultilevel"/>
    <w:tmpl w:val="51A81D0A"/>
    <w:lvl w:ilvl="0" w:tplc="D562CBCE">
      <w:start w:val="7"/>
      <w:numFmt w:val="bullet"/>
      <w:lvlText w:val="-"/>
      <w:lvlJc w:val="left"/>
      <w:pPr>
        <w:ind w:left="927" w:hanging="360"/>
      </w:pPr>
      <w:rPr>
        <w:rFonts w:hint="default" w:ascii="Calibri" w:hAnsi="Calibri" w:cs="Calibri" w:eastAsiaTheme="minorHAnsi"/>
        <w:color w:val="0563C1" w:themeColor="hyperlink"/>
        <w:sz w:val="22"/>
        <w:u w:val="single"/>
      </w:rPr>
    </w:lvl>
    <w:lvl w:ilvl="1" w:tplc="240A0003" w:tentative="1">
      <w:start w:val="1"/>
      <w:numFmt w:val="bullet"/>
      <w:lvlText w:val="o"/>
      <w:lvlJc w:val="left"/>
      <w:pPr>
        <w:ind w:left="1647" w:hanging="360"/>
      </w:pPr>
      <w:rPr>
        <w:rFonts w:hint="default" w:ascii="Courier New" w:hAnsi="Courier New" w:cs="Courier New"/>
      </w:rPr>
    </w:lvl>
    <w:lvl w:ilvl="2" w:tplc="240A0005" w:tentative="1">
      <w:start w:val="1"/>
      <w:numFmt w:val="bullet"/>
      <w:lvlText w:val=""/>
      <w:lvlJc w:val="left"/>
      <w:pPr>
        <w:ind w:left="2367" w:hanging="360"/>
      </w:pPr>
      <w:rPr>
        <w:rFonts w:hint="default" w:ascii="Wingdings" w:hAnsi="Wingdings"/>
      </w:rPr>
    </w:lvl>
    <w:lvl w:ilvl="3" w:tplc="240A0001" w:tentative="1">
      <w:start w:val="1"/>
      <w:numFmt w:val="bullet"/>
      <w:lvlText w:val=""/>
      <w:lvlJc w:val="left"/>
      <w:pPr>
        <w:ind w:left="3087" w:hanging="360"/>
      </w:pPr>
      <w:rPr>
        <w:rFonts w:hint="default" w:ascii="Symbol" w:hAnsi="Symbol"/>
      </w:rPr>
    </w:lvl>
    <w:lvl w:ilvl="4" w:tplc="240A0003" w:tentative="1">
      <w:start w:val="1"/>
      <w:numFmt w:val="bullet"/>
      <w:lvlText w:val="o"/>
      <w:lvlJc w:val="left"/>
      <w:pPr>
        <w:ind w:left="3807" w:hanging="360"/>
      </w:pPr>
      <w:rPr>
        <w:rFonts w:hint="default" w:ascii="Courier New" w:hAnsi="Courier New" w:cs="Courier New"/>
      </w:rPr>
    </w:lvl>
    <w:lvl w:ilvl="5" w:tplc="240A0005" w:tentative="1">
      <w:start w:val="1"/>
      <w:numFmt w:val="bullet"/>
      <w:lvlText w:val=""/>
      <w:lvlJc w:val="left"/>
      <w:pPr>
        <w:ind w:left="4527" w:hanging="360"/>
      </w:pPr>
      <w:rPr>
        <w:rFonts w:hint="default" w:ascii="Wingdings" w:hAnsi="Wingdings"/>
      </w:rPr>
    </w:lvl>
    <w:lvl w:ilvl="6" w:tplc="240A0001" w:tentative="1">
      <w:start w:val="1"/>
      <w:numFmt w:val="bullet"/>
      <w:lvlText w:val=""/>
      <w:lvlJc w:val="left"/>
      <w:pPr>
        <w:ind w:left="5247" w:hanging="360"/>
      </w:pPr>
      <w:rPr>
        <w:rFonts w:hint="default" w:ascii="Symbol" w:hAnsi="Symbol"/>
      </w:rPr>
    </w:lvl>
    <w:lvl w:ilvl="7" w:tplc="240A0003" w:tentative="1">
      <w:start w:val="1"/>
      <w:numFmt w:val="bullet"/>
      <w:lvlText w:val="o"/>
      <w:lvlJc w:val="left"/>
      <w:pPr>
        <w:ind w:left="5967" w:hanging="360"/>
      </w:pPr>
      <w:rPr>
        <w:rFonts w:hint="default" w:ascii="Courier New" w:hAnsi="Courier New" w:cs="Courier New"/>
      </w:rPr>
    </w:lvl>
    <w:lvl w:ilvl="8" w:tplc="240A0005" w:tentative="1">
      <w:start w:val="1"/>
      <w:numFmt w:val="bullet"/>
      <w:lvlText w:val=""/>
      <w:lvlJc w:val="left"/>
      <w:pPr>
        <w:ind w:left="6687" w:hanging="360"/>
      </w:pPr>
      <w:rPr>
        <w:rFonts w:hint="default" w:ascii="Wingdings" w:hAnsi="Wingdings"/>
      </w:rPr>
    </w:lvl>
  </w:abstractNum>
  <w:abstractNum w:abstractNumId="11" w15:restartNumberingAfterBreak="0">
    <w:nsid w:val="20A31690"/>
    <w:multiLevelType w:val="hybridMultilevel"/>
    <w:tmpl w:val="EFC269EE"/>
    <w:lvl w:ilvl="0" w:tplc="240A0001">
      <w:start w:val="1"/>
      <w:numFmt w:val="bullet"/>
      <w:lvlText w:val=""/>
      <w:lvlJc w:val="left"/>
      <w:pPr>
        <w:ind w:left="720" w:hanging="360"/>
      </w:pPr>
      <w:rPr>
        <w:rFonts w:hint="default" w:ascii="Symbol" w:hAnsi="Symbol"/>
      </w:rPr>
    </w:lvl>
    <w:lvl w:ilvl="1" w:tplc="EDDCC3D2">
      <w:start w:val="1"/>
      <w:numFmt w:val="bullet"/>
      <w:lvlText w:val="o"/>
      <w:lvlJc w:val="left"/>
      <w:pPr>
        <w:ind w:left="1440" w:hanging="360"/>
      </w:pPr>
      <w:rPr>
        <w:rFonts w:hint="default" w:ascii="Courier New" w:hAnsi="Courier New"/>
      </w:rPr>
    </w:lvl>
    <w:lvl w:ilvl="2" w:tplc="CE8A1D70">
      <w:start w:val="1"/>
      <w:numFmt w:val="bullet"/>
      <w:lvlText w:val=""/>
      <w:lvlJc w:val="left"/>
      <w:pPr>
        <w:ind w:left="2160" w:hanging="360"/>
      </w:pPr>
      <w:rPr>
        <w:rFonts w:hint="default" w:ascii="Wingdings" w:hAnsi="Wingdings"/>
      </w:rPr>
    </w:lvl>
    <w:lvl w:ilvl="3" w:tplc="A57AD964">
      <w:start w:val="1"/>
      <w:numFmt w:val="bullet"/>
      <w:lvlText w:val=""/>
      <w:lvlJc w:val="left"/>
      <w:pPr>
        <w:ind w:left="2880" w:hanging="360"/>
      </w:pPr>
      <w:rPr>
        <w:rFonts w:hint="default" w:ascii="Symbol" w:hAnsi="Symbol"/>
      </w:rPr>
    </w:lvl>
    <w:lvl w:ilvl="4" w:tplc="89981B40">
      <w:start w:val="1"/>
      <w:numFmt w:val="bullet"/>
      <w:lvlText w:val="o"/>
      <w:lvlJc w:val="left"/>
      <w:pPr>
        <w:ind w:left="3600" w:hanging="360"/>
      </w:pPr>
      <w:rPr>
        <w:rFonts w:hint="default" w:ascii="Courier New" w:hAnsi="Courier New"/>
      </w:rPr>
    </w:lvl>
    <w:lvl w:ilvl="5" w:tplc="DA129E90">
      <w:start w:val="1"/>
      <w:numFmt w:val="bullet"/>
      <w:lvlText w:val=""/>
      <w:lvlJc w:val="left"/>
      <w:pPr>
        <w:ind w:left="4320" w:hanging="360"/>
      </w:pPr>
      <w:rPr>
        <w:rFonts w:hint="default" w:ascii="Wingdings" w:hAnsi="Wingdings"/>
      </w:rPr>
    </w:lvl>
    <w:lvl w:ilvl="6" w:tplc="9C5C0D90">
      <w:start w:val="1"/>
      <w:numFmt w:val="bullet"/>
      <w:lvlText w:val=""/>
      <w:lvlJc w:val="left"/>
      <w:pPr>
        <w:ind w:left="5040" w:hanging="360"/>
      </w:pPr>
      <w:rPr>
        <w:rFonts w:hint="default" w:ascii="Symbol" w:hAnsi="Symbol"/>
      </w:rPr>
    </w:lvl>
    <w:lvl w:ilvl="7" w:tplc="898EA90E">
      <w:start w:val="1"/>
      <w:numFmt w:val="bullet"/>
      <w:lvlText w:val="o"/>
      <w:lvlJc w:val="left"/>
      <w:pPr>
        <w:ind w:left="5760" w:hanging="360"/>
      </w:pPr>
      <w:rPr>
        <w:rFonts w:hint="default" w:ascii="Courier New" w:hAnsi="Courier New"/>
      </w:rPr>
    </w:lvl>
    <w:lvl w:ilvl="8" w:tplc="0E88F95C">
      <w:start w:val="1"/>
      <w:numFmt w:val="bullet"/>
      <w:lvlText w:val=""/>
      <w:lvlJc w:val="left"/>
      <w:pPr>
        <w:ind w:left="6480" w:hanging="360"/>
      </w:pPr>
      <w:rPr>
        <w:rFonts w:hint="default" w:ascii="Wingdings" w:hAnsi="Wingdings"/>
      </w:rPr>
    </w:lvl>
  </w:abstractNum>
  <w:abstractNum w:abstractNumId="12" w15:restartNumberingAfterBreak="0">
    <w:nsid w:val="26F37E95"/>
    <w:multiLevelType w:val="hybridMultilevel"/>
    <w:tmpl w:val="63923D3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29416570"/>
    <w:multiLevelType w:val="multilevel"/>
    <w:tmpl w:val="2A1A7F56"/>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B690869"/>
    <w:multiLevelType w:val="multilevel"/>
    <w:tmpl w:val="C21E909A"/>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bC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EF813A3"/>
    <w:multiLevelType w:val="hybridMultilevel"/>
    <w:tmpl w:val="514671A8"/>
    <w:lvl w:ilvl="0" w:tplc="97E6FC58">
      <w:numFmt w:val="bullet"/>
      <w:lvlText w:val="-"/>
      <w:lvlJc w:val="left"/>
      <w:pPr>
        <w:ind w:left="490" w:hanging="360"/>
      </w:pPr>
      <w:rPr>
        <w:rFonts w:hint="default" w:ascii="Arial" w:hAnsi="Arial" w:cs="Arial" w:eastAsiaTheme="majorEastAsia"/>
      </w:rPr>
    </w:lvl>
    <w:lvl w:ilvl="1" w:tplc="240A0003" w:tentative="1">
      <w:start w:val="1"/>
      <w:numFmt w:val="bullet"/>
      <w:lvlText w:val="o"/>
      <w:lvlJc w:val="left"/>
      <w:pPr>
        <w:ind w:left="1210" w:hanging="360"/>
      </w:pPr>
      <w:rPr>
        <w:rFonts w:hint="default" w:ascii="Courier New" w:hAnsi="Courier New" w:cs="Courier New"/>
      </w:rPr>
    </w:lvl>
    <w:lvl w:ilvl="2" w:tplc="240A0005" w:tentative="1">
      <w:start w:val="1"/>
      <w:numFmt w:val="bullet"/>
      <w:lvlText w:val=""/>
      <w:lvlJc w:val="left"/>
      <w:pPr>
        <w:ind w:left="1930" w:hanging="360"/>
      </w:pPr>
      <w:rPr>
        <w:rFonts w:hint="default" w:ascii="Wingdings" w:hAnsi="Wingdings"/>
      </w:rPr>
    </w:lvl>
    <w:lvl w:ilvl="3" w:tplc="240A0001" w:tentative="1">
      <w:start w:val="1"/>
      <w:numFmt w:val="bullet"/>
      <w:lvlText w:val=""/>
      <w:lvlJc w:val="left"/>
      <w:pPr>
        <w:ind w:left="2650" w:hanging="360"/>
      </w:pPr>
      <w:rPr>
        <w:rFonts w:hint="default" w:ascii="Symbol" w:hAnsi="Symbol"/>
      </w:rPr>
    </w:lvl>
    <w:lvl w:ilvl="4" w:tplc="240A0003" w:tentative="1">
      <w:start w:val="1"/>
      <w:numFmt w:val="bullet"/>
      <w:lvlText w:val="o"/>
      <w:lvlJc w:val="left"/>
      <w:pPr>
        <w:ind w:left="3370" w:hanging="360"/>
      </w:pPr>
      <w:rPr>
        <w:rFonts w:hint="default" w:ascii="Courier New" w:hAnsi="Courier New" w:cs="Courier New"/>
      </w:rPr>
    </w:lvl>
    <w:lvl w:ilvl="5" w:tplc="240A0005" w:tentative="1">
      <w:start w:val="1"/>
      <w:numFmt w:val="bullet"/>
      <w:lvlText w:val=""/>
      <w:lvlJc w:val="left"/>
      <w:pPr>
        <w:ind w:left="4090" w:hanging="360"/>
      </w:pPr>
      <w:rPr>
        <w:rFonts w:hint="default" w:ascii="Wingdings" w:hAnsi="Wingdings"/>
      </w:rPr>
    </w:lvl>
    <w:lvl w:ilvl="6" w:tplc="240A0001" w:tentative="1">
      <w:start w:val="1"/>
      <w:numFmt w:val="bullet"/>
      <w:lvlText w:val=""/>
      <w:lvlJc w:val="left"/>
      <w:pPr>
        <w:ind w:left="4810" w:hanging="360"/>
      </w:pPr>
      <w:rPr>
        <w:rFonts w:hint="default" w:ascii="Symbol" w:hAnsi="Symbol"/>
      </w:rPr>
    </w:lvl>
    <w:lvl w:ilvl="7" w:tplc="240A0003" w:tentative="1">
      <w:start w:val="1"/>
      <w:numFmt w:val="bullet"/>
      <w:lvlText w:val="o"/>
      <w:lvlJc w:val="left"/>
      <w:pPr>
        <w:ind w:left="5530" w:hanging="360"/>
      </w:pPr>
      <w:rPr>
        <w:rFonts w:hint="default" w:ascii="Courier New" w:hAnsi="Courier New" w:cs="Courier New"/>
      </w:rPr>
    </w:lvl>
    <w:lvl w:ilvl="8" w:tplc="240A0005" w:tentative="1">
      <w:start w:val="1"/>
      <w:numFmt w:val="bullet"/>
      <w:lvlText w:val=""/>
      <w:lvlJc w:val="left"/>
      <w:pPr>
        <w:ind w:left="6250" w:hanging="360"/>
      </w:pPr>
      <w:rPr>
        <w:rFonts w:hint="default" w:ascii="Wingdings" w:hAnsi="Wingdings"/>
      </w:rPr>
    </w:lvl>
  </w:abstractNum>
  <w:abstractNum w:abstractNumId="16" w15:restartNumberingAfterBreak="0">
    <w:nsid w:val="321504E0"/>
    <w:multiLevelType w:val="hybridMultilevel"/>
    <w:tmpl w:val="ABD0E444"/>
    <w:lvl w:ilvl="0" w:tplc="240A0001">
      <w:start w:val="1"/>
      <w:numFmt w:val="bullet"/>
      <w:lvlText w:val=""/>
      <w:lvlJc w:val="left"/>
      <w:pPr>
        <w:ind w:left="720" w:hanging="360"/>
      </w:pPr>
      <w:rPr>
        <w:rFonts w:hint="default" w:ascii="Symbol" w:hAnsi="Symbol"/>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7" w15:restartNumberingAfterBreak="0">
    <w:nsid w:val="3505475A"/>
    <w:multiLevelType w:val="hybridMultilevel"/>
    <w:tmpl w:val="2F1231F2"/>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18" w15:restartNumberingAfterBreak="0">
    <w:nsid w:val="36C97571"/>
    <w:multiLevelType w:val="hybridMultilevel"/>
    <w:tmpl w:val="62F260F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9" w15:restartNumberingAfterBreak="0">
    <w:nsid w:val="37336571"/>
    <w:multiLevelType w:val="hybridMultilevel"/>
    <w:tmpl w:val="EC10C2F0"/>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37FD1E35"/>
    <w:multiLevelType w:val="hybridMultilevel"/>
    <w:tmpl w:val="D910DBA2"/>
    <w:lvl w:ilvl="0" w:tplc="240A0001">
      <w:start w:val="1"/>
      <w:numFmt w:val="bullet"/>
      <w:lvlText w:val=""/>
      <w:lvlJc w:val="left"/>
      <w:pPr>
        <w:ind w:left="720" w:hanging="360"/>
      </w:pPr>
      <w:rPr>
        <w:rFonts w:hint="default" w:ascii="Symbol" w:hAnsi="Symbol"/>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1" w15:restartNumberingAfterBreak="0">
    <w:nsid w:val="389F71EF"/>
    <w:multiLevelType w:val="multilevel"/>
    <w:tmpl w:val="8630750A"/>
    <w:lvl w:ilvl="0">
      <w:start w:val="1"/>
      <w:numFmt w:val="decimal"/>
      <w:lvlText w:val="%1."/>
      <w:lvlJc w:val="left"/>
      <w:pPr>
        <w:ind w:left="1080" w:hanging="720"/>
      </w:pPr>
      <w:rPr>
        <w:b/>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8CE7363"/>
    <w:multiLevelType w:val="hybridMultilevel"/>
    <w:tmpl w:val="E62477B6"/>
    <w:lvl w:ilvl="0" w:tplc="95C8ABF6">
      <w:numFmt w:val="bullet"/>
      <w:lvlText w:val="-"/>
      <w:lvlJc w:val="left"/>
      <w:pPr>
        <w:ind w:left="720" w:hanging="360"/>
      </w:pPr>
      <w:rPr>
        <w:rFonts w:hint="default" w:ascii="Calibri" w:hAnsi="Calibri" w:cs="Calibri" w:eastAsiaTheme="minorHAnsi"/>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23" w15:restartNumberingAfterBreak="0">
    <w:nsid w:val="38D501EB"/>
    <w:multiLevelType w:val="multilevel"/>
    <w:tmpl w:val="ACA47B04"/>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3C0F5066"/>
    <w:multiLevelType w:val="multilevel"/>
    <w:tmpl w:val="36F83CB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5" w15:restartNumberingAfterBreak="0">
    <w:nsid w:val="3C780E5B"/>
    <w:multiLevelType w:val="multilevel"/>
    <w:tmpl w:val="E71E14B6"/>
    <w:lvl w:ilvl="0">
      <w:start w:val="1"/>
      <w:numFmt w:val="bullet"/>
      <w:lvlText w:val=""/>
      <w:lvlJc w:val="left"/>
      <w:pPr>
        <w:tabs>
          <w:tab w:val="num" w:pos="720"/>
        </w:tabs>
        <w:ind w:left="720" w:hanging="360"/>
      </w:pPr>
      <w:rPr>
        <w:rFonts w:hint="default" w:ascii="Symbol" w:hAnsi="Symbol"/>
        <w:sz w:val="22"/>
        <w:szCs w:val="22"/>
      </w:rPr>
    </w:lvl>
    <w:lvl w:ilvl="1">
      <w:start w:val="1"/>
      <w:numFmt w:val="decimal"/>
      <w:lvlText w:val="%2."/>
      <w:lvlJc w:val="left"/>
      <w:pPr>
        <w:ind w:left="720" w:hanging="360"/>
      </w:pPr>
    </w:lvl>
    <w:lvl w:ilvl="2">
      <w:start w:val="1"/>
      <w:numFmt w:val="upperRoman"/>
      <w:lvlText w:val="%3."/>
      <w:lvlJc w:val="right"/>
      <w:pPr>
        <w:ind w:left="2160" w:hanging="360"/>
      </w:pPr>
    </w:lvl>
    <w:lvl w:ilvl="3">
      <w:start w:val="1"/>
      <w:numFmt w:val="lowerRoman"/>
      <w:lvlText w:val="%4."/>
      <w:lvlJc w:val="left"/>
      <w:pPr>
        <w:ind w:left="3240" w:hanging="720"/>
      </w:pPr>
      <w:rPr>
        <w:rFonts w:hint="default"/>
        <w:strike w:val="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3F7112BB"/>
    <w:multiLevelType w:val="hybridMultilevel"/>
    <w:tmpl w:val="963A9DAC"/>
    <w:lvl w:ilvl="0" w:tplc="59F2340C">
      <w:start w:val="1"/>
      <w:numFmt w:val="decimal"/>
      <w:lvlText w:val="%1."/>
      <w:lvlJc w:val="left"/>
      <w:pPr>
        <w:ind w:left="720" w:hanging="360"/>
      </w:pPr>
      <w:rPr>
        <w:b/>
        <w:bCs/>
      </w:rPr>
    </w:lvl>
    <w:lvl w:ilvl="1" w:tplc="0C0A0003">
      <w:start w:val="1"/>
      <w:numFmt w:val="bullet"/>
      <w:lvlText w:val="o"/>
      <w:lvlJc w:val="left"/>
      <w:pPr>
        <w:ind w:left="1440" w:hanging="360"/>
      </w:pPr>
      <w:rPr>
        <w:rFonts w:hint="default" w:ascii="Courier New" w:hAnsi="Courier New" w:cs="Courier New"/>
      </w:rPr>
    </w:lvl>
    <w:lvl w:ilvl="2" w:tplc="0C0A0005">
      <w:start w:val="1"/>
      <w:numFmt w:val="bullet"/>
      <w:lvlText w:val=""/>
      <w:lvlJc w:val="left"/>
      <w:pPr>
        <w:ind w:left="2160" w:hanging="360"/>
      </w:pPr>
      <w:rPr>
        <w:rFonts w:hint="default" w:ascii="Wingdings" w:hAnsi="Wingdings"/>
      </w:rPr>
    </w:lvl>
    <w:lvl w:ilvl="3" w:tplc="0C0A0001">
      <w:start w:val="1"/>
      <w:numFmt w:val="bullet"/>
      <w:lvlText w:val=""/>
      <w:lvlJc w:val="left"/>
      <w:pPr>
        <w:ind w:left="2880" w:hanging="360"/>
      </w:pPr>
      <w:rPr>
        <w:rFonts w:hint="default" w:ascii="Symbol" w:hAnsi="Symbol"/>
      </w:rPr>
    </w:lvl>
    <w:lvl w:ilvl="4" w:tplc="0C0A0003">
      <w:start w:val="1"/>
      <w:numFmt w:val="bullet"/>
      <w:lvlText w:val="o"/>
      <w:lvlJc w:val="left"/>
      <w:pPr>
        <w:ind w:left="3600" w:hanging="360"/>
      </w:pPr>
      <w:rPr>
        <w:rFonts w:hint="default" w:ascii="Courier New" w:hAnsi="Courier New" w:cs="Courier New"/>
      </w:rPr>
    </w:lvl>
    <w:lvl w:ilvl="5" w:tplc="0C0A0005">
      <w:start w:val="1"/>
      <w:numFmt w:val="bullet"/>
      <w:lvlText w:val=""/>
      <w:lvlJc w:val="left"/>
      <w:pPr>
        <w:ind w:left="4320" w:hanging="360"/>
      </w:pPr>
      <w:rPr>
        <w:rFonts w:hint="default" w:ascii="Wingdings" w:hAnsi="Wingdings"/>
      </w:rPr>
    </w:lvl>
    <w:lvl w:ilvl="6" w:tplc="0C0A0001">
      <w:start w:val="1"/>
      <w:numFmt w:val="bullet"/>
      <w:lvlText w:val=""/>
      <w:lvlJc w:val="left"/>
      <w:pPr>
        <w:ind w:left="5040" w:hanging="360"/>
      </w:pPr>
      <w:rPr>
        <w:rFonts w:hint="default" w:ascii="Symbol" w:hAnsi="Symbol"/>
      </w:rPr>
    </w:lvl>
    <w:lvl w:ilvl="7" w:tplc="0C0A0003">
      <w:start w:val="1"/>
      <w:numFmt w:val="bullet"/>
      <w:lvlText w:val="o"/>
      <w:lvlJc w:val="left"/>
      <w:pPr>
        <w:ind w:left="5760" w:hanging="360"/>
      </w:pPr>
      <w:rPr>
        <w:rFonts w:hint="default" w:ascii="Courier New" w:hAnsi="Courier New" w:cs="Courier New"/>
      </w:rPr>
    </w:lvl>
    <w:lvl w:ilvl="8" w:tplc="0C0A0005">
      <w:start w:val="1"/>
      <w:numFmt w:val="bullet"/>
      <w:lvlText w:val=""/>
      <w:lvlJc w:val="left"/>
      <w:pPr>
        <w:ind w:left="6480" w:hanging="360"/>
      </w:pPr>
      <w:rPr>
        <w:rFonts w:hint="default" w:ascii="Wingdings" w:hAnsi="Wingdings"/>
      </w:rPr>
    </w:lvl>
  </w:abstractNum>
  <w:abstractNum w:abstractNumId="27" w15:restartNumberingAfterBreak="0">
    <w:nsid w:val="41A225DB"/>
    <w:multiLevelType w:val="multilevel"/>
    <w:tmpl w:val="38B284B6"/>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bCs/>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46A43B62"/>
    <w:multiLevelType w:val="hybridMultilevel"/>
    <w:tmpl w:val="74D0AF1A"/>
    <w:lvl w:ilvl="0" w:tplc="240A0001">
      <w:start w:val="1"/>
      <w:numFmt w:val="bullet"/>
      <w:lvlText w:val=""/>
      <w:lvlJc w:val="left"/>
      <w:pPr>
        <w:ind w:left="720" w:hanging="360"/>
      </w:pPr>
      <w:rPr>
        <w:rFonts w:hint="default" w:ascii="Symbol" w:hAnsi="Symbol"/>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9" w15:restartNumberingAfterBreak="0">
    <w:nsid w:val="48B7DE8D"/>
    <w:multiLevelType w:val="hybridMultilevel"/>
    <w:tmpl w:val="6B86518A"/>
    <w:lvl w:ilvl="0" w:tplc="6E02A8CC">
      <w:start w:val="1"/>
      <w:numFmt w:val="decimal"/>
      <w:lvlText w:val="%1."/>
      <w:lvlJc w:val="left"/>
      <w:pPr>
        <w:ind w:left="720" w:hanging="360"/>
      </w:pPr>
    </w:lvl>
    <w:lvl w:ilvl="1" w:tplc="4880A346">
      <w:start w:val="1"/>
      <w:numFmt w:val="lowerLetter"/>
      <w:lvlText w:val="%2."/>
      <w:lvlJc w:val="left"/>
      <w:pPr>
        <w:ind w:left="1440" w:hanging="360"/>
      </w:pPr>
    </w:lvl>
    <w:lvl w:ilvl="2" w:tplc="63949858">
      <w:start w:val="1"/>
      <w:numFmt w:val="lowerRoman"/>
      <w:lvlText w:val="%3."/>
      <w:lvlJc w:val="right"/>
      <w:pPr>
        <w:ind w:left="2160" w:hanging="180"/>
      </w:pPr>
    </w:lvl>
    <w:lvl w:ilvl="3" w:tplc="ED58F004">
      <w:start w:val="1"/>
      <w:numFmt w:val="decimal"/>
      <w:lvlText w:val="%4."/>
      <w:lvlJc w:val="left"/>
      <w:pPr>
        <w:ind w:left="2880" w:hanging="360"/>
      </w:pPr>
    </w:lvl>
    <w:lvl w:ilvl="4" w:tplc="745C4B82">
      <w:start w:val="1"/>
      <w:numFmt w:val="lowerLetter"/>
      <w:lvlText w:val="%5."/>
      <w:lvlJc w:val="left"/>
      <w:pPr>
        <w:ind w:left="3600" w:hanging="360"/>
      </w:pPr>
    </w:lvl>
    <w:lvl w:ilvl="5" w:tplc="454E0F02">
      <w:start w:val="1"/>
      <w:numFmt w:val="lowerRoman"/>
      <w:lvlText w:val="%6."/>
      <w:lvlJc w:val="right"/>
      <w:pPr>
        <w:ind w:left="4320" w:hanging="180"/>
      </w:pPr>
    </w:lvl>
    <w:lvl w:ilvl="6" w:tplc="0D585910">
      <w:start w:val="1"/>
      <w:numFmt w:val="decimal"/>
      <w:lvlText w:val="%7."/>
      <w:lvlJc w:val="left"/>
      <w:pPr>
        <w:ind w:left="5040" w:hanging="360"/>
      </w:pPr>
    </w:lvl>
    <w:lvl w:ilvl="7" w:tplc="25A49018">
      <w:start w:val="1"/>
      <w:numFmt w:val="lowerLetter"/>
      <w:lvlText w:val="%8."/>
      <w:lvlJc w:val="left"/>
      <w:pPr>
        <w:ind w:left="5760" w:hanging="360"/>
      </w:pPr>
    </w:lvl>
    <w:lvl w:ilvl="8" w:tplc="84644E68">
      <w:start w:val="1"/>
      <w:numFmt w:val="lowerRoman"/>
      <w:lvlText w:val="%9."/>
      <w:lvlJc w:val="right"/>
      <w:pPr>
        <w:ind w:left="6480" w:hanging="180"/>
      </w:pPr>
    </w:lvl>
  </w:abstractNum>
  <w:abstractNum w:abstractNumId="30" w15:restartNumberingAfterBreak="0">
    <w:nsid w:val="48E25273"/>
    <w:multiLevelType w:val="multilevel"/>
    <w:tmpl w:val="7BC000C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15:restartNumberingAfterBreak="0">
    <w:nsid w:val="49090F54"/>
    <w:multiLevelType w:val="hybridMultilevel"/>
    <w:tmpl w:val="7DE2CBBA"/>
    <w:lvl w:ilvl="0" w:tplc="390AA45A">
      <w:numFmt w:val="bullet"/>
      <w:lvlText w:val=""/>
      <w:lvlJc w:val="left"/>
      <w:pPr>
        <w:ind w:left="720" w:hanging="360"/>
      </w:pPr>
      <w:rPr>
        <w:rFonts w:hint="default" w:ascii="Symbol" w:hAnsi="Symbol"/>
      </w:rPr>
    </w:lvl>
    <w:lvl w:ilvl="1" w:tplc="900C958C">
      <w:start w:val="1"/>
      <w:numFmt w:val="bullet"/>
      <w:lvlText w:val="o"/>
      <w:lvlJc w:val="left"/>
      <w:pPr>
        <w:ind w:left="1440" w:hanging="360"/>
      </w:pPr>
      <w:rPr>
        <w:rFonts w:hint="default" w:ascii="Courier New" w:hAnsi="Courier New"/>
      </w:rPr>
    </w:lvl>
    <w:lvl w:ilvl="2" w:tplc="BF047894">
      <w:start w:val="1"/>
      <w:numFmt w:val="bullet"/>
      <w:lvlText w:val=""/>
      <w:lvlJc w:val="left"/>
      <w:pPr>
        <w:ind w:left="2160" w:hanging="360"/>
      </w:pPr>
      <w:rPr>
        <w:rFonts w:hint="default" w:ascii="Wingdings" w:hAnsi="Wingdings"/>
      </w:rPr>
    </w:lvl>
    <w:lvl w:ilvl="3" w:tplc="3E884EC6">
      <w:start w:val="1"/>
      <w:numFmt w:val="bullet"/>
      <w:lvlText w:val=""/>
      <w:lvlJc w:val="left"/>
      <w:pPr>
        <w:ind w:left="2880" w:hanging="360"/>
      </w:pPr>
      <w:rPr>
        <w:rFonts w:hint="default" w:ascii="Symbol" w:hAnsi="Symbol"/>
      </w:rPr>
    </w:lvl>
    <w:lvl w:ilvl="4" w:tplc="51D863D0">
      <w:start w:val="1"/>
      <w:numFmt w:val="bullet"/>
      <w:lvlText w:val="o"/>
      <w:lvlJc w:val="left"/>
      <w:pPr>
        <w:ind w:left="3600" w:hanging="360"/>
      </w:pPr>
      <w:rPr>
        <w:rFonts w:hint="default" w:ascii="Courier New" w:hAnsi="Courier New"/>
      </w:rPr>
    </w:lvl>
    <w:lvl w:ilvl="5" w:tplc="B5D082A8">
      <w:start w:val="1"/>
      <w:numFmt w:val="bullet"/>
      <w:lvlText w:val=""/>
      <w:lvlJc w:val="left"/>
      <w:pPr>
        <w:ind w:left="4320" w:hanging="360"/>
      </w:pPr>
      <w:rPr>
        <w:rFonts w:hint="default" w:ascii="Wingdings" w:hAnsi="Wingdings"/>
      </w:rPr>
    </w:lvl>
    <w:lvl w:ilvl="6" w:tplc="CFDCB0FA">
      <w:start w:val="1"/>
      <w:numFmt w:val="bullet"/>
      <w:lvlText w:val=""/>
      <w:lvlJc w:val="left"/>
      <w:pPr>
        <w:ind w:left="5040" w:hanging="360"/>
      </w:pPr>
      <w:rPr>
        <w:rFonts w:hint="default" w:ascii="Symbol" w:hAnsi="Symbol"/>
      </w:rPr>
    </w:lvl>
    <w:lvl w:ilvl="7" w:tplc="E4009466">
      <w:start w:val="1"/>
      <w:numFmt w:val="bullet"/>
      <w:lvlText w:val="o"/>
      <w:lvlJc w:val="left"/>
      <w:pPr>
        <w:ind w:left="5760" w:hanging="360"/>
      </w:pPr>
      <w:rPr>
        <w:rFonts w:hint="default" w:ascii="Courier New" w:hAnsi="Courier New"/>
      </w:rPr>
    </w:lvl>
    <w:lvl w:ilvl="8" w:tplc="9B188C54">
      <w:start w:val="1"/>
      <w:numFmt w:val="bullet"/>
      <w:lvlText w:val=""/>
      <w:lvlJc w:val="left"/>
      <w:pPr>
        <w:ind w:left="6480" w:hanging="360"/>
      </w:pPr>
      <w:rPr>
        <w:rFonts w:hint="default" w:ascii="Wingdings" w:hAnsi="Wingdings"/>
      </w:rPr>
    </w:lvl>
  </w:abstractNum>
  <w:abstractNum w:abstractNumId="32" w15:restartNumberingAfterBreak="0">
    <w:nsid w:val="4ACE0A63"/>
    <w:multiLevelType w:val="hybridMultilevel"/>
    <w:tmpl w:val="76784D74"/>
    <w:lvl w:ilvl="0" w:tplc="240A0001">
      <w:start w:val="1"/>
      <w:numFmt w:val="bullet"/>
      <w:lvlText w:val=""/>
      <w:lvlJc w:val="left"/>
      <w:pPr>
        <w:ind w:left="1440" w:hanging="360"/>
      </w:pPr>
      <w:rPr>
        <w:rFonts w:hint="default" w:ascii="Symbol" w:hAnsi="Symbol"/>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33" w15:restartNumberingAfterBreak="0">
    <w:nsid w:val="4C953743"/>
    <w:multiLevelType w:val="hybridMultilevel"/>
    <w:tmpl w:val="744E43C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4" w15:restartNumberingAfterBreak="0">
    <w:nsid w:val="4D712117"/>
    <w:multiLevelType w:val="multilevel"/>
    <w:tmpl w:val="4DD2E01A"/>
    <w:lvl w:ilvl="0">
      <w:numFmt w:val="bullet"/>
      <w:lvlText w:val="-"/>
      <w:lvlJc w:val="left"/>
      <w:pPr>
        <w:ind w:left="720" w:hanging="360"/>
      </w:pPr>
      <w:rPr>
        <w:rFonts w:ascii="Calibri" w:hAnsi="Calibri" w:eastAsia="Calibri" w:cs="Calibri"/>
        <w:b/>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5" w15:restartNumberingAfterBreak="0">
    <w:nsid w:val="4EC6576C"/>
    <w:multiLevelType w:val="hybridMultilevel"/>
    <w:tmpl w:val="47C49070"/>
    <w:lvl w:ilvl="0" w:tplc="EB665144">
      <w:start w:val="1"/>
      <w:numFmt w:val="decimal"/>
      <w:lvlText w:val="%1."/>
      <w:lvlJc w:val="left"/>
      <w:pPr>
        <w:ind w:left="644" w:hanging="360"/>
      </w:pPr>
      <w:rPr>
        <w:rFonts w:hint="default" w:asciiTheme="minorHAnsi" w:hAnsiTheme="minorHAnsi" w:cstheme="minorHAnsi"/>
        <w:b/>
        <w:bCs w:val="0"/>
        <w:sz w:val="22"/>
      </w:rPr>
    </w:lvl>
    <w:lvl w:ilvl="1" w:tplc="240A0019">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36" w15:restartNumberingAfterBreak="0">
    <w:nsid w:val="533711FC"/>
    <w:multiLevelType w:val="hybridMultilevel"/>
    <w:tmpl w:val="FFFFFFFF"/>
    <w:lvl w:ilvl="0" w:tplc="60A04CE8">
      <w:start w:val="1"/>
      <w:numFmt w:val="bullet"/>
      <w:lvlText w:val="·"/>
      <w:lvlJc w:val="left"/>
      <w:pPr>
        <w:ind w:left="720" w:hanging="360"/>
      </w:pPr>
      <w:rPr>
        <w:rFonts w:hint="default" w:ascii="Symbol" w:hAnsi="Symbol"/>
      </w:rPr>
    </w:lvl>
    <w:lvl w:ilvl="1" w:tplc="C9A8E6FE">
      <w:start w:val="1"/>
      <w:numFmt w:val="bullet"/>
      <w:lvlText w:val="o"/>
      <w:lvlJc w:val="left"/>
      <w:pPr>
        <w:ind w:left="1440" w:hanging="360"/>
      </w:pPr>
      <w:rPr>
        <w:rFonts w:hint="default" w:ascii="Courier New" w:hAnsi="Courier New"/>
      </w:rPr>
    </w:lvl>
    <w:lvl w:ilvl="2" w:tplc="55029DEA">
      <w:start w:val="1"/>
      <w:numFmt w:val="bullet"/>
      <w:lvlText w:val=""/>
      <w:lvlJc w:val="left"/>
      <w:pPr>
        <w:ind w:left="2160" w:hanging="360"/>
      </w:pPr>
      <w:rPr>
        <w:rFonts w:hint="default" w:ascii="Wingdings" w:hAnsi="Wingdings"/>
      </w:rPr>
    </w:lvl>
    <w:lvl w:ilvl="3" w:tplc="A9BAE00E">
      <w:start w:val="1"/>
      <w:numFmt w:val="bullet"/>
      <w:lvlText w:val=""/>
      <w:lvlJc w:val="left"/>
      <w:pPr>
        <w:ind w:left="2880" w:hanging="360"/>
      </w:pPr>
      <w:rPr>
        <w:rFonts w:hint="default" w:ascii="Symbol" w:hAnsi="Symbol"/>
      </w:rPr>
    </w:lvl>
    <w:lvl w:ilvl="4" w:tplc="273CA58E">
      <w:start w:val="1"/>
      <w:numFmt w:val="bullet"/>
      <w:lvlText w:val="o"/>
      <w:lvlJc w:val="left"/>
      <w:pPr>
        <w:ind w:left="3600" w:hanging="360"/>
      </w:pPr>
      <w:rPr>
        <w:rFonts w:hint="default" w:ascii="Courier New" w:hAnsi="Courier New"/>
      </w:rPr>
    </w:lvl>
    <w:lvl w:ilvl="5" w:tplc="CEE84708">
      <w:start w:val="1"/>
      <w:numFmt w:val="bullet"/>
      <w:lvlText w:val=""/>
      <w:lvlJc w:val="left"/>
      <w:pPr>
        <w:ind w:left="4320" w:hanging="360"/>
      </w:pPr>
      <w:rPr>
        <w:rFonts w:hint="default" w:ascii="Wingdings" w:hAnsi="Wingdings"/>
      </w:rPr>
    </w:lvl>
    <w:lvl w:ilvl="6" w:tplc="90DEF778">
      <w:start w:val="1"/>
      <w:numFmt w:val="bullet"/>
      <w:lvlText w:val=""/>
      <w:lvlJc w:val="left"/>
      <w:pPr>
        <w:ind w:left="5040" w:hanging="360"/>
      </w:pPr>
      <w:rPr>
        <w:rFonts w:hint="default" w:ascii="Symbol" w:hAnsi="Symbol"/>
      </w:rPr>
    </w:lvl>
    <w:lvl w:ilvl="7" w:tplc="76E4AADA">
      <w:start w:val="1"/>
      <w:numFmt w:val="bullet"/>
      <w:lvlText w:val="o"/>
      <w:lvlJc w:val="left"/>
      <w:pPr>
        <w:ind w:left="5760" w:hanging="360"/>
      </w:pPr>
      <w:rPr>
        <w:rFonts w:hint="default" w:ascii="Courier New" w:hAnsi="Courier New"/>
      </w:rPr>
    </w:lvl>
    <w:lvl w:ilvl="8" w:tplc="FDC64BC6">
      <w:start w:val="1"/>
      <w:numFmt w:val="bullet"/>
      <w:lvlText w:val=""/>
      <w:lvlJc w:val="left"/>
      <w:pPr>
        <w:ind w:left="6480" w:hanging="360"/>
      </w:pPr>
      <w:rPr>
        <w:rFonts w:hint="default" w:ascii="Wingdings" w:hAnsi="Wingdings"/>
      </w:rPr>
    </w:lvl>
  </w:abstractNum>
  <w:abstractNum w:abstractNumId="37" w15:restartNumberingAfterBreak="0">
    <w:nsid w:val="562F1EAE"/>
    <w:multiLevelType w:val="hybridMultilevel"/>
    <w:tmpl w:val="9EE2ACB8"/>
    <w:lvl w:ilvl="0" w:tplc="240A0001">
      <w:start w:val="1"/>
      <w:numFmt w:val="bullet"/>
      <w:lvlText w:val=""/>
      <w:lvlJc w:val="left"/>
      <w:pPr>
        <w:ind w:left="720" w:hanging="360"/>
      </w:pPr>
      <w:rPr>
        <w:rFonts w:hint="default" w:ascii="Symbol" w:hAnsi="Symbol"/>
      </w:rPr>
    </w:lvl>
    <w:lvl w:ilvl="1" w:tplc="240A0003">
      <w:start w:val="1"/>
      <w:numFmt w:val="bullet"/>
      <w:lvlText w:val="o"/>
      <w:lvlJc w:val="left"/>
      <w:pPr>
        <w:ind w:left="1440" w:hanging="360"/>
      </w:pPr>
      <w:rPr>
        <w:rFonts w:hint="default" w:ascii="Courier New" w:hAnsi="Courier New" w:cs="Courier New"/>
      </w:rPr>
    </w:lvl>
    <w:lvl w:ilvl="2" w:tplc="240A0005">
      <w:start w:val="1"/>
      <w:numFmt w:val="bullet"/>
      <w:lvlText w:val=""/>
      <w:lvlJc w:val="left"/>
      <w:pPr>
        <w:ind w:left="2160" w:hanging="360"/>
      </w:pPr>
      <w:rPr>
        <w:rFonts w:hint="default" w:ascii="Wingdings" w:hAnsi="Wingdings"/>
      </w:rPr>
    </w:lvl>
    <w:lvl w:ilvl="3" w:tplc="240A0001">
      <w:start w:val="1"/>
      <w:numFmt w:val="bullet"/>
      <w:lvlText w:val=""/>
      <w:lvlJc w:val="left"/>
      <w:pPr>
        <w:ind w:left="2880" w:hanging="360"/>
      </w:pPr>
      <w:rPr>
        <w:rFonts w:hint="default" w:ascii="Symbol" w:hAnsi="Symbol"/>
      </w:rPr>
    </w:lvl>
    <w:lvl w:ilvl="4" w:tplc="240A0003">
      <w:start w:val="1"/>
      <w:numFmt w:val="bullet"/>
      <w:lvlText w:val="o"/>
      <w:lvlJc w:val="left"/>
      <w:pPr>
        <w:ind w:left="3600" w:hanging="360"/>
      </w:pPr>
      <w:rPr>
        <w:rFonts w:hint="default" w:ascii="Courier New" w:hAnsi="Courier New" w:cs="Courier New"/>
      </w:rPr>
    </w:lvl>
    <w:lvl w:ilvl="5" w:tplc="240A0005">
      <w:start w:val="1"/>
      <w:numFmt w:val="bullet"/>
      <w:lvlText w:val=""/>
      <w:lvlJc w:val="left"/>
      <w:pPr>
        <w:ind w:left="4320" w:hanging="360"/>
      </w:pPr>
      <w:rPr>
        <w:rFonts w:hint="default" w:ascii="Wingdings" w:hAnsi="Wingdings"/>
      </w:rPr>
    </w:lvl>
    <w:lvl w:ilvl="6" w:tplc="240A0001">
      <w:start w:val="1"/>
      <w:numFmt w:val="bullet"/>
      <w:lvlText w:val=""/>
      <w:lvlJc w:val="left"/>
      <w:pPr>
        <w:ind w:left="5040" w:hanging="360"/>
      </w:pPr>
      <w:rPr>
        <w:rFonts w:hint="default" w:ascii="Symbol" w:hAnsi="Symbol"/>
      </w:rPr>
    </w:lvl>
    <w:lvl w:ilvl="7" w:tplc="240A0003">
      <w:start w:val="1"/>
      <w:numFmt w:val="bullet"/>
      <w:lvlText w:val="o"/>
      <w:lvlJc w:val="left"/>
      <w:pPr>
        <w:ind w:left="5760" w:hanging="360"/>
      </w:pPr>
      <w:rPr>
        <w:rFonts w:hint="default" w:ascii="Courier New" w:hAnsi="Courier New" w:cs="Courier New"/>
      </w:rPr>
    </w:lvl>
    <w:lvl w:ilvl="8" w:tplc="240A0005">
      <w:start w:val="1"/>
      <w:numFmt w:val="bullet"/>
      <w:lvlText w:val=""/>
      <w:lvlJc w:val="left"/>
      <w:pPr>
        <w:ind w:left="6480" w:hanging="360"/>
      </w:pPr>
      <w:rPr>
        <w:rFonts w:hint="default" w:ascii="Wingdings" w:hAnsi="Wingdings"/>
      </w:rPr>
    </w:lvl>
  </w:abstractNum>
  <w:abstractNum w:abstractNumId="38" w15:restartNumberingAfterBreak="0">
    <w:nsid w:val="610C50DB"/>
    <w:multiLevelType w:val="hybridMultilevel"/>
    <w:tmpl w:val="6A92F44A"/>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39" w15:restartNumberingAfterBreak="0">
    <w:nsid w:val="633D6AC6"/>
    <w:multiLevelType w:val="hybridMultilevel"/>
    <w:tmpl w:val="9DF68D3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C86764">
      <w:start w:val="1"/>
      <w:numFmt w:val="decimal"/>
      <w:lvlText w:val="%4."/>
      <w:lvlJc w:val="left"/>
      <w:pPr>
        <w:ind w:left="2880" w:hanging="360"/>
      </w:pPr>
      <w:rPr>
        <w:b/>
        <w:bCs/>
      </w:r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644275E5"/>
    <w:multiLevelType w:val="hybridMultilevel"/>
    <w:tmpl w:val="A11056CC"/>
    <w:lvl w:ilvl="0" w:tplc="627CBF86">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15:restartNumberingAfterBreak="0">
    <w:nsid w:val="6A190E1E"/>
    <w:multiLevelType w:val="multilevel"/>
    <w:tmpl w:val="67ACC750"/>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AA102B6"/>
    <w:multiLevelType w:val="multilevel"/>
    <w:tmpl w:val="6BDC497A"/>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6D4C4CCE"/>
    <w:multiLevelType w:val="hybridMultilevel"/>
    <w:tmpl w:val="6BCE4E5E"/>
    <w:lvl w:ilvl="0" w:tplc="DC541B3C">
      <w:start w:val="1"/>
      <w:numFmt w:val="decimal"/>
      <w:lvlText w:val="%1."/>
      <w:lvlJc w:val="left"/>
      <w:pPr>
        <w:ind w:left="720" w:hanging="360"/>
      </w:pPr>
      <w:rPr>
        <w:rFonts w:hint="default"/>
        <w:b/>
        <w:bCs/>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15:restartNumberingAfterBreak="0">
    <w:nsid w:val="70E61C69"/>
    <w:multiLevelType w:val="hybridMultilevel"/>
    <w:tmpl w:val="FFFFFFFF"/>
    <w:lvl w:ilvl="0" w:tplc="275C58C8">
      <w:start w:val="1"/>
      <w:numFmt w:val="decimal"/>
      <w:lvlText w:val="%1."/>
      <w:lvlJc w:val="left"/>
      <w:pPr>
        <w:ind w:left="720" w:hanging="360"/>
      </w:pPr>
      <w:rPr>
        <w:rFonts w:hint="default" w:ascii="Calibri" w:hAnsi="Calibri"/>
      </w:rPr>
    </w:lvl>
    <w:lvl w:ilvl="1" w:tplc="4CD63B24">
      <w:start w:val="1"/>
      <w:numFmt w:val="lowerLetter"/>
      <w:lvlText w:val="%2."/>
      <w:lvlJc w:val="left"/>
      <w:pPr>
        <w:ind w:left="1440" w:hanging="360"/>
      </w:pPr>
    </w:lvl>
    <w:lvl w:ilvl="2" w:tplc="45787CCC">
      <w:start w:val="1"/>
      <w:numFmt w:val="lowerRoman"/>
      <w:lvlText w:val="%3."/>
      <w:lvlJc w:val="right"/>
      <w:pPr>
        <w:ind w:left="2160" w:hanging="180"/>
      </w:pPr>
    </w:lvl>
    <w:lvl w:ilvl="3" w:tplc="28C6B578">
      <w:start w:val="1"/>
      <w:numFmt w:val="decimal"/>
      <w:lvlText w:val="%4."/>
      <w:lvlJc w:val="left"/>
      <w:pPr>
        <w:ind w:left="2880" w:hanging="360"/>
      </w:pPr>
    </w:lvl>
    <w:lvl w:ilvl="4" w:tplc="353E1A3C">
      <w:start w:val="1"/>
      <w:numFmt w:val="lowerLetter"/>
      <w:lvlText w:val="%5."/>
      <w:lvlJc w:val="left"/>
      <w:pPr>
        <w:ind w:left="3600" w:hanging="360"/>
      </w:pPr>
    </w:lvl>
    <w:lvl w:ilvl="5" w:tplc="C9AC79F6">
      <w:start w:val="1"/>
      <w:numFmt w:val="lowerRoman"/>
      <w:lvlText w:val="%6."/>
      <w:lvlJc w:val="right"/>
      <w:pPr>
        <w:ind w:left="4320" w:hanging="180"/>
      </w:pPr>
    </w:lvl>
    <w:lvl w:ilvl="6" w:tplc="64522CF0">
      <w:start w:val="1"/>
      <w:numFmt w:val="decimal"/>
      <w:lvlText w:val="%7."/>
      <w:lvlJc w:val="left"/>
      <w:pPr>
        <w:ind w:left="5040" w:hanging="360"/>
      </w:pPr>
    </w:lvl>
    <w:lvl w:ilvl="7" w:tplc="4C6888BC">
      <w:start w:val="1"/>
      <w:numFmt w:val="lowerLetter"/>
      <w:lvlText w:val="%8."/>
      <w:lvlJc w:val="left"/>
      <w:pPr>
        <w:ind w:left="5760" w:hanging="360"/>
      </w:pPr>
    </w:lvl>
    <w:lvl w:ilvl="8" w:tplc="FC3EA0C6">
      <w:start w:val="1"/>
      <w:numFmt w:val="lowerRoman"/>
      <w:lvlText w:val="%9."/>
      <w:lvlJc w:val="right"/>
      <w:pPr>
        <w:ind w:left="6480" w:hanging="180"/>
      </w:pPr>
    </w:lvl>
  </w:abstractNum>
  <w:abstractNum w:abstractNumId="45" w15:restartNumberingAfterBreak="0">
    <w:nsid w:val="720861BB"/>
    <w:multiLevelType w:val="hybridMultilevel"/>
    <w:tmpl w:val="2D7417DE"/>
    <w:lvl w:ilvl="0" w:tplc="240A0001">
      <w:start w:val="1"/>
      <w:numFmt w:val="bullet"/>
      <w:lvlText w:val=""/>
      <w:lvlJc w:val="left"/>
      <w:pPr>
        <w:ind w:left="783" w:hanging="360"/>
      </w:pPr>
      <w:rPr>
        <w:rFonts w:hint="default" w:ascii="Symbol" w:hAnsi="Symbol"/>
      </w:rPr>
    </w:lvl>
    <w:lvl w:ilvl="1" w:tplc="240A0003" w:tentative="1">
      <w:start w:val="1"/>
      <w:numFmt w:val="bullet"/>
      <w:lvlText w:val="o"/>
      <w:lvlJc w:val="left"/>
      <w:pPr>
        <w:ind w:left="1503" w:hanging="360"/>
      </w:pPr>
      <w:rPr>
        <w:rFonts w:hint="default" w:ascii="Courier New" w:hAnsi="Courier New" w:cs="Courier New"/>
      </w:rPr>
    </w:lvl>
    <w:lvl w:ilvl="2" w:tplc="240A0005" w:tentative="1">
      <w:start w:val="1"/>
      <w:numFmt w:val="bullet"/>
      <w:lvlText w:val=""/>
      <w:lvlJc w:val="left"/>
      <w:pPr>
        <w:ind w:left="2223" w:hanging="360"/>
      </w:pPr>
      <w:rPr>
        <w:rFonts w:hint="default" w:ascii="Wingdings" w:hAnsi="Wingdings"/>
      </w:rPr>
    </w:lvl>
    <w:lvl w:ilvl="3" w:tplc="240A0001" w:tentative="1">
      <w:start w:val="1"/>
      <w:numFmt w:val="bullet"/>
      <w:lvlText w:val=""/>
      <w:lvlJc w:val="left"/>
      <w:pPr>
        <w:ind w:left="2943" w:hanging="360"/>
      </w:pPr>
      <w:rPr>
        <w:rFonts w:hint="default" w:ascii="Symbol" w:hAnsi="Symbol"/>
      </w:rPr>
    </w:lvl>
    <w:lvl w:ilvl="4" w:tplc="240A0003" w:tentative="1">
      <w:start w:val="1"/>
      <w:numFmt w:val="bullet"/>
      <w:lvlText w:val="o"/>
      <w:lvlJc w:val="left"/>
      <w:pPr>
        <w:ind w:left="3663" w:hanging="360"/>
      </w:pPr>
      <w:rPr>
        <w:rFonts w:hint="default" w:ascii="Courier New" w:hAnsi="Courier New" w:cs="Courier New"/>
      </w:rPr>
    </w:lvl>
    <w:lvl w:ilvl="5" w:tplc="240A0005" w:tentative="1">
      <w:start w:val="1"/>
      <w:numFmt w:val="bullet"/>
      <w:lvlText w:val=""/>
      <w:lvlJc w:val="left"/>
      <w:pPr>
        <w:ind w:left="4383" w:hanging="360"/>
      </w:pPr>
      <w:rPr>
        <w:rFonts w:hint="default" w:ascii="Wingdings" w:hAnsi="Wingdings"/>
      </w:rPr>
    </w:lvl>
    <w:lvl w:ilvl="6" w:tplc="240A0001" w:tentative="1">
      <w:start w:val="1"/>
      <w:numFmt w:val="bullet"/>
      <w:lvlText w:val=""/>
      <w:lvlJc w:val="left"/>
      <w:pPr>
        <w:ind w:left="5103" w:hanging="360"/>
      </w:pPr>
      <w:rPr>
        <w:rFonts w:hint="default" w:ascii="Symbol" w:hAnsi="Symbol"/>
      </w:rPr>
    </w:lvl>
    <w:lvl w:ilvl="7" w:tplc="240A0003" w:tentative="1">
      <w:start w:val="1"/>
      <w:numFmt w:val="bullet"/>
      <w:lvlText w:val="o"/>
      <w:lvlJc w:val="left"/>
      <w:pPr>
        <w:ind w:left="5823" w:hanging="360"/>
      </w:pPr>
      <w:rPr>
        <w:rFonts w:hint="default" w:ascii="Courier New" w:hAnsi="Courier New" w:cs="Courier New"/>
      </w:rPr>
    </w:lvl>
    <w:lvl w:ilvl="8" w:tplc="240A0005" w:tentative="1">
      <w:start w:val="1"/>
      <w:numFmt w:val="bullet"/>
      <w:lvlText w:val=""/>
      <w:lvlJc w:val="left"/>
      <w:pPr>
        <w:ind w:left="6543" w:hanging="360"/>
      </w:pPr>
      <w:rPr>
        <w:rFonts w:hint="default" w:ascii="Wingdings" w:hAnsi="Wingdings"/>
      </w:rPr>
    </w:lvl>
  </w:abstractNum>
  <w:abstractNum w:abstractNumId="46" w15:restartNumberingAfterBreak="0">
    <w:nsid w:val="729764D5"/>
    <w:multiLevelType w:val="hybridMultilevel"/>
    <w:tmpl w:val="0422DAAE"/>
    <w:lvl w:ilvl="0" w:tplc="FFFFFFFF">
      <w:start w:val="1"/>
      <w:numFmt w:val="decimal"/>
      <w:lvlText w:val="%1."/>
      <w:lvlJc w:val="left"/>
      <w:pPr>
        <w:ind w:left="6740" w:hanging="360"/>
      </w:pPr>
    </w:lvl>
    <w:lvl w:ilvl="1" w:tplc="240A0019">
      <w:start w:val="1"/>
      <w:numFmt w:val="lowerLetter"/>
      <w:lvlText w:val="%2."/>
      <w:lvlJc w:val="left"/>
      <w:pPr>
        <w:ind w:left="7460" w:hanging="360"/>
      </w:pPr>
    </w:lvl>
    <w:lvl w:ilvl="2" w:tplc="240A001B">
      <w:start w:val="1"/>
      <w:numFmt w:val="lowerRoman"/>
      <w:lvlText w:val="%3."/>
      <w:lvlJc w:val="right"/>
      <w:pPr>
        <w:ind w:left="8180" w:hanging="180"/>
      </w:pPr>
    </w:lvl>
    <w:lvl w:ilvl="3" w:tplc="240A000F" w:tentative="1">
      <w:start w:val="1"/>
      <w:numFmt w:val="decimal"/>
      <w:lvlText w:val="%4."/>
      <w:lvlJc w:val="left"/>
      <w:pPr>
        <w:ind w:left="8900" w:hanging="360"/>
      </w:pPr>
    </w:lvl>
    <w:lvl w:ilvl="4" w:tplc="240A0019" w:tentative="1">
      <w:start w:val="1"/>
      <w:numFmt w:val="lowerLetter"/>
      <w:lvlText w:val="%5."/>
      <w:lvlJc w:val="left"/>
      <w:pPr>
        <w:ind w:left="9620" w:hanging="360"/>
      </w:pPr>
    </w:lvl>
    <w:lvl w:ilvl="5" w:tplc="240A001B" w:tentative="1">
      <w:start w:val="1"/>
      <w:numFmt w:val="lowerRoman"/>
      <w:lvlText w:val="%6."/>
      <w:lvlJc w:val="right"/>
      <w:pPr>
        <w:ind w:left="10340" w:hanging="180"/>
      </w:pPr>
    </w:lvl>
    <w:lvl w:ilvl="6" w:tplc="240A000F" w:tentative="1">
      <w:start w:val="1"/>
      <w:numFmt w:val="decimal"/>
      <w:lvlText w:val="%7."/>
      <w:lvlJc w:val="left"/>
      <w:pPr>
        <w:ind w:left="11060" w:hanging="360"/>
      </w:pPr>
    </w:lvl>
    <w:lvl w:ilvl="7" w:tplc="240A0019" w:tentative="1">
      <w:start w:val="1"/>
      <w:numFmt w:val="lowerLetter"/>
      <w:lvlText w:val="%8."/>
      <w:lvlJc w:val="left"/>
      <w:pPr>
        <w:ind w:left="11780" w:hanging="360"/>
      </w:pPr>
    </w:lvl>
    <w:lvl w:ilvl="8" w:tplc="240A001B" w:tentative="1">
      <w:start w:val="1"/>
      <w:numFmt w:val="lowerRoman"/>
      <w:lvlText w:val="%9."/>
      <w:lvlJc w:val="right"/>
      <w:pPr>
        <w:ind w:left="12500" w:hanging="180"/>
      </w:pPr>
    </w:lvl>
  </w:abstractNum>
  <w:abstractNum w:abstractNumId="47" w15:restartNumberingAfterBreak="0">
    <w:nsid w:val="74118A84"/>
    <w:multiLevelType w:val="hybridMultilevel"/>
    <w:tmpl w:val="FFFFFFFF"/>
    <w:lvl w:ilvl="0" w:tplc="AFE09A94">
      <w:start w:val="1"/>
      <w:numFmt w:val="decimal"/>
      <w:lvlText w:val="%1."/>
      <w:lvlJc w:val="left"/>
      <w:pPr>
        <w:ind w:left="720" w:hanging="360"/>
      </w:pPr>
      <w:rPr>
        <w:rFonts w:hint="default" w:ascii="Calibri" w:hAnsi="Calibri"/>
      </w:rPr>
    </w:lvl>
    <w:lvl w:ilvl="1" w:tplc="86AE2534">
      <w:start w:val="1"/>
      <w:numFmt w:val="lowerLetter"/>
      <w:lvlText w:val="%2."/>
      <w:lvlJc w:val="left"/>
      <w:pPr>
        <w:ind w:left="1440" w:hanging="360"/>
      </w:pPr>
    </w:lvl>
    <w:lvl w:ilvl="2" w:tplc="9D16C64E">
      <w:start w:val="1"/>
      <w:numFmt w:val="lowerRoman"/>
      <w:lvlText w:val="%3."/>
      <w:lvlJc w:val="right"/>
      <w:pPr>
        <w:ind w:left="2160" w:hanging="180"/>
      </w:pPr>
    </w:lvl>
    <w:lvl w:ilvl="3" w:tplc="42F41B84">
      <w:start w:val="1"/>
      <w:numFmt w:val="decimal"/>
      <w:lvlText w:val="%4."/>
      <w:lvlJc w:val="left"/>
      <w:pPr>
        <w:ind w:left="2880" w:hanging="360"/>
      </w:pPr>
    </w:lvl>
    <w:lvl w:ilvl="4" w:tplc="D7E03B12">
      <w:start w:val="1"/>
      <w:numFmt w:val="lowerLetter"/>
      <w:lvlText w:val="%5."/>
      <w:lvlJc w:val="left"/>
      <w:pPr>
        <w:ind w:left="3600" w:hanging="360"/>
      </w:pPr>
    </w:lvl>
    <w:lvl w:ilvl="5" w:tplc="73BEC81C">
      <w:start w:val="1"/>
      <w:numFmt w:val="lowerRoman"/>
      <w:lvlText w:val="%6."/>
      <w:lvlJc w:val="right"/>
      <w:pPr>
        <w:ind w:left="4320" w:hanging="180"/>
      </w:pPr>
    </w:lvl>
    <w:lvl w:ilvl="6" w:tplc="78DC2902">
      <w:start w:val="1"/>
      <w:numFmt w:val="decimal"/>
      <w:lvlText w:val="%7."/>
      <w:lvlJc w:val="left"/>
      <w:pPr>
        <w:ind w:left="5040" w:hanging="360"/>
      </w:pPr>
    </w:lvl>
    <w:lvl w:ilvl="7" w:tplc="79FE98DA">
      <w:start w:val="1"/>
      <w:numFmt w:val="lowerLetter"/>
      <w:lvlText w:val="%8."/>
      <w:lvlJc w:val="left"/>
      <w:pPr>
        <w:ind w:left="5760" w:hanging="360"/>
      </w:pPr>
    </w:lvl>
    <w:lvl w:ilvl="8" w:tplc="6B729288">
      <w:start w:val="1"/>
      <w:numFmt w:val="lowerRoman"/>
      <w:lvlText w:val="%9."/>
      <w:lvlJc w:val="right"/>
      <w:pPr>
        <w:ind w:left="6480" w:hanging="180"/>
      </w:pPr>
    </w:lvl>
  </w:abstractNum>
  <w:abstractNum w:abstractNumId="48" w15:restartNumberingAfterBreak="0">
    <w:nsid w:val="78720238"/>
    <w:multiLevelType w:val="hybridMultilevel"/>
    <w:tmpl w:val="ED28B34E"/>
    <w:lvl w:ilvl="0" w:tplc="240A0001">
      <w:start w:val="1"/>
      <w:numFmt w:val="bullet"/>
      <w:lvlText w:val=""/>
      <w:lvlJc w:val="left"/>
      <w:pPr>
        <w:ind w:left="720" w:hanging="360"/>
      </w:pPr>
      <w:rPr>
        <w:rFonts w:hint="default" w:ascii="Symbol" w:hAnsi="Symbol"/>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9" w15:restartNumberingAfterBreak="0">
    <w:nsid w:val="79AFDBC4"/>
    <w:multiLevelType w:val="hybridMultilevel"/>
    <w:tmpl w:val="C560A70E"/>
    <w:lvl w:ilvl="0" w:tplc="6450E776">
      <w:start w:val="1"/>
      <w:numFmt w:val="decimal"/>
      <w:lvlText w:val="%1."/>
      <w:lvlJc w:val="left"/>
      <w:pPr>
        <w:ind w:left="720" w:hanging="360"/>
      </w:pPr>
    </w:lvl>
    <w:lvl w:ilvl="1" w:tplc="3B768030">
      <w:start w:val="1"/>
      <w:numFmt w:val="lowerLetter"/>
      <w:lvlText w:val="%2."/>
      <w:lvlJc w:val="left"/>
      <w:pPr>
        <w:ind w:left="1440" w:hanging="360"/>
      </w:pPr>
    </w:lvl>
    <w:lvl w:ilvl="2" w:tplc="4948C122">
      <w:start w:val="1"/>
      <w:numFmt w:val="lowerRoman"/>
      <w:lvlText w:val="%3."/>
      <w:lvlJc w:val="right"/>
      <w:pPr>
        <w:ind w:left="2160" w:hanging="180"/>
      </w:pPr>
    </w:lvl>
    <w:lvl w:ilvl="3" w:tplc="DBB8BC60">
      <w:start w:val="1"/>
      <w:numFmt w:val="decimal"/>
      <w:lvlText w:val="%4."/>
      <w:lvlJc w:val="left"/>
      <w:pPr>
        <w:ind w:left="2880" w:hanging="360"/>
      </w:pPr>
    </w:lvl>
    <w:lvl w:ilvl="4" w:tplc="658AE5E0">
      <w:start w:val="1"/>
      <w:numFmt w:val="lowerLetter"/>
      <w:lvlText w:val="%5."/>
      <w:lvlJc w:val="left"/>
      <w:pPr>
        <w:ind w:left="3600" w:hanging="360"/>
      </w:pPr>
    </w:lvl>
    <w:lvl w:ilvl="5" w:tplc="5DBA172C">
      <w:start w:val="1"/>
      <w:numFmt w:val="lowerRoman"/>
      <w:lvlText w:val="%6."/>
      <w:lvlJc w:val="right"/>
      <w:pPr>
        <w:ind w:left="4320" w:hanging="180"/>
      </w:pPr>
    </w:lvl>
    <w:lvl w:ilvl="6" w:tplc="5E3C94E6">
      <w:start w:val="1"/>
      <w:numFmt w:val="decimal"/>
      <w:lvlText w:val="%7."/>
      <w:lvlJc w:val="left"/>
      <w:pPr>
        <w:ind w:left="5040" w:hanging="360"/>
      </w:pPr>
    </w:lvl>
    <w:lvl w:ilvl="7" w:tplc="A8764636">
      <w:start w:val="1"/>
      <w:numFmt w:val="lowerLetter"/>
      <w:lvlText w:val="%8."/>
      <w:lvlJc w:val="left"/>
      <w:pPr>
        <w:ind w:left="5760" w:hanging="360"/>
      </w:pPr>
    </w:lvl>
    <w:lvl w:ilvl="8" w:tplc="FEB28D62">
      <w:start w:val="1"/>
      <w:numFmt w:val="lowerRoman"/>
      <w:lvlText w:val="%9."/>
      <w:lvlJc w:val="right"/>
      <w:pPr>
        <w:ind w:left="6480" w:hanging="180"/>
      </w:pPr>
    </w:lvl>
  </w:abstractNum>
  <w:abstractNum w:abstractNumId="50" w15:restartNumberingAfterBreak="0">
    <w:nsid w:val="7C75648E"/>
    <w:multiLevelType w:val="multilevel"/>
    <w:tmpl w:val="ED626C2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1" w15:restartNumberingAfterBreak="0">
    <w:nsid w:val="7DA339E0"/>
    <w:multiLevelType w:val="hybridMultilevel"/>
    <w:tmpl w:val="21F6441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2" w15:restartNumberingAfterBreak="0">
    <w:nsid w:val="7FC91CC6"/>
    <w:multiLevelType w:val="hybridMultilevel"/>
    <w:tmpl w:val="3ACADC4C"/>
    <w:lvl w:ilvl="0" w:tplc="240A0001">
      <w:start w:val="1"/>
      <w:numFmt w:val="bullet"/>
      <w:lvlText w:val=""/>
      <w:lvlJc w:val="left"/>
      <w:pPr>
        <w:ind w:left="720" w:hanging="360"/>
      </w:pPr>
      <w:rPr>
        <w:rFonts w:hint="default" w:ascii="Symbol" w:hAnsi="Symbol"/>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num w:numId="1" w16cid:durableId="5913051">
    <w:abstractNumId w:val="31"/>
  </w:num>
  <w:num w:numId="2" w16cid:durableId="223756402">
    <w:abstractNumId w:val="6"/>
  </w:num>
  <w:num w:numId="3" w16cid:durableId="1031146935">
    <w:abstractNumId w:val="49"/>
  </w:num>
  <w:num w:numId="4" w16cid:durableId="500393753">
    <w:abstractNumId w:val="44"/>
  </w:num>
  <w:num w:numId="5" w16cid:durableId="1979140384">
    <w:abstractNumId w:val="47"/>
  </w:num>
  <w:num w:numId="6" w16cid:durableId="1813447474">
    <w:abstractNumId w:val="36"/>
  </w:num>
  <w:num w:numId="7" w16cid:durableId="114831950">
    <w:abstractNumId w:val="29"/>
  </w:num>
  <w:num w:numId="8" w16cid:durableId="377167105">
    <w:abstractNumId w:val="25"/>
  </w:num>
  <w:num w:numId="9" w16cid:durableId="1513297713">
    <w:abstractNumId w:val="46"/>
  </w:num>
  <w:num w:numId="10" w16cid:durableId="644092683">
    <w:abstractNumId w:val="12"/>
  </w:num>
  <w:num w:numId="11" w16cid:durableId="805856694">
    <w:abstractNumId w:val="37"/>
  </w:num>
  <w:num w:numId="12" w16cid:durableId="177890431">
    <w:abstractNumId w:val="45"/>
  </w:num>
  <w:num w:numId="13" w16cid:durableId="861943937">
    <w:abstractNumId w:val="33"/>
  </w:num>
  <w:num w:numId="14" w16cid:durableId="1532378413">
    <w:abstractNumId w:val="11"/>
  </w:num>
  <w:num w:numId="15" w16cid:durableId="766313991">
    <w:abstractNumId w:val="0"/>
  </w:num>
  <w:num w:numId="16" w16cid:durableId="1218467761">
    <w:abstractNumId w:val="35"/>
  </w:num>
  <w:num w:numId="17" w16cid:durableId="1968050356">
    <w:abstractNumId w:val="43"/>
  </w:num>
  <w:num w:numId="18" w16cid:durableId="1151562664">
    <w:abstractNumId w:val="26"/>
    <w:lvlOverride w:ilvl="0">
      <w:startOverride w:val="1"/>
    </w:lvlOverride>
    <w:lvlOverride w:ilvl="1"/>
    <w:lvlOverride w:ilvl="2"/>
    <w:lvlOverride w:ilvl="3"/>
    <w:lvlOverride w:ilvl="4"/>
    <w:lvlOverride w:ilvl="5"/>
    <w:lvlOverride w:ilvl="6"/>
    <w:lvlOverride w:ilvl="7"/>
    <w:lvlOverride w:ilvl="8"/>
  </w:num>
  <w:num w:numId="19" w16cid:durableId="936673240">
    <w:abstractNumId w:val="38"/>
  </w:num>
  <w:num w:numId="20" w16cid:durableId="1585916617">
    <w:abstractNumId w:val="40"/>
  </w:num>
  <w:num w:numId="21" w16cid:durableId="980965567">
    <w:abstractNumId w:val="42"/>
  </w:num>
  <w:num w:numId="22" w16cid:durableId="2054499264">
    <w:abstractNumId w:val="27"/>
  </w:num>
  <w:num w:numId="23" w16cid:durableId="2021540150">
    <w:abstractNumId w:val="9"/>
  </w:num>
  <w:num w:numId="24" w16cid:durableId="737752067">
    <w:abstractNumId w:val="14"/>
  </w:num>
  <w:num w:numId="25" w16cid:durableId="1602108631">
    <w:abstractNumId w:val="8"/>
  </w:num>
  <w:num w:numId="26" w16cid:durableId="1909341393">
    <w:abstractNumId w:val="39"/>
  </w:num>
  <w:num w:numId="27" w16cid:durableId="564873345">
    <w:abstractNumId w:val="18"/>
  </w:num>
  <w:num w:numId="28" w16cid:durableId="1754400320">
    <w:abstractNumId w:val="23"/>
  </w:num>
  <w:num w:numId="29" w16cid:durableId="1446387369">
    <w:abstractNumId w:val="50"/>
  </w:num>
  <w:num w:numId="30" w16cid:durableId="178468432">
    <w:abstractNumId w:val="32"/>
  </w:num>
  <w:num w:numId="31" w16cid:durableId="1624538311">
    <w:abstractNumId w:val="17"/>
  </w:num>
  <w:num w:numId="32" w16cid:durableId="32267453">
    <w:abstractNumId w:val="1"/>
  </w:num>
  <w:num w:numId="33" w16cid:durableId="1528257023">
    <w:abstractNumId w:val="15"/>
  </w:num>
  <w:num w:numId="34" w16cid:durableId="1008875264">
    <w:abstractNumId w:val="21"/>
  </w:num>
  <w:num w:numId="35" w16cid:durableId="348875879">
    <w:abstractNumId w:val="51"/>
  </w:num>
  <w:num w:numId="36" w16cid:durableId="820586354">
    <w:abstractNumId w:val="41"/>
  </w:num>
  <w:num w:numId="37" w16cid:durableId="1628852498">
    <w:abstractNumId w:val="22"/>
  </w:num>
  <w:num w:numId="38" w16cid:durableId="1398671192">
    <w:abstractNumId w:val="48"/>
  </w:num>
  <w:num w:numId="39" w16cid:durableId="648480032">
    <w:abstractNumId w:val="16"/>
  </w:num>
  <w:num w:numId="40" w16cid:durableId="1708261957">
    <w:abstractNumId w:val="28"/>
  </w:num>
  <w:num w:numId="41" w16cid:durableId="233320478">
    <w:abstractNumId w:val="52"/>
  </w:num>
  <w:num w:numId="42" w16cid:durableId="2140687744">
    <w:abstractNumId w:val="20"/>
  </w:num>
  <w:num w:numId="43" w16cid:durableId="1643389082">
    <w:abstractNumId w:val="7"/>
  </w:num>
  <w:num w:numId="44" w16cid:durableId="956527270">
    <w:abstractNumId w:val="4"/>
  </w:num>
  <w:num w:numId="45" w16cid:durableId="872887993">
    <w:abstractNumId w:val="19"/>
  </w:num>
  <w:num w:numId="46" w16cid:durableId="767314077">
    <w:abstractNumId w:val="5"/>
  </w:num>
  <w:num w:numId="47" w16cid:durableId="86972030">
    <w:abstractNumId w:val="2"/>
  </w:num>
  <w:num w:numId="48" w16cid:durableId="14618231">
    <w:abstractNumId w:val="34"/>
  </w:num>
  <w:num w:numId="49" w16cid:durableId="1722706451">
    <w:abstractNumId w:val="24"/>
  </w:num>
  <w:num w:numId="50" w16cid:durableId="507212698">
    <w:abstractNumId w:val="30"/>
  </w:num>
  <w:num w:numId="51" w16cid:durableId="1242905911">
    <w:abstractNumId w:val="13"/>
  </w:num>
  <w:num w:numId="52" w16cid:durableId="239216388">
    <w:abstractNumId w:val="3"/>
  </w:num>
  <w:num w:numId="53" w16cid:durableId="1565675874">
    <w:abstractNumId w:val="10"/>
  </w:num>
  <w:numIdMacAtCleanup w:val="51"/>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proofState w:spelling="clean" w:grammar="dirty"/>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7B36"/>
    <w:rsid w:val="00000174"/>
    <w:rsid w:val="0000181B"/>
    <w:rsid w:val="000026B9"/>
    <w:rsid w:val="00002CB4"/>
    <w:rsid w:val="000033C7"/>
    <w:rsid w:val="000046F8"/>
    <w:rsid w:val="00004A7C"/>
    <w:rsid w:val="00004D36"/>
    <w:rsid w:val="00005533"/>
    <w:rsid w:val="000073A9"/>
    <w:rsid w:val="000078B4"/>
    <w:rsid w:val="00007BFB"/>
    <w:rsid w:val="00011503"/>
    <w:rsid w:val="000115CB"/>
    <w:rsid w:val="000115E6"/>
    <w:rsid w:val="000115E9"/>
    <w:rsid w:val="00012130"/>
    <w:rsid w:val="00012491"/>
    <w:rsid w:val="0001358A"/>
    <w:rsid w:val="00013C04"/>
    <w:rsid w:val="000142CA"/>
    <w:rsid w:val="000176D9"/>
    <w:rsid w:val="00017EFE"/>
    <w:rsid w:val="000205D3"/>
    <w:rsid w:val="0002064E"/>
    <w:rsid w:val="0002086C"/>
    <w:rsid w:val="00020F48"/>
    <w:rsid w:val="0002129A"/>
    <w:rsid w:val="00021346"/>
    <w:rsid w:val="000217B9"/>
    <w:rsid w:val="00023714"/>
    <w:rsid w:val="00023E60"/>
    <w:rsid w:val="00023EFD"/>
    <w:rsid w:val="00024D16"/>
    <w:rsid w:val="00025264"/>
    <w:rsid w:val="000253D4"/>
    <w:rsid w:val="00026EF6"/>
    <w:rsid w:val="00027133"/>
    <w:rsid w:val="00027578"/>
    <w:rsid w:val="00027711"/>
    <w:rsid w:val="00027EC2"/>
    <w:rsid w:val="0002E93D"/>
    <w:rsid w:val="000306E3"/>
    <w:rsid w:val="00030928"/>
    <w:rsid w:val="00031658"/>
    <w:rsid w:val="00031960"/>
    <w:rsid w:val="00032186"/>
    <w:rsid w:val="000328E0"/>
    <w:rsid w:val="00032CFA"/>
    <w:rsid w:val="00033F08"/>
    <w:rsid w:val="000340A9"/>
    <w:rsid w:val="000342E4"/>
    <w:rsid w:val="000347B1"/>
    <w:rsid w:val="00035942"/>
    <w:rsid w:val="000371F3"/>
    <w:rsid w:val="00037DF6"/>
    <w:rsid w:val="00040F8F"/>
    <w:rsid w:val="00041947"/>
    <w:rsid w:val="000422F6"/>
    <w:rsid w:val="000425B5"/>
    <w:rsid w:val="00042EAA"/>
    <w:rsid w:val="0004508C"/>
    <w:rsid w:val="000456B4"/>
    <w:rsid w:val="000468F1"/>
    <w:rsid w:val="0004775E"/>
    <w:rsid w:val="00047791"/>
    <w:rsid w:val="00047CAF"/>
    <w:rsid w:val="00047F67"/>
    <w:rsid w:val="0005287E"/>
    <w:rsid w:val="00052CB2"/>
    <w:rsid w:val="00052F77"/>
    <w:rsid w:val="00053558"/>
    <w:rsid w:val="00053F3C"/>
    <w:rsid w:val="00054B09"/>
    <w:rsid w:val="00055283"/>
    <w:rsid w:val="000556FE"/>
    <w:rsid w:val="00055CC6"/>
    <w:rsid w:val="00057165"/>
    <w:rsid w:val="0005D2AC"/>
    <w:rsid w:val="0005DB06"/>
    <w:rsid w:val="00060036"/>
    <w:rsid w:val="000601DE"/>
    <w:rsid w:val="00060343"/>
    <w:rsid w:val="0006051E"/>
    <w:rsid w:val="00060C3D"/>
    <w:rsid w:val="000612F4"/>
    <w:rsid w:val="00062557"/>
    <w:rsid w:val="000642EB"/>
    <w:rsid w:val="0006469B"/>
    <w:rsid w:val="000646BA"/>
    <w:rsid w:val="00064D83"/>
    <w:rsid w:val="00065515"/>
    <w:rsid w:val="000656AF"/>
    <w:rsid w:val="00065879"/>
    <w:rsid w:val="00065955"/>
    <w:rsid w:val="000668DA"/>
    <w:rsid w:val="00066E4E"/>
    <w:rsid w:val="000672CC"/>
    <w:rsid w:val="0006743A"/>
    <w:rsid w:val="00071491"/>
    <w:rsid w:val="000715C8"/>
    <w:rsid w:val="000726C0"/>
    <w:rsid w:val="0007391F"/>
    <w:rsid w:val="00073D11"/>
    <w:rsid w:val="00074426"/>
    <w:rsid w:val="00074AC3"/>
    <w:rsid w:val="00074B60"/>
    <w:rsid w:val="000776FB"/>
    <w:rsid w:val="00077DE7"/>
    <w:rsid w:val="00080390"/>
    <w:rsid w:val="00080707"/>
    <w:rsid w:val="00080AF3"/>
    <w:rsid w:val="00080D06"/>
    <w:rsid w:val="0008274D"/>
    <w:rsid w:val="00083C36"/>
    <w:rsid w:val="00084656"/>
    <w:rsid w:val="00084845"/>
    <w:rsid w:val="0008629D"/>
    <w:rsid w:val="00087670"/>
    <w:rsid w:val="00087C7A"/>
    <w:rsid w:val="00087DF7"/>
    <w:rsid w:val="0008C826"/>
    <w:rsid w:val="000903EB"/>
    <w:rsid w:val="00092B07"/>
    <w:rsid w:val="000932FD"/>
    <w:rsid w:val="000936BD"/>
    <w:rsid w:val="00093AFF"/>
    <w:rsid w:val="00094531"/>
    <w:rsid w:val="00094ADF"/>
    <w:rsid w:val="000951E4"/>
    <w:rsid w:val="000952F6"/>
    <w:rsid w:val="000953E6"/>
    <w:rsid w:val="000954A3"/>
    <w:rsid w:val="00095C93"/>
    <w:rsid w:val="00095E59"/>
    <w:rsid w:val="0009681C"/>
    <w:rsid w:val="0009699C"/>
    <w:rsid w:val="00096E24"/>
    <w:rsid w:val="00096F18"/>
    <w:rsid w:val="00097178"/>
    <w:rsid w:val="000975AA"/>
    <w:rsid w:val="0009790B"/>
    <w:rsid w:val="00097986"/>
    <w:rsid w:val="000A1039"/>
    <w:rsid w:val="000A1D24"/>
    <w:rsid w:val="000A217D"/>
    <w:rsid w:val="000A247E"/>
    <w:rsid w:val="000A2BD6"/>
    <w:rsid w:val="000A2CCB"/>
    <w:rsid w:val="000A32D7"/>
    <w:rsid w:val="000A3B17"/>
    <w:rsid w:val="000A470F"/>
    <w:rsid w:val="000A50B5"/>
    <w:rsid w:val="000A520B"/>
    <w:rsid w:val="000A57AE"/>
    <w:rsid w:val="000A6A2D"/>
    <w:rsid w:val="000A70D4"/>
    <w:rsid w:val="000A745E"/>
    <w:rsid w:val="000A7C47"/>
    <w:rsid w:val="000B1028"/>
    <w:rsid w:val="000B141D"/>
    <w:rsid w:val="000B22C5"/>
    <w:rsid w:val="000B25BC"/>
    <w:rsid w:val="000B3B39"/>
    <w:rsid w:val="000B407A"/>
    <w:rsid w:val="000B5EFB"/>
    <w:rsid w:val="000B68D2"/>
    <w:rsid w:val="000B6AAE"/>
    <w:rsid w:val="000B7246"/>
    <w:rsid w:val="000B7602"/>
    <w:rsid w:val="000C2916"/>
    <w:rsid w:val="000C3C80"/>
    <w:rsid w:val="000C3D99"/>
    <w:rsid w:val="000C423F"/>
    <w:rsid w:val="000C4831"/>
    <w:rsid w:val="000C486A"/>
    <w:rsid w:val="000C5B19"/>
    <w:rsid w:val="000C5E40"/>
    <w:rsid w:val="000C608C"/>
    <w:rsid w:val="000C60F0"/>
    <w:rsid w:val="000C7034"/>
    <w:rsid w:val="000C8319"/>
    <w:rsid w:val="000D0289"/>
    <w:rsid w:val="000D0A12"/>
    <w:rsid w:val="000D1124"/>
    <w:rsid w:val="000D18E8"/>
    <w:rsid w:val="000D1ADB"/>
    <w:rsid w:val="000D1EC1"/>
    <w:rsid w:val="000D2D00"/>
    <w:rsid w:val="000D37A0"/>
    <w:rsid w:val="000D380A"/>
    <w:rsid w:val="000D4618"/>
    <w:rsid w:val="000D472A"/>
    <w:rsid w:val="000D4839"/>
    <w:rsid w:val="000D5094"/>
    <w:rsid w:val="000D56F8"/>
    <w:rsid w:val="000D612E"/>
    <w:rsid w:val="000D65EF"/>
    <w:rsid w:val="000D786E"/>
    <w:rsid w:val="000E08EC"/>
    <w:rsid w:val="000E0D87"/>
    <w:rsid w:val="000E1483"/>
    <w:rsid w:val="000E183D"/>
    <w:rsid w:val="000E19DE"/>
    <w:rsid w:val="000E286A"/>
    <w:rsid w:val="000E2901"/>
    <w:rsid w:val="000E2A28"/>
    <w:rsid w:val="000E2A6F"/>
    <w:rsid w:val="000E2D7C"/>
    <w:rsid w:val="000E362F"/>
    <w:rsid w:val="000E37DB"/>
    <w:rsid w:val="000E4652"/>
    <w:rsid w:val="000E4843"/>
    <w:rsid w:val="000E4E75"/>
    <w:rsid w:val="000E5493"/>
    <w:rsid w:val="000E681E"/>
    <w:rsid w:val="000E6A6F"/>
    <w:rsid w:val="000E75E1"/>
    <w:rsid w:val="000E7C8C"/>
    <w:rsid w:val="000F0F38"/>
    <w:rsid w:val="000F1525"/>
    <w:rsid w:val="000F2F2D"/>
    <w:rsid w:val="000F2FDF"/>
    <w:rsid w:val="000F3770"/>
    <w:rsid w:val="000F4DFF"/>
    <w:rsid w:val="000F52A0"/>
    <w:rsid w:val="000F56F3"/>
    <w:rsid w:val="000F5945"/>
    <w:rsid w:val="000F5961"/>
    <w:rsid w:val="000F624A"/>
    <w:rsid w:val="000F687A"/>
    <w:rsid w:val="000F6DBD"/>
    <w:rsid w:val="000F7028"/>
    <w:rsid w:val="000F77C0"/>
    <w:rsid w:val="00100061"/>
    <w:rsid w:val="0010088F"/>
    <w:rsid w:val="0010094C"/>
    <w:rsid w:val="0010128F"/>
    <w:rsid w:val="00101968"/>
    <w:rsid w:val="0010270A"/>
    <w:rsid w:val="00102727"/>
    <w:rsid w:val="0010298F"/>
    <w:rsid w:val="00102A06"/>
    <w:rsid w:val="00104221"/>
    <w:rsid w:val="0010547B"/>
    <w:rsid w:val="0010548C"/>
    <w:rsid w:val="00105ED7"/>
    <w:rsid w:val="00106169"/>
    <w:rsid w:val="00106C39"/>
    <w:rsid w:val="0010711D"/>
    <w:rsid w:val="001078F5"/>
    <w:rsid w:val="0011053F"/>
    <w:rsid w:val="0011067D"/>
    <w:rsid w:val="00111E40"/>
    <w:rsid w:val="00112061"/>
    <w:rsid w:val="001124D1"/>
    <w:rsid w:val="00112B6C"/>
    <w:rsid w:val="001134F8"/>
    <w:rsid w:val="001139D2"/>
    <w:rsid w:val="00113EB9"/>
    <w:rsid w:val="00114503"/>
    <w:rsid w:val="00114796"/>
    <w:rsid w:val="001147C0"/>
    <w:rsid w:val="0011499B"/>
    <w:rsid w:val="00114E40"/>
    <w:rsid w:val="0011567E"/>
    <w:rsid w:val="001156C4"/>
    <w:rsid w:val="00117CE7"/>
    <w:rsid w:val="0012099B"/>
    <w:rsid w:val="00120A63"/>
    <w:rsid w:val="00120B18"/>
    <w:rsid w:val="0012108F"/>
    <w:rsid w:val="0012157D"/>
    <w:rsid w:val="001218BA"/>
    <w:rsid w:val="00124341"/>
    <w:rsid w:val="00124875"/>
    <w:rsid w:val="00124EA1"/>
    <w:rsid w:val="00125F33"/>
    <w:rsid w:val="00125FA3"/>
    <w:rsid w:val="00126091"/>
    <w:rsid w:val="00126C00"/>
    <w:rsid w:val="00126F8E"/>
    <w:rsid w:val="001271B3"/>
    <w:rsid w:val="00130505"/>
    <w:rsid w:val="0013060F"/>
    <w:rsid w:val="001316CE"/>
    <w:rsid w:val="001316DE"/>
    <w:rsid w:val="00132274"/>
    <w:rsid w:val="001323C7"/>
    <w:rsid w:val="00132619"/>
    <w:rsid w:val="001326B9"/>
    <w:rsid w:val="001331EA"/>
    <w:rsid w:val="00133716"/>
    <w:rsid w:val="00135BAC"/>
    <w:rsid w:val="00136184"/>
    <w:rsid w:val="00136FB0"/>
    <w:rsid w:val="001375E9"/>
    <w:rsid w:val="00137DB6"/>
    <w:rsid w:val="001400A9"/>
    <w:rsid w:val="0014088B"/>
    <w:rsid w:val="00142F05"/>
    <w:rsid w:val="00143670"/>
    <w:rsid w:val="001443BB"/>
    <w:rsid w:val="00145864"/>
    <w:rsid w:val="00145A36"/>
    <w:rsid w:val="0014605A"/>
    <w:rsid w:val="00146C83"/>
    <w:rsid w:val="00146F4A"/>
    <w:rsid w:val="00147264"/>
    <w:rsid w:val="00147AC5"/>
    <w:rsid w:val="00150109"/>
    <w:rsid w:val="00150AF3"/>
    <w:rsid w:val="00150D9E"/>
    <w:rsid w:val="0015250D"/>
    <w:rsid w:val="00152594"/>
    <w:rsid w:val="00152890"/>
    <w:rsid w:val="00152A96"/>
    <w:rsid w:val="00152AF7"/>
    <w:rsid w:val="00152C55"/>
    <w:rsid w:val="00152D78"/>
    <w:rsid w:val="00152E76"/>
    <w:rsid w:val="00153336"/>
    <w:rsid w:val="00153EE2"/>
    <w:rsid w:val="001551FD"/>
    <w:rsid w:val="00155974"/>
    <w:rsid w:val="001573E9"/>
    <w:rsid w:val="0015740E"/>
    <w:rsid w:val="0015744B"/>
    <w:rsid w:val="001604E0"/>
    <w:rsid w:val="001607D9"/>
    <w:rsid w:val="0016082C"/>
    <w:rsid w:val="00160838"/>
    <w:rsid w:val="00161316"/>
    <w:rsid w:val="00164E86"/>
    <w:rsid w:val="00165131"/>
    <w:rsid w:val="00165667"/>
    <w:rsid w:val="0016628D"/>
    <w:rsid w:val="00166DC5"/>
    <w:rsid w:val="0016760D"/>
    <w:rsid w:val="00167612"/>
    <w:rsid w:val="001701A6"/>
    <w:rsid w:val="001702DF"/>
    <w:rsid w:val="0017047D"/>
    <w:rsid w:val="00170BB0"/>
    <w:rsid w:val="0017122A"/>
    <w:rsid w:val="0017146E"/>
    <w:rsid w:val="001717F6"/>
    <w:rsid w:val="00171D70"/>
    <w:rsid w:val="00172778"/>
    <w:rsid w:val="00173C4A"/>
    <w:rsid w:val="00173C5B"/>
    <w:rsid w:val="0017473A"/>
    <w:rsid w:val="00174C3B"/>
    <w:rsid w:val="00174CED"/>
    <w:rsid w:val="00174EA8"/>
    <w:rsid w:val="00175794"/>
    <w:rsid w:val="00175FBC"/>
    <w:rsid w:val="001762C2"/>
    <w:rsid w:val="0017790F"/>
    <w:rsid w:val="0017EC72"/>
    <w:rsid w:val="001806A5"/>
    <w:rsid w:val="00181006"/>
    <w:rsid w:val="00181F45"/>
    <w:rsid w:val="001824AD"/>
    <w:rsid w:val="0018254C"/>
    <w:rsid w:val="00182A27"/>
    <w:rsid w:val="00182F23"/>
    <w:rsid w:val="00183FC0"/>
    <w:rsid w:val="00184CDD"/>
    <w:rsid w:val="001853A7"/>
    <w:rsid w:val="00186183"/>
    <w:rsid w:val="001866B8"/>
    <w:rsid w:val="00186878"/>
    <w:rsid w:val="0019016B"/>
    <w:rsid w:val="00190422"/>
    <w:rsid w:val="001904A1"/>
    <w:rsid w:val="00190770"/>
    <w:rsid w:val="00190E80"/>
    <w:rsid w:val="001912E6"/>
    <w:rsid w:val="00191A52"/>
    <w:rsid w:val="001943F4"/>
    <w:rsid w:val="00194CBF"/>
    <w:rsid w:val="00195D5D"/>
    <w:rsid w:val="00197457"/>
    <w:rsid w:val="00197963"/>
    <w:rsid w:val="0019E84A"/>
    <w:rsid w:val="001A0885"/>
    <w:rsid w:val="001A0B86"/>
    <w:rsid w:val="001A1A09"/>
    <w:rsid w:val="001A3E6F"/>
    <w:rsid w:val="001A4BEC"/>
    <w:rsid w:val="001A5A59"/>
    <w:rsid w:val="001A5B8B"/>
    <w:rsid w:val="001A7171"/>
    <w:rsid w:val="001A7678"/>
    <w:rsid w:val="001B0981"/>
    <w:rsid w:val="001B0D90"/>
    <w:rsid w:val="001B2A4D"/>
    <w:rsid w:val="001B2ACF"/>
    <w:rsid w:val="001B517F"/>
    <w:rsid w:val="001B5335"/>
    <w:rsid w:val="001B5513"/>
    <w:rsid w:val="001B575C"/>
    <w:rsid w:val="001B61ED"/>
    <w:rsid w:val="001B667D"/>
    <w:rsid w:val="001B6A02"/>
    <w:rsid w:val="001B6B7E"/>
    <w:rsid w:val="001B6CEB"/>
    <w:rsid w:val="001B7107"/>
    <w:rsid w:val="001B7FB8"/>
    <w:rsid w:val="001C09DC"/>
    <w:rsid w:val="001C1CEF"/>
    <w:rsid w:val="001C227A"/>
    <w:rsid w:val="001C2523"/>
    <w:rsid w:val="001C30DB"/>
    <w:rsid w:val="001C3A2A"/>
    <w:rsid w:val="001C4702"/>
    <w:rsid w:val="001C4A49"/>
    <w:rsid w:val="001C4ED8"/>
    <w:rsid w:val="001C5344"/>
    <w:rsid w:val="001C54B2"/>
    <w:rsid w:val="001C5CCA"/>
    <w:rsid w:val="001C5F3D"/>
    <w:rsid w:val="001C5F9D"/>
    <w:rsid w:val="001C610A"/>
    <w:rsid w:val="001C7269"/>
    <w:rsid w:val="001C77FF"/>
    <w:rsid w:val="001D0C9E"/>
    <w:rsid w:val="001D0EA8"/>
    <w:rsid w:val="001D14C6"/>
    <w:rsid w:val="001D1561"/>
    <w:rsid w:val="001D1AEE"/>
    <w:rsid w:val="001D22BE"/>
    <w:rsid w:val="001D248D"/>
    <w:rsid w:val="001D2E58"/>
    <w:rsid w:val="001D36D4"/>
    <w:rsid w:val="001D3D26"/>
    <w:rsid w:val="001D3D57"/>
    <w:rsid w:val="001D43C4"/>
    <w:rsid w:val="001D43CC"/>
    <w:rsid w:val="001D4674"/>
    <w:rsid w:val="001D4B0E"/>
    <w:rsid w:val="001D4F9E"/>
    <w:rsid w:val="001D5536"/>
    <w:rsid w:val="001D6D29"/>
    <w:rsid w:val="001D70FE"/>
    <w:rsid w:val="001D756D"/>
    <w:rsid w:val="001D7A8C"/>
    <w:rsid w:val="001E1EF1"/>
    <w:rsid w:val="001E2185"/>
    <w:rsid w:val="001E2BD9"/>
    <w:rsid w:val="001E2C9E"/>
    <w:rsid w:val="001E2D1D"/>
    <w:rsid w:val="001E358E"/>
    <w:rsid w:val="001E39D5"/>
    <w:rsid w:val="001E3ACB"/>
    <w:rsid w:val="001E41F7"/>
    <w:rsid w:val="001E46EC"/>
    <w:rsid w:val="001E4892"/>
    <w:rsid w:val="001E56F2"/>
    <w:rsid w:val="001E57B5"/>
    <w:rsid w:val="001E7F90"/>
    <w:rsid w:val="001F1F36"/>
    <w:rsid w:val="001F2186"/>
    <w:rsid w:val="001F2F20"/>
    <w:rsid w:val="001F3004"/>
    <w:rsid w:val="001F3BDF"/>
    <w:rsid w:val="001F3C78"/>
    <w:rsid w:val="001F46A2"/>
    <w:rsid w:val="001F4829"/>
    <w:rsid w:val="001F4994"/>
    <w:rsid w:val="001F4CDA"/>
    <w:rsid w:val="001F4F8D"/>
    <w:rsid w:val="001F5807"/>
    <w:rsid w:val="001F58F4"/>
    <w:rsid w:val="001F5EC1"/>
    <w:rsid w:val="001F6847"/>
    <w:rsid w:val="001F72B8"/>
    <w:rsid w:val="001F7F28"/>
    <w:rsid w:val="00200360"/>
    <w:rsid w:val="002012EA"/>
    <w:rsid w:val="00201385"/>
    <w:rsid w:val="0020178E"/>
    <w:rsid w:val="00201D67"/>
    <w:rsid w:val="00201E51"/>
    <w:rsid w:val="0020271C"/>
    <w:rsid w:val="0020303F"/>
    <w:rsid w:val="00203125"/>
    <w:rsid w:val="00203189"/>
    <w:rsid w:val="00203237"/>
    <w:rsid w:val="00203499"/>
    <w:rsid w:val="00203A1C"/>
    <w:rsid w:val="00204D64"/>
    <w:rsid w:val="00204DBB"/>
    <w:rsid w:val="002055A0"/>
    <w:rsid w:val="00205678"/>
    <w:rsid w:val="0020575C"/>
    <w:rsid w:val="002058BD"/>
    <w:rsid w:val="002059D0"/>
    <w:rsid w:val="0020693B"/>
    <w:rsid w:val="00207663"/>
    <w:rsid w:val="00210163"/>
    <w:rsid w:val="00211366"/>
    <w:rsid w:val="00211945"/>
    <w:rsid w:val="00211E92"/>
    <w:rsid w:val="002121B2"/>
    <w:rsid w:val="0021287A"/>
    <w:rsid w:val="00213749"/>
    <w:rsid w:val="00213BD1"/>
    <w:rsid w:val="00213E1F"/>
    <w:rsid w:val="00213FAA"/>
    <w:rsid w:val="002150F6"/>
    <w:rsid w:val="00215308"/>
    <w:rsid w:val="00216110"/>
    <w:rsid w:val="00216126"/>
    <w:rsid w:val="0021675A"/>
    <w:rsid w:val="00216C40"/>
    <w:rsid w:val="00217304"/>
    <w:rsid w:val="002179E2"/>
    <w:rsid w:val="00217AD1"/>
    <w:rsid w:val="00217DC0"/>
    <w:rsid w:val="00217FD4"/>
    <w:rsid w:val="0022184D"/>
    <w:rsid w:val="00221A66"/>
    <w:rsid w:val="00222089"/>
    <w:rsid w:val="002225F0"/>
    <w:rsid w:val="002225F5"/>
    <w:rsid w:val="00223280"/>
    <w:rsid w:val="002232B5"/>
    <w:rsid w:val="00223681"/>
    <w:rsid w:val="00223AF7"/>
    <w:rsid w:val="00223C75"/>
    <w:rsid w:val="002261C9"/>
    <w:rsid w:val="00226537"/>
    <w:rsid w:val="002265DA"/>
    <w:rsid w:val="00226850"/>
    <w:rsid w:val="00227297"/>
    <w:rsid w:val="00230068"/>
    <w:rsid w:val="002304DE"/>
    <w:rsid w:val="00230865"/>
    <w:rsid w:val="002310E5"/>
    <w:rsid w:val="002315CB"/>
    <w:rsid w:val="00232D26"/>
    <w:rsid w:val="00232E3A"/>
    <w:rsid w:val="00233883"/>
    <w:rsid w:val="002339D2"/>
    <w:rsid w:val="00233B18"/>
    <w:rsid w:val="0023467D"/>
    <w:rsid w:val="0023496A"/>
    <w:rsid w:val="002349E4"/>
    <w:rsid w:val="00234B7C"/>
    <w:rsid w:val="002356E8"/>
    <w:rsid w:val="00235DAD"/>
    <w:rsid w:val="00236332"/>
    <w:rsid w:val="00236BD3"/>
    <w:rsid w:val="00236D98"/>
    <w:rsid w:val="00237599"/>
    <w:rsid w:val="00237A6F"/>
    <w:rsid w:val="00240D62"/>
    <w:rsid w:val="00240EDA"/>
    <w:rsid w:val="00241A0C"/>
    <w:rsid w:val="00241CA0"/>
    <w:rsid w:val="0024461C"/>
    <w:rsid w:val="0024557D"/>
    <w:rsid w:val="00245DC8"/>
    <w:rsid w:val="00245FB8"/>
    <w:rsid w:val="00246F88"/>
    <w:rsid w:val="00246FDF"/>
    <w:rsid w:val="00247097"/>
    <w:rsid w:val="00247B5F"/>
    <w:rsid w:val="00250A65"/>
    <w:rsid w:val="00250BD0"/>
    <w:rsid w:val="002512F8"/>
    <w:rsid w:val="00252338"/>
    <w:rsid w:val="0025348B"/>
    <w:rsid w:val="00254B9F"/>
    <w:rsid w:val="00254D57"/>
    <w:rsid w:val="00254F82"/>
    <w:rsid w:val="00255274"/>
    <w:rsid w:val="00255542"/>
    <w:rsid w:val="00255793"/>
    <w:rsid w:val="00255A96"/>
    <w:rsid w:val="00255EB9"/>
    <w:rsid w:val="00255F6F"/>
    <w:rsid w:val="002561F5"/>
    <w:rsid w:val="00256928"/>
    <w:rsid w:val="00256D9E"/>
    <w:rsid w:val="00260280"/>
    <w:rsid w:val="00260F72"/>
    <w:rsid w:val="00261231"/>
    <w:rsid w:val="00261B47"/>
    <w:rsid w:val="00262176"/>
    <w:rsid w:val="0026259E"/>
    <w:rsid w:val="002632D2"/>
    <w:rsid w:val="00263E21"/>
    <w:rsid w:val="00264856"/>
    <w:rsid w:val="002651C7"/>
    <w:rsid w:val="00265815"/>
    <w:rsid w:val="00266F45"/>
    <w:rsid w:val="002672F9"/>
    <w:rsid w:val="0026737A"/>
    <w:rsid w:val="00267D87"/>
    <w:rsid w:val="00270775"/>
    <w:rsid w:val="002708FA"/>
    <w:rsid w:val="00270BAE"/>
    <w:rsid w:val="00271335"/>
    <w:rsid w:val="002713B3"/>
    <w:rsid w:val="002713DF"/>
    <w:rsid w:val="0027230D"/>
    <w:rsid w:val="0027238D"/>
    <w:rsid w:val="00273076"/>
    <w:rsid w:val="002730E5"/>
    <w:rsid w:val="002734CD"/>
    <w:rsid w:val="00274205"/>
    <w:rsid w:val="00275147"/>
    <w:rsid w:val="00276170"/>
    <w:rsid w:val="00276303"/>
    <w:rsid w:val="0027638E"/>
    <w:rsid w:val="002776C1"/>
    <w:rsid w:val="0027798B"/>
    <w:rsid w:val="00277E74"/>
    <w:rsid w:val="00280A9F"/>
    <w:rsid w:val="00280F5C"/>
    <w:rsid w:val="002812C1"/>
    <w:rsid w:val="00281A3A"/>
    <w:rsid w:val="00281B68"/>
    <w:rsid w:val="00281F64"/>
    <w:rsid w:val="00282934"/>
    <w:rsid w:val="00284FCE"/>
    <w:rsid w:val="0028594A"/>
    <w:rsid w:val="00285F0E"/>
    <w:rsid w:val="00286021"/>
    <w:rsid w:val="0028643B"/>
    <w:rsid w:val="002866BD"/>
    <w:rsid w:val="00286E46"/>
    <w:rsid w:val="00287F15"/>
    <w:rsid w:val="002904B7"/>
    <w:rsid w:val="00290BE0"/>
    <w:rsid w:val="00290F53"/>
    <w:rsid w:val="0029137D"/>
    <w:rsid w:val="0029190B"/>
    <w:rsid w:val="00291A8E"/>
    <w:rsid w:val="00291BBE"/>
    <w:rsid w:val="002920D5"/>
    <w:rsid w:val="002936C1"/>
    <w:rsid w:val="00294E5B"/>
    <w:rsid w:val="00295995"/>
    <w:rsid w:val="002962D0"/>
    <w:rsid w:val="002967E6"/>
    <w:rsid w:val="00296E7F"/>
    <w:rsid w:val="0029BF16"/>
    <w:rsid w:val="002A0187"/>
    <w:rsid w:val="002A061E"/>
    <w:rsid w:val="002A1184"/>
    <w:rsid w:val="002A1913"/>
    <w:rsid w:val="002A1C7E"/>
    <w:rsid w:val="002A26BE"/>
    <w:rsid w:val="002A351A"/>
    <w:rsid w:val="002A3BF4"/>
    <w:rsid w:val="002A619D"/>
    <w:rsid w:val="002A7DE9"/>
    <w:rsid w:val="002B0394"/>
    <w:rsid w:val="002B0676"/>
    <w:rsid w:val="002B3095"/>
    <w:rsid w:val="002B33E7"/>
    <w:rsid w:val="002B3717"/>
    <w:rsid w:val="002B544C"/>
    <w:rsid w:val="002B5E33"/>
    <w:rsid w:val="002B6088"/>
    <w:rsid w:val="002B6146"/>
    <w:rsid w:val="002B6295"/>
    <w:rsid w:val="002B6982"/>
    <w:rsid w:val="002B7270"/>
    <w:rsid w:val="002C045E"/>
    <w:rsid w:val="002C0B85"/>
    <w:rsid w:val="002C1134"/>
    <w:rsid w:val="002C2520"/>
    <w:rsid w:val="002C25A0"/>
    <w:rsid w:val="002C2D63"/>
    <w:rsid w:val="002C3DC5"/>
    <w:rsid w:val="002C4045"/>
    <w:rsid w:val="002C4B13"/>
    <w:rsid w:val="002C71D6"/>
    <w:rsid w:val="002D01EC"/>
    <w:rsid w:val="002D075D"/>
    <w:rsid w:val="002D0D2A"/>
    <w:rsid w:val="002D0ECA"/>
    <w:rsid w:val="002D0FD1"/>
    <w:rsid w:val="002D166D"/>
    <w:rsid w:val="002D18CC"/>
    <w:rsid w:val="002D1B1E"/>
    <w:rsid w:val="002D29DB"/>
    <w:rsid w:val="002D337C"/>
    <w:rsid w:val="002D38AB"/>
    <w:rsid w:val="002D44F9"/>
    <w:rsid w:val="002D5D1D"/>
    <w:rsid w:val="002D6AE1"/>
    <w:rsid w:val="002D708D"/>
    <w:rsid w:val="002E0420"/>
    <w:rsid w:val="002E0555"/>
    <w:rsid w:val="002E085A"/>
    <w:rsid w:val="002E379E"/>
    <w:rsid w:val="002E3EE8"/>
    <w:rsid w:val="002E3F0B"/>
    <w:rsid w:val="002E4073"/>
    <w:rsid w:val="002E512A"/>
    <w:rsid w:val="002E57B1"/>
    <w:rsid w:val="002E57E3"/>
    <w:rsid w:val="002E5CF6"/>
    <w:rsid w:val="002E61A3"/>
    <w:rsid w:val="002E6658"/>
    <w:rsid w:val="002E7055"/>
    <w:rsid w:val="002E70CC"/>
    <w:rsid w:val="002E718A"/>
    <w:rsid w:val="002E72AA"/>
    <w:rsid w:val="002E73BC"/>
    <w:rsid w:val="002E73E7"/>
    <w:rsid w:val="002E7A94"/>
    <w:rsid w:val="002F046C"/>
    <w:rsid w:val="002F0654"/>
    <w:rsid w:val="002F0BB5"/>
    <w:rsid w:val="002F0DA4"/>
    <w:rsid w:val="002F1C99"/>
    <w:rsid w:val="002F2FEE"/>
    <w:rsid w:val="002F3242"/>
    <w:rsid w:val="002F3828"/>
    <w:rsid w:val="002F38F1"/>
    <w:rsid w:val="002F40FC"/>
    <w:rsid w:val="002F4689"/>
    <w:rsid w:val="002F4EFF"/>
    <w:rsid w:val="002F59D8"/>
    <w:rsid w:val="002F65F2"/>
    <w:rsid w:val="002F6CFC"/>
    <w:rsid w:val="002F6FFD"/>
    <w:rsid w:val="003005B2"/>
    <w:rsid w:val="0030073D"/>
    <w:rsid w:val="00300952"/>
    <w:rsid w:val="00301715"/>
    <w:rsid w:val="003017AD"/>
    <w:rsid w:val="0030195F"/>
    <w:rsid w:val="003022B8"/>
    <w:rsid w:val="003025BB"/>
    <w:rsid w:val="00303277"/>
    <w:rsid w:val="0030454C"/>
    <w:rsid w:val="0030489C"/>
    <w:rsid w:val="0030490F"/>
    <w:rsid w:val="00304ECF"/>
    <w:rsid w:val="0030502E"/>
    <w:rsid w:val="00305607"/>
    <w:rsid w:val="00305777"/>
    <w:rsid w:val="00305D7D"/>
    <w:rsid w:val="00306199"/>
    <w:rsid w:val="0030674F"/>
    <w:rsid w:val="00306C47"/>
    <w:rsid w:val="003070C7"/>
    <w:rsid w:val="00307628"/>
    <w:rsid w:val="00310EF1"/>
    <w:rsid w:val="0031183C"/>
    <w:rsid w:val="00311E7C"/>
    <w:rsid w:val="0031201C"/>
    <w:rsid w:val="00312626"/>
    <w:rsid w:val="00313697"/>
    <w:rsid w:val="00313A9A"/>
    <w:rsid w:val="00313ACE"/>
    <w:rsid w:val="00315B2A"/>
    <w:rsid w:val="0031609C"/>
    <w:rsid w:val="00316454"/>
    <w:rsid w:val="003165A8"/>
    <w:rsid w:val="003169A2"/>
    <w:rsid w:val="003175E9"/>
    <w:rsid w:val="00317781"/>
    <w:rsid w:val="0031779B"/>
    <w:rsid w:val="003201E1"/>
    <w:rsid w:val="00320271"/>
    <w:rsid w:val="00320A0D"/>
    <w:rsid w:val="0032124B"/>
    <w:rsid w:val="0032186D"/>
    <w:rsid w:val="003226E3"/>
    <w:rsid w:val="003230FC"/>
    <w:rsid w:val="00324208"/>
    <w:rsid w:val="003248EA"/>
    <w:rsid w:val="00324E80"/>
    <w:rsid w:val="0032531F"/>
    <w:rsid w:val="003264F2"/>
    <w:rsid w:val="00326D3D"/>
    <w:rsid w:val="003271CB"/>
    <w:rsid w:val="00330FCF"/>
    <w:rsid w:val="00331AFB"/>
    <w:rsid w:val="003329C7"/>
    <w:rsid w:val="00332F10"/>
    <w:rsid w:val="003364DC"/>
    <w:rsid w:val="00336952"/>
    <w:rsid w:val="0033765E"/>
    <w:rsid w:val="00337B6A"/>
    <w:rsid w:val="003405B1"/>
    <w:rsid w:val="00340718"/>
    <w:rsid w:val="00340EC1"/>
    <w:rsid w:val="003422BE"/>
    <w:rsid w:val="0034248F"/>
    <w:rsid w:val="003424CA"/>
    <w:rsid w:val="0034364A"/>
    <w:rsid w:val="003437E6"/>
    <w:rsid w:val="00344939"/>
    <w:rsid w:val="00344F70"/>
    <w:rsid w:val="003454B1"/>
    <w:rsid w:val="00346E91"/>
    <w:rsid w:val="00347CD7"/>
    <w:rsid w:val="0034EEBC"/>
    <w:rsid w:val="003505BB"/>
    <w:rsid w:val="00350D1A"/>
    <w:rsid w:val="00351566"/>
    <w:rsid w:val="003517D5"/>
    <w:rsid w:val="0035322E"/>
    <w:rsid w:val="003552DD"/>
    <w:rsid w:val="0035593A"/>
    <w:rsid w:val="003559DE"/>
    <w:rsid w:val="003565FD"/>
    <w:rsid w:val="003579B9"/>
    <w:rsid w:val="00360095"/>
    <w:rsid w:val="00361175"/>
    <w:rsid w:val="003623D5"/>
    <w:rsid w:val="003639B5"/>
    <w:rsid w:val="0036474C"/>
    <w:rsid w:val="0036508A"/>
    <w:rsid w:val="003653A3"/>
    <w:rsid w:val="003653EB"/>
    <w:rsid w:val="00365E2F"/>
    <w:rsid w:val="00365F60"/>
    <w:rsid w:val="00366DBC"/>
    <w:rsid w:val="0036726B"/>
    <w:rsid w:val="00367985"/>
    <w:rsid w:val="00367F8E"/>
    <w:rsid w:val="00367FB9"/>
    <w:rsid w:val="003728E8"/>
    <w:rsid w:val="0037354E"/>
    <w:rsid w:val="00375553"/>
    <w:rsid w:val="00375D00"/>
    <w:rsid w:val="00375EA3"/>
    <w:rsid w:val="0037682A"/>
    <w:rsid w:val="00376A83"/>
    <w:rsid w:val="00377042"/>
    <w:rsid w:val="003777D2"/>
    <w:rsid w:val="003800B1"/>
    <w:rsid w:val="003804E0"/>
    <w:rsid w:val="00380B19"/>
    <w:rsid w:val="00380B43"/>
    <w:rsid w:val="00380FB6"/>
    <w:rsid w:val="00381BD3"/>
    <w:rsid w:val="0038270C"/>
    <w:rsid w:val="0038278A"/>
    <w:rsid w:val="00382EE6"/>
    <w:rsid w:val="00383AA6"/>
    <w:rsid w:val="00384718"/>
    <w:rsid w:val="00384B77"/>
    <w:rsid w:val="00384E1B"/>
    <w:rsid w:val="00385CAE"/>
    <w:rsid w:val="00385E81"/>
    <w:rsid w:val="00385F66"/>
    <w:rsid w:val="00386409"/>
    <w:rsid w:val="0038680E"/>
    <w:rsid w:val="00386E9D"/>
    <w:rsid w:val="003878C3"/>
    <w:rsid w:val="003878F8"/>
    <w:rsid w:val="003900FC"/>
    <w:rsid w:val="003925AC"/>
    <w:rsid w:val="0039278E"/>
    <w:rsid w:val="00392B96"/>
    <w:rsid w:val="00393B3A"/>
    <w:rsid w:val="00394276"/>
    <w:rsid w:val="00394461"/>
    <w:rsid w:val="00395493"/>
    <w:rsid w:val="003957CF"/>
    <w:rsid w:val="0039584B"/>
    <w:rsid w:val="00395868"/>
    <w:rsid w:val="003969E9"/>
    <w:rsid w:val="003A1581"/>
    <w:rsid w:val="003A1D1D"/>
    <w:rsid w:val="003A2F52"/>
    <w:rsid w:val="003A3BB5"/>
    <w:rsid w:val="003A4690"/>
    <w:rsid w:val="003A5A0D"/>
    <w:rsid w:val="003A7030"/>
    <w:rsid w:val="003A7386"/>
    <w:rsid w:val="003A7D90"/>
    <w:rsid w:val="003B112D"/>
    <w:rsid w:val="003B18A9"/>
    <w:rsid w:val="003B1A7B"/>
    <w:rsid w:val="003B1C42"/>
    <w:rsid w:val="003B21C2"/>
    <w:rsid w:val="003B2320"/>
    <w:rsid w:val="003B3498"/>
    <w:rsid w:val="003B450B"/>
    <w:rsid w:val="003B4726"/>
    <w:rsid w:val="003B4EB3"/>
    <w:rsid w:val="003B655D"/>
    <w:rsid w:val="003B70ED"/>
    <w:rsid w:val="003B728E"/>
    <w:rsid w:val="003B72E5"/>
    <w:rsid w:val="003B7657"/>
    <w:rsid w:val="003C06E6"/>
    <w:rsid w:val="003C0B28"/>
    <w:rsid w:val="003C209F"/>
    <w:rsid w:val="003C3E25"/>
    <w:rsid w:val="003C3ECF"/>
    <w:rsid w:val="003C42CB"/>
    <w:rsid w:val="003C4606"/>
    <w:rsid w:val="003C4BB7"/>
    <w:rsid w:val="003C4BBA"/>
    <w:rsid w:val="003C50A4"/>
    <w:rsid w:val="003C78E8"/>
    <w:rsid w:val="003D05C7"/>
    <w:rsid w:val="003D08E6"/>
    <w:rsid w:val="003D10D0"/>
    <w:rsid w:val="003D25A2"/>
    <w:rsid w:val="003D26B8"/>
    <w:rsid w:val="003D30DD"/>
    <w:rsid w:val="003D454F"/>
    <w:rsid w:val="003D4761"/>
    <w:rsid w:val="003D495C"/>
    <w:rsid w:val="003D52F0"/>
    <w:rsid w:val="003D5E3A"/>
    <w:rsid w:val="003D6CCF"/>
    <w:rsid w:val="003D6CDD"/>
    <w:rsid w:val="003D6FE6"/>
    <w:rsid w:val="003D7E6F"/>
    <w:rsid w:val="003D7E80"/>
    <w:rsid w:val="003E0DFB"/>
    <w:rsid w:val="003E0E73"/>
    <w:rsid w:val="003E1BCF"/>
    <w:rsid w:val="003E3BD5"/>
    <w:rsid w:val="003E3F82"/>
    <w:rsid w:val="003E4338"/>
    <w:rsid w:val="003E4B6F"/>
    <w:rsid w:val="003E551B"/>
    <w:rsid w:val="003E693A"/>
    <w:rsid w:val="003E6CF3"/>
    <w:rsid w:val="003E6CF8"/>
    <w:rsid w:val="003E7127"/>
    <w:rsid w:val="003E723F"/>
    <w:rsid w:val="003E76C8"/>
    <w:rsid w:val="003E79E5"/>
    <w:rsid w:val="003F10AB"/>
    <w:rsid w:val="003F2A41"/>
    <w:rsid w:val="003F3152"/>
    <w:rsid w:val="003F3FAD"/>
    <w:rsid w:val="003F4588"/>
    <w:rsid w:val="003F4D4C"/>
    <w:rsid w:val="003F5323"/>
    <w:rsid w:val="003F58C5"/>
    <w:rsid w:val="003F6001"/>
    <w:rsid w:val="003F605D"/>
    <w:rsid w:val="003F6E24"/>
    <w:rsid w:val="003F7291"/>
    <w:rsid w:val="003F77D1"/>
    <w:rsid w:val="003F7C64"/>
    <w:rsid w:val="00400409"/>
    <w:rsid w:val="004008BC"/>
    <w:rsid w:val="00401F57"/>
    <w:rsid w:val="00402121"/>
    <w:rsid w:val="00402614"/>
    <w:rsid w:val="004031B6"/>
    <w:rsid w:val="004031FC"/>
    <w:rsid w:val="00403632"/>
    <w:rsid w:val="004040F3"/>
    <w:rsid w:val="00405B2F"/>
    <w:rsid w:val="004074AA"/>
    <w:rsid w:val="00407B3D"/>
    <w:rsid w:val="0040D3E8"/>
    <w:rsid w:val="004115A9"/>
    <w:rsid w:val="004115EB"/>
    <w:rsid w:val="0041181C"/>
    <w:rsid w:val="00411C27"/>
    <w:rsid w:val="0041235B"/>
    <w:rsid w:val="0041365F"/>
    <w:rsid w:val="0041386A"/>
    <w:rsid w:val="00414BE8"/>
    <w:rsid w:val="00414D97"/>
    <w:rsid w:val="0041564E"/>
    <w:rsid w:val="00415743"/>
    <w:rsid w:val="0042000D"/>
    <w:rsid w:val="00420457"/>
    <w:rsid w:val="00420EAA"/>
    <w:rsid w:val="0042108E"/>
    <w:rsid w:val="00421121"/>
    <w:rsid w:val="00422335"/>
    <w:rsid w:val="00422690"/>
    <w:rsid w:val="00423151"/>
    <w:rsid w:val="0042334A"/>
    <w:rsid w:val="004243C9"/>
    <w:rsid w:val="004260BE"/>
    <w:rsid w:val="00426804"/>
    <w:rsid w:val="00426DE7"/>
    <w:rsid w:val="00426ECC"/>
    <w:rsid w:val="00427243"/>
    <w:rsid w:val="00427956"/>
    <w:rsid w:val="004279F9"/>
    <w:rsid w:val="00427A98"/>
    <w:rsid w:val="00427AEB"/>
    <w:rsid w:val="00430235"/>
    <w:rsid w:val="00430DA3"/>
    <w:rsid w:val="0043135F"/>
    <w:rsid w:val="004313A1"/>
    <w:rsid w:val="0043163E"/>
    <w:rsid w:val="00431FF8"/>
    <w:rsid w:val="00432F96"/>
    <w:rsid w:val="004333E0"/>
    <w:rsid w:val="00433C5C"/>
    <w:rsid w:val="0043435B"/>
    <w:rsid w:val="004345C6"/>
    <w:rsid w:val="00434A52"/>
    <w:rsid w:val="00434CCD"/>
    <w:rsid w:val="004356D2"/>
    <w:rsid w:val="00435D05"/>
    <w:rsid w:val="00436BE5"/>
    <w:rsid w:val="00436E05"/>
    <w:rsid w:val="00437530"/>
    <w:rsid w:val="004378B1"/>
    <w:rsid w:val="004413C6"/>
    <w:rsid w:val="00441839"/>
    <w:rsid w:val="0044192A"/>
    <w:rsid w:val="00444A94"/>
    <w:rsid w:val="00444B0B"/>
    <w:rsid w:val="00444CF5"/>
    <w:rsid w:val="00445E01"/>
    <w:rsid w:val="004469D4"/>
    <w:rsid w:val="00446A50"/>
    <w:rsid w:val="00447AF3"/>
    <w:rsid w:val="00447FD2"/>
    <w:rsid w:val="00450686"/>
    <w:rsid w:val="004522A9"/>
    <w:rsid w:val="00452D4B"/>
    <w:rsid w:val="004538A8"/>
    <w:rsid w:val="00453B99"/>
    <w:rsid w:val="00453D60"/>
    <w:rsid w:val="00453D7A"/>
    <w:rsid w:val="004542C4"/>
    <w:rsid w:val="00454AA2"/>
    <w:rsid w:val="004552D6"/>
    <w:rsid w:val="00455DBC"/>
    <w:rsid w:val="0045605C"/>
    <w:rsid w:val="00456C0D"/>
    <w:rsid w:val="0045771C"/>
    <w:rsid w:val="00457B88"/>
    <w:rsid w:val="00457BA6"/>
    <w:rsid w:val="00460395"/>
    <w:rsid w:val="0046176B"/>
    <w:rsid w:val="00462BD7"/>
    <w:rsid w:val="00462C20"/>
    <w:rsid w:val="00463486"/>
    <w:rsid w:val="004649EA"/>
    <w:rsid w:val="004656A1"/>
    <w:rsid w:val="004656C5"/>
    <w:rsid w:val="00465D33"/>
    <w:rsid w:val="00465E1A"/>
    <w:rsid w:val="004667E3"/>
    <w:rsid w:val="00466985"/>
    <w:rsid w:val="00467494"/>
    <w:rsid w:val="00467CD2"/>
    <w:rsid w:val="00470141"/>
    <w:rsid w:val="004709D6"/>
    <w:rsid w:val="00470B72"/>
    <w:rsid w:val="00470F04"/>
    <w:rsid w:val="0047183C"/>
    <w:rsid w:val="00471BC7"/>
    <w:rsid w:val="00472375"/>
    <w:rsid w:val="00473526"/>
    <w:rsid w:val="0047396F"/>
    <w:rsid w:val="00473BF1"/>
    <w:rsid w:val="00473C01"/>
    <w:rsid w:val="004750CE"/>
    <w:rsid w:val="00475918"/>
    <w:rsid w:val="0047600E"/>
    <w:rsid w:val="00476356"/>
    <w:rsid w:val="0047645F"/>
    <w:rsid w:val="00476BBA"/>
    <w:rsid w:val="004778B1"/>
    <w:rsid w:val="00477F32"/>
    <w:rsid w:val="00480F77"/>
    <w:rsid w:val="004810F0"/>
    <w:rsid w:val="00482541"/>
    <w:rsid w:val="00482D35"/>
    <w:rsid w:val="0048354D"/>
    <w:rsid w:val="004836D6"/>
    <w:rsid w:val="00483739"/>
    <w:rsid w:val="004837D1"/>
    <w:rsid w:val="00484643"/>
    <w:rsid w:val="0048477A"/>
    <w:rsid w:val="004848A2"/>
    <w:rsid w:val="00485316"/>
    <w:rsid w:val="00485343"/>
    <w:rsid w:val="004853FD"/>
    <w:rsid w:val="00485848"/>
    <w:rsid w:val="00485AD2"/>
    <w:rsid w:val="00485EF6"/>
    <w:rsid w:val="00486A27"/>
    <w:rsid w:val="00486A71"/>
    <w:rsid w:val="00487F34"/>
    <w:rsid w:val="00490AD9"/>
    <w:rsid w:val="00490CAE"/>
    <w:rsid w:val="00491570"/>
    <w:rsid w:val="004921BF"/>
    <w:rsid w:val="00492324"/>
    <w:rsid w:val="00492B4D"/>
    <w:rsid w:val="004939C8"/>
    <w:rsid w:val="00493A63"/>
    <w:rsid w:val="0049481D"/>
    <w:rsid w:val="00495005"/>
    <w:rsid w:val="00495E45"/>
    <w:rsid w:val="00496006"/>
    <w:rsid w:val="00496052"/>
    <w:rsid w:val="00496DE3"/>
    <w:rsid w:val="00496FD1"/>
    <w:rsid w:val="00497123"/>
    <w:rsid w:val="00497D0C"/>
    <w:rsid w:val="00497ED7"/>
    <w:rsid w:val="004A043A"/>
    <w:rsid w:val="004A096A"/>
    <w:rsid w:val="004A0C49"/>
    <w:rsid w:val="004A1C48"/>
    <w:rsid w:val="004A1CEE"/>
    <w:rsid w:val="004A1F96"/>
    <w:rsid w:val="004A2104"/>
    <w:rsid w:val="004A2AC2"/>
    <w:rsid w:val="004A2C5F"/>
    <w:rsid w:val="004A2CE4"/>
    <w:rsid w:val="004A3418"/>
    <w:rsid w:val="004A3FF9"/>
    <w:rsid w:val="004A46AC"/>
    <w:rsid w:val="004A575E"/>
    <w:rsid w:val="004A5DC1"/>
    <w:rsid w:val="004A72AB"/>
    <w:rsid w:val="004B08F2"/>
    <w:rsid w:val="004B1223"/>
    <w:rsid w:val="004B382D"/>
    <w:rsid w:val="004B39A8"/>
    <w:rsid w:val="004B3CE7"/>
    <w:rsid w:val="004B3E24"/>
    <w:rsid w:val="004B4ADA"/>
    <w:rsid w:val="004B4C6E"/>
    <w:rsid w:val="004B5632"/>
    <w:rsid w:val="004B5919"/>
    <w:rsid w:val="004B5D5A"/>
    <w:rsid w:val="004B607B"/>
    <w:rsid w:val="004B6B5E"/>
    <w:rsid w:val="004B6C68"/>
    <w:rsid w:val="004B6EB5"/>
    <w:rsid w:val="004C05ED"/>
    <w:rsid w:val="004C08A3"/>
    <w:rsid w:val="004C1B06"/>
    <w:rsid w:val="004C1C83"/>
    <w:rsid w:val="004C256E"/>
    <w:rsid w:val="004C25C5"/>
    <w:rsid w:val="004C29BA"/>
    <w:rsid w:val="004C509D"/>
    <w:rsid w:val="004C59EF"/>
    <w:rsid w:val="004C5DA5"/>
    <w:rsid w:val="004C6677"/>
    <w:rsid w:val="004C6686"/>
    <w:rsid w:val="004C6752"/>
    <w:rsid w:val="004C6ABE"/>
    <w:rsid w:val="004C6B48"/>
    <w:rsid w:val="004C740D"/>
    <w:rsid w:val="004C941E"/>
    <w:rsid w:val="004CACCD"/>
    <w:rsid w:val="004D0C48"/>
    <w:rsid w:val="004D1306"/>
    <w:rsid w:val="004D1361"/>
    <w:rsid w:val="004D24DF"/>
    <w:rsid w:val="004D2F5E"/>
    <w:rsid w:val="004D404B"/>
    <w:rsid w:val="004D6695"/>
    <w:rsid w:val="004D66E7"/>
    <w:rsid w:val="004E0C48"/>
    <w:rsid w:val="004E1C2E"/>
    <w:rsid w:val="004E2333"/>
    <w:rsid w:val="004E359D"/>
    <w:rsid w:val="004E4787"/>
    <w:rsid w:val="004E5638"/>
    <w:rsid w:val="004E7245"/>
    <w:rsid w:val="004E7402"/>
    <w:rsid w:val="004E74C9"/>
    <w:rsid w:val="004F0B4B"/>
    <w:rsid w:val="004F10F2"/>
    <w:rsid w:val="004F112B"/>
    <w:rsid w:val="004F2019"/>
    <w:rsid w:val="004F20F1"/>
    <w:rsid w:val="004F26F9"/>
    <w:rsid w:val="004F2E77"/>
    <w:rsid w:val="004F3896"/>
    <w:rsid w:val="004F47BE"/>
    <w:rsid w:val="004F5357"/>
    <w:rsid w:val="004F6D51"/>
    <w:rsid w:val="004F6D66"/>
    <w:rsid w:val="005005DA"/>
    <w:rsid w:val="00500743"/>
    <w:rsid w:val="005014D0"/>
    <w:rsid w:val="00501CD4"/>
    <w:rsid w:val="0050264E"/>
    <w:rsid w:val="00502B6C"/>
    <w:rsid w:val="00502D12"/>
    <w:rsid w:val="00503123"/>
    <w:rsid w:val="005034BA"/>
    <w:rsid w:val="00503E41"/>
    <w:rsid w:val="0050456C"/>
    <w:rsid w:val="00504972"/>
    <w:rsid w:val="00504A78"/>
    <w:rsid w:val="005052B4"/>
    <w:rsid w:val="005069CA"/>
    <w:rsid w:val="00506ECF"/>
    <w:rsid w:val="00507319"/>
    <w:rsid w:val="00507335"/>
    <w:rsid w:val="005078EF"/>
    <w:rsid w:val="00507C44"/>
    <w:rsid w:val="00510F84"/>
    <w:rsid w:val="00511292"/>
    <w:rsid w:val="00511E82"/>
    <w:rsid w:val="00512293"/>
    <w:rsid w:val="005125CE"/>
    <w:rsid w:val="00512E6E"/>
    <w:rsid w:val="00512F11"/>
    <w:rsid w:val="00513476"/>
    <w:rsid w:val="00513FA5"/>
    <w:rsid w:val="005141F3"/>
    <w:rsid w:val="00514A8D"/>
    <w:rsid w:val="00514F5F"/>
    <w:rsid w:val="005151E2"/>
    <w:rsid w:val="00515519"/>
    <w:rsid w:val="00516315"/>
    <w:rsid w:val="005166FF"/>
    <w:rsid w:val="005167B5"/>
    <w:rsid w:val="00516996"/>
    <w:rsid w:val="00517393"/>
    <w:rsid w:val="005173C9"/>
    <w:rsid w:val="00520F6F"/>
    <w:rsid w:val="00521E10"/>
    <w:rsid w:val="00521F07"/>
    <w:rsid w:val="005226D7"/>
    <w:rsid w:val="005233E8"/>
    <w:rsid w:val="00523FC0"/>
    <w:rsid w:val="00524249"/>
    <w:rsid w:val="00524483"/>
    <w:rsid w:val="00525D32"/>
    <w:rsid w:val="00527224"/>
    <w:rsid w:val="005272D4"/>
    <w:rsid w:val="00527A35"/>
    <w:rsid w:val="00527AD1"/>
    <w:rsid w:val="0053053D"/>
    <w:rsid w:val="005312B2"/>
    <w:rsid w:val="0053212C"/>
    <w:rsid w:val="005331EA"/>
    <w:rsid w:val="00533497"/>
    <w:rsid w:val="00533825"/>
    <w:rsid w:val="00533B13"/>
    <w:rsid w:val="00533D44"/>
    <w:rsid w:val="005342B9"/>
    <w:rsid w:val="005345C9"/>
    <w:rsid w:val="00534B7D"/>
    <w:rsid w:val="005353DA"/>
    <w:rsid w:val="005355C3"/>
    <w:rsid w:val="00535777"/>
    <w:rsid w:val="00535F2C"/>
    <w:rsid w:val="00536B42"/>
    <w:rsid w:val="00536C20"/>
    <w:rsid w:val="00537BC8"/>
    <w:rsid w:val="00537FDE"/>
    <w:rsid w:val="00540085"/>
    <w:rsid w:val="00540631"/>
    <w:rsid w:val="00540906"/>
    <w:rsid w:val="00541C23"/>
    <w:rsid w:val="00541CD6"/>
    <w:rsid w:val="00542E2B"/>
    <w:rsid w:val="005440A5"/>
    <w:rsid w:val="00544AAE"/>
    <w:rsid w:val="00544EAA"/>
    <w:rsid w:val="00545EA0"/>
    <w:rsid w:val="00546CAA"/>
    <w:rsid w:val="00547070"/>
    <w:rsid w:val="005472E6"/>
    <w:rsid w:val="00547AF1"/>
    <w:rsid w:val="00550969"/>
    <w:rsid w:val="0055099F"/>
    <w:rsid w:val="005517E9"/>
    <w:rsid w:val="0055305C"/>
    <w:rsid w:val="0055317F"/>
    <w:rsid w:val="00553EA2"/>
    <w:rsid w:val="0055532D"/>
    <w:rsid w:val="00556079"/>
    <w:rsid w:val="005561C4"/>
    <w:rsid w:val="0055650D"/>
    <w:rsid w:val="00556F74"/>
    <w:rsid w:val="00560189"/>
    <w:rsid w:val="005606A1"/>
    <w:rsid w:val="005612EC"/>
    <w:rsid w:val="005616B0"/>
    <w:rsid w:val="005619CB"/>
    <w:rsid w:val="00561AFF"/>
    <w:rsid w:val="00561C29"/>
    <w:rsid w:val="00562985"/>
    <w:rsid w:val="0056338C"/>
    <w:rsid w:val="00563776"/>
    <w:rsid w:val="00564470"/>
    <w:rsid w:val="00564F83"/>
    <w:rsid w:val="00565586"/>
    <w:rsid w:val="00566936"/>
    <w:rsid w:val="005678A1"/>
    <w:rsid w:val="00567A49"/>
    <w:rsid w:val="00567C36"/>
    <w:rsid w:val="005708F1"/>
    <w:rsid w:val="005712F2"/>
    <w:rsid w:val="005718BD"/>
    <w:rsid w:val="00571D7C"/>
    <w:rsid w:val="00572187"/>
    <w:rsid w:val="005728F3"/>
    <w:rsid w:val="0057433F"/>
    <w:rsid w:val="005745C5"/>
    <w:rsid w:val="00574621"/>
    <w:rsid w:val="005746C8"/>
    <w:rsid w:val="00574C0E"/>
    <w:rsid w:val="005750C5"/>
    <w:rsid w:val="005758C4"/>
    <w:rsid w:val="005764F8"/>
    <w:rsid w:val="00576A07"/>
    <w:rsid w:val="00576B39"/>
    <w:rsid w:val="005772B7"/>
    <w:rsid w:val="0057731A"/>
    <w:rsid w:val="00577627"/>
    <w:rsid w:val="0057780D"/>
    <w:rsid w:val="00581B66"/>
    <w:rsid w:val="0058212D"/>
    <w:rsid w:val="0058330B"/>
    <w:rsid w:val="00583B07"/>
    <w:rsid w:val="00583EA5"/>
    <w:rsid w:val="0058433E"/>
    <w:rsid w:val="0058447A"/>
    <w:rsid w:val="00584CC1"/>
    <w:rsid w:val="005863EA"/>
    <w:rsid w:val="00587745"/>
    <w:rsid w:val="00587748"/>
    <w:rsid w:val="005877F5"/>
    <w:rsid w:val="00587E70"/>
    <w:rsid w:val="00593783"/>
    <w:rsid w:val="00593AA4"/>
    <w:rsid w:val="00593E7B"/>
    <w:rsid w:val="005942DB"/>
    <w:rsid w:val="00594634"/>
    <w:rsid w:val="00597394"/>
    <w:rsid w:val="00597AE3"/>
    <w:rsid w:val="005A07CF"/>
    <w:rsid w:val="005A0B9B"/>
    <w:rsid w:val="005A17B1"/>
    <w:rsid w:val="005A1906"/>
    <w:rsid w:val="005A19BF"/>
    <w:rsid w:val="005A1AA3"/>
    <w:rsid w:val="005A1B34"/>
    <w:rsid w:val="005A277E"/>
    <w:rsid w:val="005A27FB"/>
    <w:rsid w:val="005A2BFF"/>
    <w:rsid w:val="005A302F"/>
    <w:rsid w:val="005A3E64"/>
    <w:rsid w:val="005A4090"/>
    <w:rsid w:val="005A4487"/>
    <w:rsid w:val="005A45CD"/>
    <w:rsid w:val="005A4725"/>
    <w:rsid w:val="005A69C5"/>
    <w:rsid w:val="005A76A6"/>
    <w:rsid w:val="005A789B"/>
    <w:rsid w:val="005B0F98"/>
    <w:rsid w:val="005B12C4"/>
    <w:rsid w:val="005B23EC"/>
    <w:rsid w:val="005B2649"/>
    <w:rsid w:val="005B31CA"/>
    <w:rsid w:val="005B31D1"/>
    <w:rsid w:val="005B3C4A"/>
    <w:rsid w:val="005B3C55"/>
    <w:rsid w:val="005B4020"/>
    <w:rsid w:val="005B4A60"/>
    <w:rsid w:val="005B4BE2"/>
    <w:rsid w:val="005B4CAF"/>
    <w:rsid w:val="005B6113"/>
    <w:rsid w:val="005B78F4"/>
    <w:rsid w:val="005C0E75"/>
    <w:rsid w:val="005C184A"/>
    <w:rsid w:val="005C21D1"/>
    <w:rsid w:val="005C249D"/>
    <w:rsid w:val="005C2CAD"/>
    <w:rsid w:val="005C31DE"/>
    <w:rsid w:val="005C3EAE"/>
    <w:rsid w:val="005C478C"/>
    <w:rsid w:val="005C4AEC"/>
    <w:rsid w:val="005C5104"/>
    <w:rsid w:val="005C5A2E"/>
    <w:rsid w:val="005C6803"/>
    <w:rsid w:val="005D037C"/>
    <w:rsid w:val="005D10AA"/>
    <w:rsid w:val="005D1976"/>
    <w:rsid w:val="005D1A40"/>
    <w:rsid w:val="005D2849"/>
    <w:rsid w:val="005D30D8"/>
    <w:rsid w:val="005D3A2E"/>
    <w:rsid w:val="005D454D"/>
    <w:rsid w:val="005D5992"/>
    <w:rsid w:val="005D5AFC"/>
    <w:rsid w:val="005D6372"/>
    <w:rsid w:val="005D66B5"/>
    <w:rsid w:val="005D69B4"/>
    <w:rsid w:val="005D6A22"/>
    <w:rsid w:val="005D7C4F"/>
    <w:rsid w:val="005E02BD"/>
    <w:rsid w:val="005E1619"/>
    <w:rsid w:val="005E33EE"/>
    <w:rsid w:val="005E48A7"/>
    <w:rsid w:val="005E651A"/>
    <w:rsid w:val="005E6F39"/>
    <w:rsid w:val="005E6FA4"/>
    <w:rsid w:val="005F0DE5"/>
    <w:rsid w:val="005F11B8"/>
    <w:rsid w:val="005F25BF"/>
    <w:rsid w:val="005F3BB6"/>
    <w:rsid w:val="005F480E"/>
    <w:rsid w:val="005F4A08"/>
    <w:rsid w:val="005F4A14"/>
    <w:rsid w:val="005F4BD4"/>
    <w:rsid w:val="005F4CBB"/>
    <w:rsid w:val="005F4DF7"/>
    <w:rsid w:val="005F518F"/>
    <w:rsid w:val="005F6D10"/>
    <w:rsid w:val="005F7DD9"/>
    <w:rsid w:val="005F7DF6"/>
    <w:rsid w:val="005F7F28"/>
    <w:rsid w:val="006003A5"/>
    <w:rsid w:val="0060040E"/>
    <w:rsid w:val="006005BD"/>
    <w:rsid w:val="0060136A"/>
    <w:rsid w:val="00601636"/>
    <w:rsid w:val="00601E25"/>
    <w:rsid w:val="006020F3"/>
    <w:rsid w:val="006024DC"/>
    <w:rsid w:val="00603172"/>
    <w:rsid w:val="0060342A"/>
    <w:rsid w:val="006038E3"/>
    <w:rsid w:val="00603A65"/>
    <w:rsid w:val="0060415D"/>
    <w:rsid w:val="00604FAE"/>
    <w:rsid w:val="0060645F"/>
    <w:rsid w:val="00607406"/>
    <w:rsid w:val="006076A2"/>
    <w:rsid w:val="006108E5"/>
    <w:rsid w:val="00611B10"/>
    <w:rsid w:val="006124C8"/>
    <w:rsid w:val="00613198"/>
    <w:rsid w:val="00613F2B"/>
    <w:rsid w:val="00614811"/>
    <w:rsid w:val="00614C1A"/>
    <w:rsid w:val="00614C9F"/>
    <w:rsid w:val="00614E2F"/>
    <w:rsid w:val="00614F98"/>
    <w:rsid w:val="006162D8"/>
    <w:rsid w:val="0061655E"/>
    <w:rsid w:val="0061690D"/>
    <w:rsid w:val="00616C9C"/>
    <w:rsid w:val="006171FE"/>
    <w:rsid w:val="00617817"/>
    <w:rsid w:val="00620069"/>
    <w:rsid w:val="0062008D"/>
    <w:rsid w:val="00620838"/>
    <w:rsid w:val="00620FFE"/>
    <w:rsid w:val="006212B8"/>
    <w:rsid w:val="0062257F"/>
    <w:rsid w:val="0062280A"/>
    <w:rsid w:val="00623658"/>
    <w:rsid w:val="006240AC"/>
    <w:rsid w:val="0062428E"/>
    <w:rsid w:val="00624296"/>
    <w:rsid w:val="00625D98"/>
    <w:rsid w:val="00625E0A"/>
    <w:rsid w:val="00626E00"/>
    <w:rsid w:val="00626E42"/>
    <w:rsid w:val="0063074E"/>
    <w:rsid w:val="00630CF3"/>
    <w:rsid w:val="0063108F"/>
    <w:rsid w:val="0063125C"/>
    <w:rsid w:val="006315A6"/>
    <w:rsid w:val="00631F73"/>
    <w:rsid w:val="006326CC"/>
    <w:rsid w:val="006328BE"/>
    <w:rsid w:val="00633F16"/>
    <w:rsid w:val="0063446A"/>
    <w:rsid w:val="0063469E"/>
    <w:rsid w:val="00636115"/>
    <w:rsid w:val="0063641F"/>
    <w:rsid w:val="00636506"/>
    <w:rsid w:val="00636879"/>
    <w:rsid w:val="00636983"/>
    <w:rsid w:val="00636F35"/>
    <w:rsid w:val="006372E2"/>
    <w:rsid w:val="00638364"/>
    <w:rsid w:val="0064017D"/>
    <w:rsid w:val="0064134B"/>
    <w:rsid w:val="0064142D"/>
    <w:rsid w:val="006418E8"/>
    <w:rsid w:val="0064339E"/>
    <w:rsid w:val="00643DBE"/>
    <w:rsid w:val="00644273"/>
    <w:rsid w:val="0064443D"/>
    <w:rsid w:val="00645D2A"/>
    <w:rsid w:val="006466E2"/>
    <w:rsid w:val="00646A00"/>
    <w:rsid w:val="00646A1E"/>
    <w:rsid w:val="006470AF"/>
    <w:rsid w:val="006471A2"/>
    <w:rsid w:val="00650EE4"/>
    <w:rsid w:val="00650F93"/>
    <w:rsid w:val="0065212F"/>
    <w:rsid w:val="00652833"/>
    <w:rsid w:val="00652F34"/>
    <w:rsid w:val="006534CF"/>
    <w:rsid w:val="00653E88"/>
    <w:rsid w:val="006549ED"/>
    <w:rsid w:val="00654BBD"/>
    <w:rsid w:val="006553BD"/>
    <w:rsid w:val="0065552C"/>
    <w:rsid w:val="006557E6"/>
    <w:rsid w:val="00655E0E"/>
    <w:rsid w:val="00655F04"/>
    <w:rsid w:val="00656422"/>
    <w:rsid w:val="00656A63"/>
    <w:rsid w:val="00656E86"/>
    <w:rsid w:val="006571D4"/>
    <w:rsid w:val="006577AE"/>
    <w:rsid w:val="00657974"/>
    <w:rsid w:val="00660179"/>
    <w:rsid w:val="0066064D"/>
    <w:rsid w:val="00660BB1"/>
    <w:rsid w:val="0066106C"/>
    <w:rsid w:val="006618A1"/>
    <w:rsid w:val="00661A14"/>
    <w:rsid w:val="00663111"/>
    <w:rsid w:val="006631AC"/>
    <w:rsid w:val="00663864"/>
    <w:rsid w:val="00663CB1"/>
    <w:rsid w:val="00663D7C"/>
    <w:rsid w:val="00663DBE"/>
    <w:rsid w:val="00664208"/>
    <w:rsid w:val="00664CA7"/>
    <w:rsid w:val="00665F2C"/>
    <w:rsid w:val="00665F61"/>
    <w:rsid w:val="00666121"/>
    <w:rsid w:val="006661DC"/>
    <w:rsid w:val="006666D1"/>
    <w:rsid w:val="006679EC"/>
    <w:rsid w:val="00667DDD"/>
    <w:rsid w:val="00670CB1"/>
    <w:rsid w:val="00671C4C"/>
    <w:rsid w:val="00671D48"/>
    <w:rsid w:val="00672143"/>
    <w:rsid w:val="00672406"/>
    <w:rsid w:val="006726D6"/>
    <w:rsid w:val="006726FC"/>
    <w:rsid w:val="00672BDD"/>
    <w:rsid w:val="00672E6D"/>
    <w:rsid w:val="006741C4"/>
    <w:rsid w:val="006746D5"/>
    <w:rsid w:val="006757FA"/>
    <w:rsid w:val="00675C3C"/>
    <w:rsid w:val="00676182"/>
    <w:rsid w:val="00676D78"/>
    <w:rsid w:val="00677B2D"/>
    <w:rsid w:val="00677C07"/>
    <w:rsid w:val="00680159"/>
    <w:rsid w:val="00680174"/>
    <w:rsid w:val="006806AF"/>
    <w:rsid w:val="006817F8"/>
    <w:rsid w:val="00681B0D"/>
    <w:rsid w:val="00681B80"/>
    <w:rsid w:val="00681DCC"/>
    <w:rsid w:val="00681EDD"/>
    <w:rsid w:val="0068204B"/>
    <w:rsid w:val="0068293A"/>
    <w:rsid w:val="00683100"/>
    <w:rsid w:val="00683463"/>
    <w:rsid w:val="00684205"/>
    <w:rsid w:val="00684470"/>
    <w:rsid w:val="00684653"/>
    <w:rsid w:val="006850AD"/>
    <w:rsid w:val="00685CAD"/>
    <w:rsid w:val="00685F1E"/>
    <w:rsid w:val="00686461"/>
    <w:rsid w:val="006868BF"/>
    <w:rsid w:val="00687F8B"/>
    <w:rsid w:val="006908F3"/>
    <w:rsid w:val="00690CEA"/>
    <w:rsid w:val="00691A52"/>
    <w:rsid w:val="0069245A"/>
    <w:rsid w:val="00692C30"/>
    <w:rsid w:val="00693E63"/>
    <w:rsid w:val="006943FF"/>
    <w:rsid w:val="00694551"/>
    <w:rsid w:val="00694CD9"/>
    <w:rsid w:val="0069528D"/>
    <w:rsid w:val="0069547E"/>
    <w:rsid w:val="00695AF3"/>
    <w:rsid w:val="00695D18"/>
    <w:rsid w:val="00696323"/>
    <w:rsid w:val="00696D42"/>
    <w:rsid w:val="006A0AB7"/>
    <w:rsid w:val="006A1817"/>
    <w:rsid w:val="006A2CA6"/>
    <w:rsid w:val="006A3622"/>
    <w:rsid w:val="006A374A"/>
    <w:rsid w:val="006A3D03"/>
    <w:rsid w:val="006A443C"/>
    <w:rsid w:val="006A5A12"/>
    <w:rsid w:val="006A6204"/>
    <w:rsid w:val="006A78EE"/>
    <w:rsid w:val="006A799F"/>
    <w:rsid w:val="006A7E8B"/>
    <w:rsid w:val="006A7F55"/>
    <w:rsid w:val="006B0786"/>
    <w:rsid w:val="006B0A91"/>
    <w:rsid w:val="006B2278"/>
    <w:rsid w:val="006B2BFF"/>
    <w:rsid w:val="006B3051"/>
    <w:rsid w:val="006B3172"/>
    <w:rsid w:val="006B44BF"/>
    <w:rsid w:val="006B5831"/>
    <w:rsid w:val="006B5D50"/>
    <w:rsid w:val="006B72D3"/>
    <w:rsid w:val="006B754A"/>
    <w:rsid w:val="006B78A7"/>
    <w:rsid w:val="006B7DE2"/>
    <w:rsid w:val="006B7F60"/>
    <w:rsid w:val="006C0804"/>
    <w:rsid w:val="006C0D52"/>
    <w:rsid w:val="006C0D8B"/>
    <w:rsid w:val="006C11BB"/>
    <w:rsid w:val="006C1A6E"/>
    <w:rsid w:val="006C1B58"/>
    <w:rsid w:val="006C347F"/>
    <w:rsid w:val="006C36DE"/>
    <w:rsid w:val="006C6657"/>
    <w:rsid w:val="006C69C6"/>
    <w:rsid w:val="006C6CD6"/>
    <w:rsid w:val="006C6E3D"/>
    <w:rsid w:val="006C73CD"/>
    <w:rsid w:val="006C7E53"/>
    <w:rsid w:val="006D026E"/>
    <w:rsid w:val="006D034A"/>
    <w:rsid w:val="006D15DE"/>
    <w:rsid w:val="006D18BA"/>
    <w:rsid w:val="006D378C"/>
    <w:rsid w:val="006D4A58"/>
    <w:rsid w:val="006D58B3"/>
    <w:rsid w:val="006D6E13"/>
    <w:rsid w:val="006D706C"/>
    <w:rsid w:val="006E0E93"/>
    <w:rsid w:val="006E157A"/>
    <w:rsid w:val="006E2C03"/>
    <w:rsid w:val="006E2E59"/>
    <w:rsid w:val="006E3032"/>
    <w:rsid w:val="006E3744"/>
    <w:rsid w:val="006E3DB6"/>
    <w:rsid w:val="006E50FA"/>
    <w:rsid w:val="006E5F1A"/>
    <w:rsid w:val="006E6578"/>
    <w:rsid w:val="006E70AA"/>
    <w:rsid w:val="006E7AD5"/>
    <w:rsid w:val="006F0BCD"/>
    <w:rsid w:val="006F0E8F"/>
    <w:rsid w:val="006F118E"/>
    <w:rsid w:val="006F1D3A"/>
    <w:rsid w:val="006F2438"/>
    <w:rsid w:val="006F261D"/>
    <w:rsid w:val="006F2738"/>
    <w:rsid w:val="006F325C"/>
    <w:rsid w:val="006F3E0B"/>
    <w:rsid w:val="006F521A"/>
    <w:rsid w:val="006F53BA"/>
    <w:rsid w:val="006F5FAF"/>
    <w:rsid w:val="006F6456"/>
    <w:rsid w:val="007000B5"/>
    <w:rsid w:val="007006B8"/>
    <w:rsid w:val="00700CA7"/>
    <w:rsid w:val="0070121B"/>
    <w:rsid w:val="007012F4"/>
    <w:rsid w:val="00702B0F"/>
    <w:rsid w:val="00702EC5"/>
    <w:rsid w:val="0070334A"/>
    <w:rsid w:val="00704D9F"/>
    <w:rsid w:val="007053C2"/>
    <w:rsid w:val="007054A8"/>
    <w:rsid w:val="00706302"/>
    <w:rsid w:val="007064E5"/>
    <w:rsid w:val="00706950"/>
    <w:rsid w:val="007069E6"/>
    <w:rsid w:val="0070737E"/>
    <w:rsid w:val="007074D0"/>
    <w:rsid w:val="00707A9F"/>
    <w:rsid w:val="00707BB2"/>
    <w:rsid w:val="007105EB"/>
    <w:rsid w:val="00710E5B"/>
    <w:rsid w:val="00712035"/>
    <w:rsid w:val="00712A6A"/>
    <w:rsid w:val="00712D37"/>
    <w:rsid w:val="00712FCE"/>
    <w:rsid w:val="007136ED"/>
    <w:rsid w:val="00713B6F"/>
    <w:rsid w:val="00713B7D"/>
    <w:rsid w:val="00713BFF"/>
    <w:rsid w:val="00713EE9"/>
    <w:rsid w:val="007144F4"/>
    <w:rsid w:val="00714A0D"/>
    <w:rsid w:val="00714B00"/>
    <w:rsid w:val="0071517D"/>
    <w:rsid w:val="0071799E"/>
    <w:rsid w:val="0071D6FF"/>
    <w:rsid w:val="00720141"/>
    <w:rsid w:val="007202F3"/>
    <w:rsid w:val="00720600"/>
    <w:rsid w:val="00720679"/>
    <w:rsid w:val="00720A87"/>
    <w:rsid w:val="00722161"/>
    <w:rsid w:val="00722295"/>
    <w:rsid w:val="00722AAA"/>
    <w:rsid w:val="00723DC0"/>
    <w:rsid w:val="007242A5"/>
    <w:rsid w:val="00724321"/>
    <w:rsid w:val="0072560A"/>
    <w:rsid w:val="00725BFE"/>
    <w:rsid w:val="00725C04"/>
    <w:rsid w:val="00726514"/>
    <w:rsid w:val="007268FB"/>
    <w:rsid w:val="007275C1"/>
    <w:rsid w:val="00727905"/>
    <w:rsid w:val="00727C86"/>
    <w:rsid w:val="00730389"/>
    <w:rsid w:val="00730E10"/>
    <w:rsid w:val="00732808"/>
    <w:rsid w:val="00733973"/>
    <w:rsid w:val="00733A79"/>
    <w:rsid w:val="0073758E"/>
    <w:rsid w:val="00737BEA"/>
    <w:rsid w:val="00737D8E"/>
    <w:rsid w:val="00737E5E"/>
    <w:rsid w:val="00738C7D"/>
    <w:rsid w:val="007406E6"/>
    <w:rsid w:val="00742773"/>
    <w:rsid w:val="00742B7B"/>
    <w:rsid w:val="00742F26"/>
    <w:rsid w:val="00742F7A"/>
    <w:rsid w:val="00743F75"/>
    <w:rsid w:val="00743FC1"/>
    <w:rsid w:val="00744C80"/>
    <w:rsid w:val="00746326"/>
    <w:rsid w:val="00746602"/>
    <w:rsid w:val="0074707D"/>
    <w:rsid w:val="0074707E"/>
    <w:rsid w:val="00747308"/>
    <w:rsid w:val="00750199"/>
    <w:rsid w:val="00752B85"/>
    <w:rsid w:val="00752EC7"/>
    <w:rsid w:val="00753062"/>
    <w:rsid w:val="007531AC"/>
    <w:rsid w:val="00753BE3"/>
    <w:rsid w:val="00753BE4"/>
    <w:rsid w:val="00753EAB"/>
    <w:rsid w:val="00754C7C"/>
    <w:rsid w:val="007557E3"/>
    <w:rsid w:val="00755827"/>
    <w:rsid w:val="00755935"/>
    <w:rsid w:val="00755E62"/>
    <w:rsid w:val="00756547"/>
    <w:rsid w:val="00757765"/>
    <w:rsid w:val="00757A7D"/>
    <w:rsid w:val="00757B36"/>
    <w:rsid w:val="00760C85"/>
    <w:rsid w:val="0076250F"/>
    <w:rsid w:val="007625FE"/>
    <w:rsid w:val="007628F1"/>
    <w:rsid w:val="00762CEA"/>
    <w:rsid w:val="00762F80"/>
    <w:rsid w:val="007634AF"/>
    <w:rsid w:val="0076361A"/>
    <w:rsid w:val="007639C8"/>
    <w:rsid w:val="0076465B"/>
    <w:rsid w:val="00764F5B"/>
    <w:rsid w:val="00765299"/>
    <w:rsid w:val="00766295"/>
    <w:rsid w:val="00766B68"/>
    <w:rsid w:val="00766D8F"/>
    <w:rsid w:val="0076749A"/>
    <w:rsid w:val="007710D5"/>
    <w:rsid w:val="00772160"/>
    <w:rsid w:val="007730DF"/>
    <w:rsid w:val="00773D06"/>
    <w:rsid w:val="00773E7C"/>
    <w:rsid w:val="007740E5"/>
    <w:rsid w:val="00774FA1"/>
    <w:rsid w:val="0077503E"/>
    <w:rsid w:val="007754C4"/>
    <w:rsid w:val="00775A51"/>
    <w:rsid w:val="00775A88"/>
    <w:rsid w:val="00775B8F"/>
    <w:rsid w:val="00775C35"/>
    <w:rsid w:val="007761CD"/>
    <w:rsid w:val="00776621"/>
    <w:rsid w:val="0077764F"/>
    <w:rsid w:val="0077785D"/>
    <w:rsid w:val="00777B3C"/>
    <w:rsid w:val="00777E91"/>
    <w:rsid w:val="007811FE"/>
    <w:rsid w:val="00781782"/>
    <w:rsid w:val="007818D7"/>
    <w:rsid w:val="0078194B"/>
    <w:rsid w:val="007834FC"/>
    <w:rsid w:val="007849DE"/>
    <w:rsid w:val="00784D06"/>
    <w:rsid w:val="007852B9"/>
    <w:rsid w:val="007858AC"/>
    <w:rsid w:val="00785C0E"/>
    <w:rsid w:val="007874E4"/>
    <w:rsid w:val="00787BE7"/>
    <w:rsid w:val="00790179"/>
    <w:rsid w:val="00790C06"/>
    <w:rsid w:val="007917E6"/>
    <w:rsid w:val="007923E2"/>
    <w:rsid w:val="0079295D"/>
    <w:rsid w:val="00792C96"/>
    <w:rsid w:val="0079314C"/>
    <w:rsid w:val="007937D1"/>
    <w:rsid w:val="00793E35"/>
    <w:rsid w:val="00794320"/>
    <w:rsid w:val="0079526D"/>
    <w:rsid w:val="00795BD1"/>
    <w:rsid w:val="00795F05"/>
    <w:rsid w:val="007970A3"/>
    <w:rsid w:val="00797F8A"/>
    <w:rsid w:val="007A01FE"/>
    <w:rsid w:val="007A08AE"/>
    <w:rsid w:val="007A0B31"/>
    <w:rsid w:val="007A1539"/>
    <w:rsid w:val="007A2888"/>
    <w:rsid w:val="007A3EA2"/>
    <w:rsid w:val="007A51E8"/>
    <w:rsid w:val="007A5CB0"/>
    <w:rsid w:val="007B072C"/>
    <w:rsid w:val="007B0BC4"/>
    <w:rsid w:val="007B0BD5"/>
    <w:rsid w:val="007B0D96"/>
    <w:rsid w:val="007B1F19"/>
    <w:rsid w:val="007B2AC7"/>
    <w:rsid w:val="007B2C36"/>
    <w:rsid w:val="007B2D5D"/>
    <w:rsid w:val="007B2FB5"/>
    <w:rsid w:val="007B305A"/>
    <w:rsid w:val="007B3396"/>
    <w:rsid w:val="007B3AA8"/>
    <w:rsid w:val="007B482F"/>
    <w:rsid w:val="007B6C83"/>
    <w:rsid w:val="007B7CBF"/>
    <w:rsid w:val="007C037A"/>
    <w:rsid w:val="007C069E"/>
    <w:rsid w:val="007C2B07"/>
    <w:rsid w:val="007C2C6D"/>
    <w:rsid w:val="007C3486"/>
    <w:rsid w:val="007C36E7"/>
    <w:rsid w:val="007C3E61"/>
    <w:rsid w:val="007C3EFB"/>
    <w:rsid w:val="007C4388"/>
    <w:rsid w:val="007C51F9"/>
    <w:rsid w:val="007C538E"/>
    <w:rsid w:val="007C5954"/>
    <w:rsid w:val="007C6224"/>
    <w:rsid w:val="007C63BA"/>
    <w:rsid w:val="007C6DD8"/>
    <w:rsid w:val="007C754F"/>
    <w:rsid w:val="007C7ADB"/>
    <w:rsid w:val="007C7E81"/>
    <w:rsid w:val="007D0296"/>
    <w:rsid w:val="007D08B8"/>
    <w:rsid w:val="007D08D3"/>
    <w:rsid w:val="007D229C"/>
    <w:rsid w:val="007D2C30"/>
    <w:rsid w:val="007D2E62"/>
    <w:rsid w:val="007D3557"/>
    <w:rsid w:val="007D3E31"/>
    <w:rsid w:val="007D5EE6"/>
    <w:rsid w:val="007D62D9"/>
    <w:rsid w:val="007D75C9"/>
    <w:rsid w:val="007E015C"/>
    <w:rsid w:val="007E043A"/>
    <w:rsid w:val="007E1823"/>
    <w:rsid w:val="007E2310"/>
    <w:rsid w:val="007E2432"/>
    <w:rsid w:val="007E3092"/>
    <w:rsid w:val="007E3A7F"/>
    <w:rsid w:val="007E3CFD"/>
    <w:rsid w:val="007E4173"/>
    <w:rsid w:val="007E4294"/>
    <w:rsid w:val="007E429A"/>
    <w:rsid w:val="007E559B"/>
    <w:rsid w:val="007E5615"/>
    <w:rsid w:val="007E5BAF"/>
    <w:rsid w:val="007E5BC0"/>
    <w:rsid w:val="007E63B7"/>
    <w:rsid w:val="007E7DA7"/>
    <w:rsid w:val="007F030E"/>
    <w:rsid w:val="007F03A9"/>
    <w:rsid w:val="007F0693"/>
    <w:rsid w:val="007F1674"/>
    <w:rsid w:val="007F1683"/>
    <w:rsid w:val="007F1A8F"/>
    <w:rsid w:val="007F24EE"/>
    <w:rsid w:val="007F39E5"/>
    <w:rsid w:val="007F534C"/>
    <w:rsid w:val="007F53CE"/>
    <w:rsid w:val="007F5415"/>
    <w:rsid w:val="007F5D9D"/>
    <w:rsid w:val="007F698D"/>
    <w:rsid w:val="007F6C81"/>
    <w:rsid w:val="007F700B"/>
    <w:rsid w:val="007F710B"/>
    <w:rsid w:val="007F7917"/>
    <w:rsid w:val="007F793C"/>
    <w:rsid w:val="007F7DCC"/>
    <w:rsid w:val="008003CE"/>
    <w:rsid w:val="0080067D"/>
    <w:rsid w:val="00802BAC"/>
    <w:rsid w:val="008031AD"/>
    <w:rsid w:val="008033A6"/>
    <w:rsid w:val="0080428B"/>
    <w:rsid w:val="00804E38"/>
    <w:rsid w:val="00805B24"/>
    <w:rsid w:val="00805CCD"/>
    <w:rsid w:val="008060A9"/>
    <w:rsid w:val="0080703E"/>
    <w:rsid w:val="008075E1"/>
    <w:rsid w:val="00810561"/>
    <w:rsid w:val="00811325"/>
    <w:rsid w:val="008122FA"/>
    <w:rsid w:val="00812A05"/>
    <w:rsid w:val="008136B6"/>
    <w:rsid w:val="00813871"/>
    <w:rsid w:val="00813C3A"/>
    <w:rsid w:val="00813C5E"/>
    <w:rsid w:val="00814E72"/>
    <w:rsid w:val="00814FF4"/>
    <w:rsid w:val="0081669F"/>
    <w:rsid w:val="00816FE7"/>
    <w:rsid w:val="00820347"/>
    <w:rsid w:val="00820539"/>
    <w:rsid w:val="00820E36"/>
    <w:rsid w:val="00821549"/>
    <w:rsid w:val="00821891"/>
    <w:rsid w:val="00821BE0"/>
    <w:rsid w:val="0082268D"/>
    <w:rsid w:val="00822845"/>
    <w:rsid w:val="00823344"/>
    <w:rsid w:val="008233F4"/>
    <w:rsid w:val="008235D6"/>
    <w:rsid w:val="008236A9"/>
    <w:rsid w:val="00825194"/>
    <w:rsid w:val="0082536D"/>
    <w:rsid w:val="008265FF"/>
    <w:rsid w:val="00826C78"/>
    <w:rsid w:val="00830050"/>
    <w:rsid w:val="008300BA"/>
    <w:rsid w:val="00830D82"/>
    <w:rsid w:val="00830DA8"/>
    <w:rsid w:val="00831A4F"/>
    <w:rsid w:val="00831A8B"/>
    <w:rsid w:val="00832590"/>
    <w:rsid w:val="0083285F"/>
    <w:rsid w:val="00832BCF"/>
    <w:rsid w:val="00833436"/>
    <w:rsid w:val="00834D62"/>
    <w:rsid w:val="00834DCA"/>
    <w:rsid w:val="00836A60"/>
    <w:rsid w:val="0084003F"/>
    <w:rsid w:val="0084089E"/>
    <w:rsid w:val="008414C7"/>
    <w:rsid w:val="00841F6E"/>
    <w:rsid w:val="0084213F"/>
    <w:rsid w:val="00843BDE"/>
    <w:rsid w:val="008440F7"/>
    <w:rsid w:val="00844281"/>
    <w:rsid w:val="00844729"/>
    <w:rsid w:val="00844882"/>
    <w:rsid w:val="00844FBC"/>
    <w:rsid w:val="00845226"/>
    <w:rsid w:val="00845F7D"/>
    <w:rsid w:val="00845FF0"/>
    <w:rsid w:val="00849DBC"/>
    <w:rsid w:val="0085064F"/>
    <w:rsid w:val="00851689"/>
    <w:rsid w:val="008519F8"/>
    <w:rsid w:val="00853F87"/>
    <w:rsid w:val="00854605"/>
    <w:rsid w:val="0085539B"/>
    <w:rsid w:val="00855ABB"/>
    <w:rsid w:val="00855ADE"/>
    <w:rsid w:val="00856434"/>
    <w:rsid w:val="0085677D"/>
    <w:rsid w:val="008567E8"/>
    <w:rsid w:val="00856980"/>
    <w:rsid w:val="00856CE5"/>
    <w:rsid w:val="00856F63"/>
    <w:rsid w:val="00857FBF"/>
    <w:rsid w:val="0086141C"/>
    <w:rsid w:val="008614C7"/>
    <w:rsid w:val="00861567"/>
    <w:rsid w:val="00862A64"/>
    <w:rsid w:val="00863534"/>
    <w:rsid w:val="00864A47"/>
    <w:rsid w:val="008653A3"/>
    <w:rsid w:val="00866084"/>
    <w:rsid w:val="008665E5"/>
    <w:rsid w:val="00866889"/>
    <w:rsid w:val="00866F11"/>
    <w:rsid w:val="00866F1B"/>
    <w:rsid w:val="008674CD"/>
    <w:rsid w:val="008678DC"/>
    <w:rsid w:val="008678EC"/>
    <w:rsid w:val="008679FF"/>
    <w:rsid w:val="008702D5"/>
    <w:rsid w:val="008716A5"/>
    <w:rsid w:val="00871E67"/>
    <w:rsid w:val="0087300A"/>
    <w:rsid w:val="0087434A"/>
    <w:rsid w:val="00874B95"/>
    <w:rsid w:val="00875DB6"/>
    <w:rsid w:val="00875F66"/>
    <w:rsid w:val="008761E2"/>
    <w:rsid w:val="008763F7"/>
    <w:rsid w:val="008770FC"/>
    <w:rsid w:val="0087747F"/>
    <w:rsid w:val="00880215"/>
    <w:rsid w:val="00880249"/>
    <w:rsid w:val="00880733"/>
    <w:rsid w:val="00880E8A"/>
    <w:rsid w:val="0088146E"/>
    <w:rsid w:val="008814F0"/>
    <w:rsid w:val="00881567"/>
    <w:rsid w:val="00881BED"/>
    <w:rsid w:val="008833AE"/>
    <w:rsid w:val="008839C1"/>
    <w:rsid w:val="00883EE5"/>
    <w:rsid w:val="0088436B"/>
    <w:rsid w:val="00886C98"/>
    <w:rsid w:val="00887CC5"/>
    <w:rsid w:val="008900FB"/>
    <w:rsid w:val="008902F2"/>
    <w:rsid w:val="00890375"/>
    <w:rsid w:val="0089159E"/>
    <w:rsid w:val="008924B2"/>
    <w:rsid w:val="008927F7"/>
    <w:rsid w:val="00892FC3"/>
    <w:rsid w:val="00892FDA"/>
    <w:rsid w:val="008930F8"/>
    <w:rsid w:val="00893E40"/>
    <w:rsid w:val="00894137"/>
    <w:rsid w:val="00894A3C"/>
    <w:rsid w:val="008952BC"/>
    <w:rsid w:val="0089586A"/>
    <w:rsid w:val="00896547"/>
    <w:rsid w:val="00896A7C"/>
    <w:rsid w:val="00896F6F"/>
    <w:rsid w:val="00897F3B"/>
    <w:rsid w:val="00897F47"/>
    <w:rsid w:val="008A058D"/>
    <w:rsid w:val="008A075F"/>
    <w:rsid w:val="008A0B40"/>
    <w:rsid w:val="008A0DC2"/>
    <w:rsid w:val="008A152E"/>
    <w:rsid w:val="008A1853"/>
    <w:rsid w:val="008A20CD"/>
    <w:rsid w:val="008A218C"/>
    <w:rsid w:val="008A22DF"/>
    <w:rsid w:val="008A3173"/>
    <w:rsid w:val="008A4C62"/>
    <w:rsid w:val="008A61F9"/>
    <w:rsid w:val="008A6B42"/>
    <w:rsid w:val="008A6C6D"/>
    <w:rsid w:val="008A74B5"/>
    <w:rsid w:val="008A7D0C"/>
    <w:rsid w:val="008B0809"/>
    <w:rsid w:val="008B0F77"/>
    <w:rsid w:val="008B2A75"/>
    <w:rsid w:val="008B3B25"/>
    <w:rsid w:val="008B42BE"/>
    <w:rsid w:val="008B4334"/>
    <w:rsid w:val="008B455A"/>
    <w:rsid w:val="008B477A"/>
    <w:rsid w:val="008B58FA"/>
    <w:rsid w:val="008B5D03"/>
    <w:rsid w:val="008B6D6B"/>
    <w:rsid w:val="008B73FC"/>
    <w:rsid w:val="008B7551"/>
    <w:rsid w:val="008B7F20"/>
    <w:rsid w:val="008C04EC"/>
    <w:rsid w:val="008C0703"/>
    <w:rsid w:val="008C0DDC"/>
    <w:rsid w:val="008C1371"/>
    <w:rsid w:val="008C1BA5"/>
    <w:rsid w:val="008C2129"/>
    <w:rsid w:val="008C2FAA"/>
    <w:rsid w:val="008C3275"/>
    <w:rsid w:val="008C3A39"/>
    <w:rsid w:val="008C3E3E"/>
    <w:rsid w:val="008C4E7E"/>
    <w:rsid w:val="008C51DE"/>
    <w:rsid w:val="008C554F"/>
    <w:rsid w:val="008C5848"/>
    <w:rsid w:val="008C6010"/>
    <w:rsid w:val="008D167E"/>
    <w:rsid w:val="008D1808"/>
    <w:rsid w:val="008D1AD0"/>
    <w:rsid w:val="008D1C69"/>
    <w:rsid w:val="008D1D02"/>
    <w:rsid w:val="008D2424"/>
    <w:rsid w:val="008D2489"/>
    <w:rsid w:val="008D2694"/>
    <w:rsid w:val="008D2BEA"/>
    <w:rsid w:val="008D3A4D"/>
    <w:rsid w:val="008D42A7"/>
    <w:rsid w:val="008D4630"/>
    <w:rsid w:val="008D4B4F"/>
    <w:rsid w:val="008D5C04"/>
    <w:rsid w:val="008D62C4"/>
    <w:rsid w:val="008D6ADC"/>
    <w:rsid w:val="008D7793"/>
    <w:rsid w:val="008D7BAE"/>
    <w:rsid w:val="008D7E20"/>
    <w:rsid w:val="008E0344"/>
    <w:rsid w:val="008E0798"/>
    <w:rsid w:val="008E0990"/>
    <w:rsid w:val="008E0D71"/>
    <w:rsid w:val="008E15AE"/>
    <w:rsid w:val="008E1B38"/>
    <w:rsid w:val="008E1C1A"/>
    <w:rsid w:val="008E1FC4"/>
    <w:rsid w:val="008E2B26"/>
    <w:rsid w:val="008E3EC3"/>
    <w:rsid w:val="008E498A"/>
    <w:rsid w:val="008E4C30"/>
    <w:rsid w:val="008E56D0"/>
    <w:rsid w:val="008E5BFF"/>
    <w:rsid w:val="008E5CC3"/>
    <w:rsid w:val="008E6167"/>
    <w:rsid w:val="008F057A"/>
    <w:rsid w:val="008F093C"/>
    <w:rsid w:val="008F1233"/>
    <w:rsid w:val="008F27B9"/>
    <w:rsid w:val="008F28BB"/>
    <w:rsid w:val="008F2AF4"/>
    <w:rsid w:val="008F367D"/>
    <w:rsid w:val="008F3B51"/>
    <w:rsid w:val="008F4BB9"/>
    <w:rsid w:val="008F5428"/>
    <w:rsid w:val="008F5BF8"/>
    <w:rsid w:val="008F62F0"/>
    <w:rsid w:val="008F64AB"/>
    <w:rsid w:val="008F6DDE"/>
    <w:rsid w:val="008F796F"/>
    <w:rsid w:val="008F7E22"/>
    <w:rsid w:val="008F8E0E"/>
    <w:rsid w:val="0090008A"/>
    <w:rsid w:val="0090015B"/>
    <w:rsid w:val="009003E7"/>
    <w:rsid w:val="00900E16"/>
    <w:rsid w:val="00903321"/>
    <w:rsid w:val="00903B23"/>
    <w:rsid w:val="0090402A"/>
    <w:rsid w:val="00904173"/>
    <w:rsid w:val="00906038"/>
    <w:rsid w:val="0090654D"/>
    <w:rsid w:val="009065F6"/>
    <w:rsid w:val="00906A2D"/>
    <w:rsid w:val="00906B6E"/>
    <w:rsid w:val="00907135"/>
    <w:rsid w:val="00907313"/>
    <w:rsid w:val="00907342"/>
    <w:rsid w:val="00907F02"/>
    <w:rsid w:val="00910895"/>
    <w:rsid w:val="00910DCA"/>
    <w:rsid w:val="0091165A"/>
    <w:rsid w:val="009118A4"/>
    <w:rsid w:val="00911F0E"/>
    <w:rsid w:val="00913462"/>
    <w:rsid w:val="00913F04"/>
    <w:rsid w:val="009147B0"/>
    <w:rsid w:val="00915068"/>
    <w:rsid w:val="00916316"/>
    <w:rsid w:val="0091687B"/>
    <w:rsid w:val="00916AA6"/>
    <w:rsid w:val="009172A3"/>
    <w:rsid w:val="00917F5F"/>
    <w:rsid w:val="0092046E"/>
    <w:rsid w:val="00920675"/>
    <w:rsid w:val="00920E04"/>
    <w:rsid w:val="009218D8"/>
    <w:rsid w:val="009219EF"/>
    <w:rsid w:val="00921B91"/>
    <w:rsid w:val="00921E79"/>
    <w:rsid w:val="009233D3"/>
    <w:rsid w:val="00924132"/>
    <w:rsid w:val="00924D38"/>
    <w:rsid w:val="0092560C"/>
    <w:rsid w:val="009264DE"/>
    <w:rsid w:val="009268F1"/>
    <w:rsid w:val="00926EFD"/>
    <w:rsid w:val="009271BF"/>
    <w:rsid w:val="0092738C"/>
    <w:rsid w:val="00927967"/>
    <w:rsid w:val="009279AA"/>
    <w:rsid w:val="0093058C"/>
    <w:rsid w:val="009307A7"/>
    <w:rsid w:val="00930B91"/>
    <w:rsid w:val="009311C3"/>
    <w:rsid w:val="0093148A"/>
    <w:rsid w:val="0093204A"/>
    <w:rsid w:val="009328FD"/>
    <w:rsid w:val="00932A19"/>
    <w:rsid w:val="00933157"/>
    <w:rsid w:val="00933372"/>
    <w:rsid w:val="00934410"/>
    <w:rsid w:val="009345EB"/>
    <w:rsid w:val="00934EA6"/>
    <w:rsid w:val="00934F0A"/>
    <w:rsid w:val="00934F93"/>
    <w:rsid w:val="00935925"/>
    <w:rsid w:val="00936C6A"/>
    <w:rsid w:val="009372C0"/>
    <w:rsid w:val="00937511"/>
    <w:rsid w:val="00940590"/>
    <w:rsid w:val="00941217"/>
    <w:rsid w:val="00941C45"/>
    <w:rsid w:val="0094348B"/>
    <w:rsid w:val="00943E04"/>
    <w:rsid w:val="00944834"/>
    <w:rsid w:val="00944F2D"/>
    <w:rsid w:val="009453F0"/>
    <w:rsid w:val="0094584E"/>
    <w:rsid w:val="009459FA"/>
    <w:rsid w:val="00945D81"/>
    <w:rsid w:val="0094613B"/>
    <w:rsid w:val="00946CC5"/>
    <w:rsid w:val="00947924"/>
    <w:rsid w:val="0095044A"/>
    <w:rsid w:val="00950EA4"/>
    <w:rsid w:val="00951092"/>
    <w:rsid w:val="00951768"/>
    <w:rsid w:val="009517D9"/>
    <w:rsid w:val="00951F07"/>
    <w:rsid w:val="009526EC"/>
    <w:rsid w:val="009535A8"/>
    <w:rsid w:val="00953F58"/>
    <w:rsid w:val="00954613"/>
    <w:rsid w:val="0095493E"/>
    <w:rsid w:val="00955CE9"/>
    <w:rsid w:val="00956FEF"/>
    <w:rsid w:val="009570E1"/>
    <w:rsid w:val="009578DB"/>
    <w:rsid w:val="00957D8E"/>
    <w:rsid w:val="00960A1E"/>
    <w:rsid w:val="00960F46"/>
    <w:rsid w:val="00961242"/>
    <w:rsid w:val="0096151E"/>
    <w:rsid w:val="0096230E"/>
    <w:rsid w:val="009624BD"/>
    <w:rsid w:val="0096252A"/>
    <w:rsid w:val="00962B92"/>
    <w:rsid w:val="00964C00"/>
    <w:rsid w:val="00964C0C"/>
    <w:rsid w:val="00964D0F"/>
    <w:rsid w:val="0096699B"/>
    <w:rsid w:val="00967206"/>
    <w:rsid w:val="009672FA"/>
    <w:rsid w:val="009700FF"/>
    <w:rsid w:val="0097025F"/>
    <w:rsid w:val="009702C1"/>
    <w:rsid w:val="00970AFC"/>
    <w:rsid w:val="0097115F"/>
    <w:rsid w:val="009712DA"/>
    <w:rsid w:val="009718EF"/>
    <w:rsid w:val="00971DE1"/>
    <w:rsid w:val="009723BD"/>
    <w:rsid w:val="009725A2"/>
    <w:rsid w:val="00973276"/>
    <w:rsid w:val="0097575C"/>
    <w:rsid w:val="00975A86"/>
    <w:rsid w:val="00975B8A"/>
    <w:rsid w:val="00975BA3"/>
    <w:rsid w:val="00975D13"/>
    <w:rsid w:val="00977C9D"/>
    <w:rsid w:val="009803F2"/>
    <w:rsid w:val="00980633"/>
    <w:rsid w:val="009813BC"/>
    <w:rsid w:val="00981ECC"/>
    <w:rsid w:val="00983341"/>
    <w:rsid w:val="00983AD6"/>
    <w:rsid w:val="009848A5"/>
    <w:rsid w:val="00984E9F"/>
    <w:rsid w:val="0098567D"/>
    <w:rsid w:val="009860BA"/>
    <w:rsid w:val="00986822"/>
    <w:rsid w:val="0098790C"/>
    <w:rsid w:val="00987F1E"/>
    <w:rsid w:val="0099094B"/>
    <w:rsid w:val="00991462"/>
    <w:rsid w:val="00991796"/>
    <w:rsid w:val="00991C65"/>
    <w:rsid w:val="00992B88"/>
    <w:rsid w:val="009931D0"/>
    <w:rsid w:val="00993327"/>
    <w:rsid w:val="00993471"/>
    <w:rsid w:val="00993D5E"/>
    <w:rsid w:val="009963FB"/>
    <w:rsid w:val="0099689A"/>
    <w:rsid w:val="00996A99"/>
    <w:rsid w:val="009970FC"/>
    <w:rsid w:val="0099730C"/>
    <w:rsid w:val="00997374"/>
    <w:rsid w:val="00997E88"/>
    <w:rsid w:val="009A06B7"/>
    <w:rsid w:val="009A0C82"/>
    <w:rsid w:val="009A14D9"/>
    <w:rsid w:val="009A1706"/>
    <w:rsid w:val="009A1BCE"/>
    <w:rsid w:val="009A2929"/>
    <w:rsid w:val="009A2B43"/>
    <w:rsid w:val="009A474A"/>
    <w:rsid w:val="009A4D2F"/>
    <w:rsid w:val="009A5337"/>
    <w:rsid w:val="009A5602"/>
    <w:rsid w:val="009A5BFF"/>
    <w:rsid w:val="009A5E8A"/>
    <w:rsid w:val="009A75A8"/>
    <w:rsid w:val="009A7656"/>
    <w:rsid w:val="009A7B00"/>
    <w:rsid w:val="009A7EBB"/>
    <w:rsid w:val="009B06E5"/>
    <w:rsid w:val="009B2B33"/>
    <w:rsid w:val="009B317C"/>
    <w:rsid w:val="009B354E"/>
    <w:rsid w:val="009B39B6"/>
    <w:rsid w:val="009B4416"/>
    <w:rsid w:val="009B5D9B"/>
    <w:rsid w:val="009B7185"/>
    <w:rsid w:val="009B7645"/>
    <w:rsid w:val="009C0060"/>
    <w:rsid w:val="009C043D"/>
    <w:rsid w:val="009C076B"/>
    <w:rsid w:val="009C1541"/>
    <w:rsid w:val="009C22AD"/>
    <w:rsid w:val="009C3C24"/>
    <w:rsid w:val="009C4712"/>
    <w:rsid w:val="009C4893"/>
    <w:rsid w:val="009C50AE"/>
    <w:rsid w:val="009C5F16"/>
    <w:rsid w:val="009C5FEC"/>
    <w:rsid w:val="009C60D4"/>
    <w:rsid w:val="009C6130"/>
    <w:rsid w:val="009C6444"/>
    <w:rsid w:val="009C6A10"/>
    <w:rsid w:val="009C6A5A"/>
    <w:rsid w:val="009C744E"/>
    <w:rsid w:val="009C7DDB"/>
    <w:rsid w:val="009D022E"/>
    <w:rsid w:val="009D0F39"/>
    <w:rsid w:val="009D18BB"/>
    <w:rsid w:val="009D22DB"/>
    <w:rsid w:val="009D2BCB"/>
    <w:rsid w:val="009D46D7"/>
    <w:rsid w:val="009D5C75"/>
    <w:rsid w:val="009D5F70"/>
    <w:rsid w:val="009D648A"/>
    <w:rsid w:val="009D7674"/>
    <w:rsid w:val="009D76DA"/>
    <w:rsid w:val="009D77B6"/>
    <w:rsid w:val="009D783E"/>
    <w:rsid w:val="009E00B7"/>
    <w:rsid w:val="009E0233"/>
    <w:rsid w:val="009E045E"/>
    <w:rsid w:val="009E05AC"/>
    <w:rsid w:val="009E098D"/>
    <w:rsid w:val="009E1690"/>
    <w:rsid w:val="009E2B85"/>
    <w:rsid w:val="009E31AF"/>
    <w:rsid w:val="009E32CF"/>
    <w:rsid w:val="009E5685"/>
    <w:rsid w:val="009E5F68"/>
    <w:rsid w:val="009E6A8B"/>
    <w:rsid w:val="009E6FEC"/>
    <w:rsid w:val="009E7B30"/>
    <w:rsid w:val="009F0C14"/>
    <w:rsid w:val="009F1483"/>
    <w:rsid w:val="009F367D"/>
    <w:rsid w:val="009F3EE7"/>
    <w:rsid w:val="009F518A"/>
    <w:rsid w:val="009F530C"/>
    <w:rsid w:val="009F5F1D"/>
    <w:rsid w:val="009F698E"/>
    <w:rsid w:val="009F6D9E"/>
    <w:rsid w:val="009F6F48"/>
    <w:rsid w:val="009F7851"/>
    <w:rsid w:val="00A000ED"/>
    <w:rsid w:val="00A00963"/>
    <w:rsid w:val="00A00E7E"/>
    <w:rsid w:val="00A017B0"/>
    <w:rsid w:val="00A01CA4"/>
    <w:rsid w:val="00A01FA4"/>
    <w:rsid w:val="00A02920"/>
    <w:rsid w:val="00A04157"/>
    <w:rsid w:val="00A041CA"/>
    <w:rsid w:val="00A04359"/>
    <w:rsid w:val="00A04686"/>
    <w:rsid w:val="00A05087"/>
    <w:rsid w:val="00A053B1"/>
    <w:rsid w:val="00A05784"/>
    <w:rsid w:val="00A062CA"/>
    <w:rsid w:val="00A06B5F"/>
    <w:rsid w:val="00A06EDF"/>
    <w:rsid w:val="00A07C03"/>
    <w:rsid w:val="00A07C47"/>
    <w:rsid w:val="00A07E9A"/>
    <w:rsid w:val="00A10CF1"/>
    <w:rsid w:val="00A11E60"/>
    <w:rsid w:val="00A140E9"/>
    <w:rsid w:val="00A145A0"/>
    <w:rsid w:val="00A14CAC"/>
    <w:rsid w:val="00A15006"/>
    <w:rsid w:val="00A152CB"/>
    <w:rsid w:val="00A157C3"/>
    <w:rsid w:val="00A15CB4"/>
    <w:rsid w:val="00A16B3D"/>
    <w:rsid w:val="00A17860"/>
    <w:rsid w:val="00A178E2"/>
    <w:rsid w:val="00A20120"/>
    <w:rsid w:val="00A203E1"/>
    <w:rsid w:val="00A20F85"/>
    <w:rsid w:val="00A21241"/>
    <w:rsid w:val="00A21641"/>
    <w:rsid w:val="00A21A92"/>
    <w:rsid w:val="00A22FDF"/>
    <w:rsid w:val="00A234E6"/>
    <w:rsid w:val="00A235D3"/>
    <w:rsid w:val="00A24F3D"/>
    <w:rsid w:val="00A2581C"/>
    <w:rsid w:val="00A25BAC"/>
    <w:rsid w:val="00A2696D"/>
    <w:rsid w:val="00A26ED9"/>
    <w:rsid w:val="00A27BFD"/>
    <w:rsid w:val="00A309EF"/>
    <w:rsid w:val="00A31A1A"/>
    <w:rsid w:val="00A3233F"/>
    <w:rsid w:val="00A335DC"/>
    <w:rsid w:val="00A338CE"/>
    <w:rsid w:val="00A33AFC"/>
    <w:rsid w:val="00A33D71"/>
    <w:rsid w:val="00A3416D"/>
    <w:rsid w:val="00A34F68"/>
    <w:rsid w:val="00A366E4"/>
    <w:rsid w:val="00A37A21"/>
    <w:rsid w:val="00A37A6A"/>
    <w:rsid w:val="00A37C7D"/>
    <w:rsid w:val="00A37FA7"/>
    <w:rsid w:val="00A40C12"/>
    <w:rsid w:val="00A40D8D"/>
    <w:rsid w:val="00A4194D"/>
    <w:rsid w:val="00A42202"/>
    <w:rsid w:val="00A4226F"/>
    <w:rsid w:val="00A43A58"/>
    <w:rsid w:val="00A4402B"/>
    <w:rsid w:val="00A4438F"/>
    <w:rsid w:val="00A44BA8"/>
    <w:rsid w:val="00A4528A"/>
    <w:rsid w:val="00A45997"/>
    <w:rsid w:val="00A45EFA"/>
    <w:rsid w:val="00A46216"/>
    <w:rsid w:val="00A46971"/>
    <w:rsid w:val="00A4739F"/>
    <w:rsid w:val="00A476D9"/>
    <w:rsid w:val="00A47D11"/>
    <w:rsid w:val="00A50660"/>
    <w:rsid w:val="00A525E6"/>
    <w:rsid w:val="00A5458B"/>
    <w:rsid w:val="00A54C48"/>
    <w:rsid w:val="00A553EF"/>
    <w:rsid w:val="00A56016"/>
    <w:rsid w:val="00A57713"/>
    <w:rsid w:val="00A577C1"/>
    <w:rsid w:val="00A57946"/>
    <w:rsid w:val="00A57C76"/>
    <w:rsid w:val="00A57F92"/>
    <w:rsid w:val="00A6239E"/>
    <w:rsid w:val="00A62E89"/>
    <w:rsid w:val="00A6333B"/>
    <w:rsid w:val="00A646B2"/>
    <w:rsid w:val="00A64C93"/>
    <w:rsid w:val="00A660C2"/>
    <w:rsid w:val="00A671D6"/>
    <w:rsid w:val="00A67F3E"/>
    <w:rsid w:val="00A70B8F"/>
    <w:rsid w:val="00A70CE7"/>
    <w:rsid w:val="00A70D7D"/>
    <w:rsid w:val="00A70F29"/>
    <w:rsid w:val="00A718FC"/>
    <w:rsid w:val="00A72AF6"/>
    <w:rsid w:val="00A7363F"/>
    <w:rsid w:val="00A73C02"/>
    <w:rsid w:val="00A73E87"/>
    <w:rsid w:val="00A73F82"/>
    <w:rsid w:val="00A7446E"/>
    <w:rsid w:val="00A76A25"/>
    <w:rsid w:val="00A76EFC"/>
    <w:rsid w:val="00A777C5"/>
    <w:rsid w:val="00A77C0A"/>
    <w:rsid w:val="00A77D15"/>
    <w:rsid w:val="00A77E24"/>
    <w:rsid w:val="00A8008F"/>
    <w:rsid w:val="00A803FD"/>
    <w:rsid w:val="00A80546"/>
    <w:rsid w:val="00A81119"/>
    <w:rsid w:val="00A81498"/>
    <w:rsid w:val="00A817CB"/>
    <w:rsid w:val="00A818FA"/>
    <w:rsid w:val="00A81C2E"/>
    <w:rsid w:val="00A825C3"/>
    <w:rsid w:val="00A8381C"/>
    <w:rsid w:val="00A841EB"/>
    <w:rsid w:val="00A8598D"/>
    <w:rsid w:val="00A87417"/>
    <w:rsid w:val="00A90428"/>
    <w:rsid w:val="00A9255A"/>
    <w:rsid w:val="00A926DD"/>
    <w:rsid w:val="00A93032"/>
    <w:rsid w:val="00A93A52"/>
    <w:rsid w:val="00A94144"/>
    <w:rsid w:val="00A943A8"/>
    <w:rsid w:val="00A94A66"/>
    <w:rsid w:val="00A94E1F"/>
    <w:rsid w:val="00A965CA"/>
    <w:rsid w:val="00AA004C"/>
    <w:rsid w:val="00AA2306"/>
    <w:rsid w:val="00AA3178"/>
    <w:rsid w:val="00AA3615"/>
    <w:rsid w:val="00AA3736"/>
    <w:rsid w:val="00AA3FC4"/>
    <w:rsid w:val="00AA414B"/>
    <w:rsid w:val="00AA494E"/>
    <w:rsid w:val="00AA5EDB"/>
    <w:rsid w:val="00AA648C"/>
    <w:rsid w:val="00AA6687"/>
    <w:rsid w:val="00AA6902"/>
    <w:rsid w:val="00AA6B99"/>
    <w:rsid w:val="00AA735E"/>
    <w:rsid w:val="00AA7DFB"/>
    <w:rsid w:val="00AB1AF9"/>
    <w:rsid w:val="00AB21F5"/>
    <w:rsid w:val="00AB32C6"/>
    <w:rsid w:val="00AB4281"/>
    <w:rsid w:val="00AB4A2D"/>
    <w:rsid w:val="00AB4B17"/>
    <w:rsid w:val="00AB4FC5"/>
    <w:rsid w:val="00AB62B6"/>
    <w:rsid w:val="00AB7292"/>
    <w:rsid w:val="00AB7BBC"/>
    <w:rsid w:val="00AC0012"/>
    <w:rsid w:val="00AC0189"/>
    <w:rsid w:val="00AC029C"/>
    <w:rsid w:val="00AC0A5E"/>
    <w:rsid w:val="00AC0F35"/>
    <w:rsid w:val="00AC13CE"/>
    <w:rsid w:val="00AC2DCD"/>
    <w:rsid w:val="00AC3546"/>
    <w:rsid w:val="00AC364C"/>
    <w:rsid w:val="00AC3828"/>
    <w:rsid w:val="00AC4742"/>
    <w:rsid w:val="00AC4DFD"/>
    <w:rsid w:val="00AC7B55"/>
    <w:rsid w:val="00AD0B3E"/>
    <w:rsid w:val="00AD0C18"/>
    <w:rsid w:val="00AD0C98"/>
    <w:rsid w:val="00AD124D"/>
    <w:rsid w:val="00AD1691"/>
    <w:rsid w:val="00AD2D99"/>
    <w:rsid w:val="00AD2F55"/>
    <w:rsid w:val="00AD30C6"/>
    <w:rsid w:val="00AD3994"/>
    <w:rsid w:val="00AD3EF5"/>
    <w:rsid w:val="00AD65B7"/>
    <w:rsid w:val="00AD694A"/>
    <w:rsid w:val="00AD6E26"/>
    <w:rsid w:val="00AD7143"/>
    <w:rsid w:val="00AE06B4"/>
    <w:rsid w:val="00AE0DFA"/>
    <w:rsid w:val="00AE1310"/>
    <w:rsid w:val="00AE1649"/>
    <w:rsid w:val="00AE1781"/>
    <w:rsid w:val="00AE261E"/>
    <w:rsid w:val="00AE29C6"/>
    <w:rsid w:val="00AE2CD3"/>
    <w:rsid w:val="00AE2F0D"/>
    <w:rsid w:val="00AE3180"/>
    <w:rsid w:val="00AE38DB"/>
    <w:rsid w:val="00AE4294"/>
    <w:rsid w:val="00AE471A"/>
    <w:rsid w:val="00AE48C1"/>
    <w:rsid w:val="00AE523A"/>
    <w:rsid w:val="00AE5616"/>
    <w:rsid w:val="00AE5849"/>
    <w:rsid w:val="00AE6345"/>
    <w:rsid w:val="00AE634C"/>
    <w:rsid w:val="00AE6D9D"/>
    <w:rsid w:val="00AE6EFF"/>
    <w:rsid w:val="00AE76AA"/>
    <w:rsid w:val="00AE7CEC"/>
    <w:rsid w:val="00AF1340"/>
    <w:rsid w:val="00AF150A"/>
    <w:rsid w:val="00AF20E9"/>
    <w:rsid w:val="00AF2F11"/>
    <w:rsid w:val="00AF3A36"/>
    <w:rsid w:val="00AF3ED7"/>
    <w:rsid w:val="00AF438A"/>
    <w:rsid w:val="00AF60EB"/>
    <w:rsid w:val="00AF6C7A"/>
    <w:rsid w:val="00AF731B"/>
    <w:rsid w:val="00AF7377"/>
    <w:rsid w:val="00AF7E59"/>
    <w:rsid w:val="00B006B8"/>
    <w:rsid w:val="00B00F2C"/>
    <w:rsid w:val="00B01B07"/>
    <w:rsid w:val="00B022D9"/>
    <w:rsid w:val="00B02568"/>
    <w:rsid w:val="00B028E4"/>
    <w:rsid w:val="00B029D0"/>
    <w:rsid w:val="00B02B64"/>
    <w:rsid w:val="00B036D9"/>
    <w:rsid w:val="00B04CE0"/>
    <w:rsid w:val="00B0769D"/>
    <w:rsid w:val="00B07866"/>
    <w:rsid w:val="00B10CF4"/>
    <w:rsid w:val="00B1110C"/>
    <w:rsid w:val="00B115E8"/>
    <w:rsid w:val="00B1244C"/>
    <w:rsid w:val="00B136E3"/>
    <w:rsid w:val="00B1455F"/>
    <w:rsid w:val="00B16B42"/>
    <w:rsid w:val="00B1736D"/>
    <w:rsid w:val="00B20CF0"/>
    <w:rsid w:val="00B21B1D"/>
    <w:rsid w:val="00B21E26"/>
    <w:rsid w:val="00B2228B"/>
    <w:rsid w:val="00B2265E"/>
    <w:rsid w:val="00B229FC"/>
    <w:rsid w:val="00B234F0"/>
    <w:rsid w:val="00B238E9"/>
    <w:rsid w:val="00B239B2"/>
    <w:rsid w:val="00B23FD2"/>
    <w:rsid w:val="00B247F0"/>
    <w:rsid w:val="00B249B3"/>
    <w:rsid w:val="00B25E01"/>
    <w:rsid w:val="00B25EDF"/>
    <w:rsid w:val="00B269E8"/>
    <w:rsid w:val="00B27164"/>
    <w:rsid w:val="00B2754F"/>
    <w:rsid w:val="00B30832"/>
    <w:rsid w:val="00B30CE7"/>
    <w:rsid w:val="00B31189"/>
    <w:rsid w:val="00B32437"/>
    <w:rsid w:val="00B341E4"/>
    <w:rsid w:val="00B358B2"/>
    <w:rsid w:val="00B35B28"/>
    <w:rsid w:val="00B35F29"/>
    <w:rsid w:val="00B370A5"/>
    <w:rsid w:val="00B37B65"/>
    <w:rsid w:val="00B37F9F"/>
    <w:rsid w:val="00B4022F"/>
    <w:rsid w:val="00B40490"/>
    <w:rsid w:val="00B405C1"/>
    <w:rsid w:val="00B41B81"/>
    <w:rsid w:val="00B420F2"/>
    <w:rsid w:val="00B42405"/>
    <w:rsid w:val="00B42FBE"/>
    <w:rsid w:val="00B4428A"/>
    <w:rsid w:val="00B44669"/>
    <w:rsid w:val="00B4466D"/>
    <w:rsid w:val="00B44973"/>
    <w:rsid w:val="00B44C5A"/>
    <w:rsid w:val="00B454B7"/>
    <w:rsid w:val="00B4560A"/>
    <w:rsid w:val="00B45D54"/>
    <w:rsid w:val="00B4653C"/>
    <w:rsid w:val="00B46682"/>
    <w:rsid w:val="00B46AD6"/>
    <w:rsid w:val="00B475A6"/>
    <w:rsid w:val="00B5068A"/>
    <w:rsid w:val="00B50AAC"/>
    <w:rsid w:val="00B51D87"/>
    <w:rsid w:val="00B51F72"/>
    <w:rsid w:val="00B541FC"/>
    <w:rsid w:val="00B54FA6"/>
    <w:rsid w:val="00B55F82"/>
    <w:rsid w:val="00B562CB"/>
    <w:rsid w:val="00B57516"/>
    <w:rsid w:val="00B57664"/>
    <w:rsid w:val="00B57B4A"/>
    <w:rsid w:val="00B610EE"/>
    <w:rsid w:val="00B618FB"/>
    <w:rsid w:val="00B62C57"/>
    <w:rsid w:val="00B63D6F"/>
    <w:rsid w:val="00B64A09"/>
    <w:rsid w:val="00B64D47"/>
    <w:rsid w:val="00B6546C"/>
    <w:rsid w:val="00B65E4F"/>
    <w:rsid w:val="00B67BB2"/>
    <w:rsid w:val="00B70855"/>
    <w:rsid w:val="00B7170A"/>
    <w:rsid w:val="00B71E64"/>
    <w:rsid w:val="00B7278D"/>
    <w:rsid w:val="00B72B2D"/>
    <w:rsid w:val="00B72EF6"/>
    <w:rsid w:val="00B73A10"/>
    <w:rsid w:val="00B73EA1"/>
    <w:rsid w:val="00B7434D"/>
    <w:rsid w:val="00B74518"/>
    <w:rsid w:val="00B75213"/>
    <w:rsid w:val="00B7543D"/>
    <w:rsid w:val="00B75D91"/>
    <w:rsid w:val="00B768BB"/>
    <w:rsid w:val="00B76E7C"/>
    <w:rsid w:val="00B77053"/>
    <w:rsid w:val="00B777AF"/>
    <w:rsid w:val="00B7F630"/>
    <w:rsid w:val="00B80427"/>
    <w:rsid w:val="00B80856"/>
    <w:rsid w:val="00B808BC"/>
    <w:rsid w:val="00B80984"/>
    <w:rsid w:val="00B80E91"/>
    <w:rsid w:val="00B81EFA"/>
    <w:rsid w:val="00B83198"/>
    <w:rsid w:val="00B83563"/>
    <w:rsid w:val="00B836D9"/>
    <w:rsid w:val="00B845BF"/>
    <w:rsid w:val="00B85598"/>
    <w:rsid w:val="00B857BD"/>
    <w:rsid w:val="00B8649C"/>
    <w:rsid w:val="00B867E0"/>
    <w:rsid w:val="00B869A2"/>
    <w:rsid w:val="00B87BC7"/>
    <w:rsid w:val="00B90AF0"/>
    <w:rsid w:val="00B9123E"/>
    <w:rsid w:val="00B915B3"/>
    <w:rsid w:val="00B91CAC"/>
    <w:rsid w:val="00B91D20"/>
    <w:rsid w:val="00B92A97"/>
    <w:rsid w:val="00B930D7"/>
    <w:rsid w:val="00B94034"/>
    <w:rsid w:val="00B94C49"/>
    <w:rsid w:val="00B971E7"/>
    <w:rsid w:val="00BA0B7D"/>
    <w:rsid w:val="00BA0C91"/>
    <w:rsid w:val="00BA12EF"/>
    <w:rsid w:val="00BA2AB0"/>
    <w:rsid w:val="00BA2C03"/>
    <w:rsid w:val="00BA2E7C"/>
    <w:rsid w:val="00BA352C"/>
    <w:rsid w:val="00BA39E8"/>
    <w:rsid w:val="00BA43AA"/>
    <w:rsid w:val="00BA46D1"/>
    <w:rsid w:val="00BA49BF"/>
    <w:rsid w:val="00BA5192"/>
    <w:rsid w:val="00BA531E"/>
    <w:rsid w:val="00BA555B"/>
    <w:rsid w:val="00BA5FA9"/>
    <w:rsid w:val="00BA6B68"/>
    <w:rsid w:val="00BA6DAA"/>
    <w:rsid w:val="00BA76D2"/>
    <w:rsid w:val="00BB0200"/>
    <w:rsid w:val="00BB0431"/>
    <w:rsid w:val="00BB15EF"/>
    <w:rsid w:val="00BB2947"/>
    <w:rsid w:val="00BB2A04"/>
    <w:rsid w:val="00BB2EFB"/>
    <w:rsid w:val="00BB4C89"/>
    <w:rsid w:val="00BB4E6A"/>
    <w:rsid w:val="00BB5D66"/>
    <w:rsid w:val="00BB6672"/>
    <w:rsid w:val="00BB781E"/>
    <w:rsid w:val="00BB7AE0"/>
    <w:rsid w:val="00BB7CB5"/>
    <w:rsid w:val="00BC03B1"/>
    <w:rsid w:val="00BC0AD2"/>
    <w:rsid w:val="00BC12CE"/>
    <w:rsid w:val="00BC1669"/>
    <w:rsid w:val="00BC267F"/>
    <w:rsid w:val="00BC4531"/>
    <w:rsid w:val="00BC57CB"/>
    <w:rsid w:val="00BC5B6D"/>
    <w:rsid w:val="00BC7C83"/>
    <w:rsid w:val="00BC7F29"/>
    <w:rsid w:val="00BD001C"/>
    <w:rsid w:val="00BD0802"/>
    <w:rsid w:val="00BD2723"/>
    <w:rsid w:val="00BD27A8"/>
    <w:rsid w:val="00BD27C7"/>
    <w:rsid w:val="00BD36A3"/>
    <w:rsid w:val="00BD40A7"/>
    <w:rsid w:val="00BD495C"/>
    <w:rsid w:val="00BD4BD5"/>
    <w:rsid w:val="00BD4F3D"/>
    <w:rsid w:val="00BD5057"/>
    <w:rsid w:val="00BD5883"/>
    <w:rsid w:val="00BD6915"/>
    <w:rsid w:val="00BD6C50"/>
    <w:rsid w:val="00BD6F2F"/>
    <w:rsid w:val="00BD7AF8"/>
    <w:rsid w:val="00BD8BEF"/>
    <w:rsid w:val="00BE0B12"/>
    <w:rsid w:val="00BE152D"/>
    <w:rsid w:val="00BE247C"/>
    <w:rsid w:val="00BE281C"/>
    <w:rsid w:val="00BE32F1"/>
    <w:rsid w:val="00BE359A"/>
    <w:rsid w:val="00BE3CB1"/>
    <w:rsid w:val="00BE3EC9"/>
    <w:rsid w:val="00BE4C92"/>
    <w:rsid w:val="00BE6263"/>
    <w:rsid w:val="00BE6310"/>
    <w:rsid w:val="00BE68A7"/>
    <w:rsid w:val="00BE6CCA"/>
    <w:rsid w:val="00BE6EE8"/>
    <w:rsid w:val="00BE77EE"/>
    <w:rsid w:val="00BF0627"/>
    <w:rsid w:val="00BF06B2"/>
    <w:rsid w:val="00BF1699"/>
    <w:rsid w:val="00BF184F"/>
    <w:rsid w:val="00BF20D1"/>
    <w:rsid w:val="00BF2750"/>
    <w:rsid w:val="00BF28AE"/>
    <w:rsid w:val="00BF3DA9"/>
    <w:rsid w:val="00BF4D03"/>
    <w:rsid w:val="00BF4FEA"/>
    <w:rsid w:val="00BF55D0"/>
    <w:rsid w:val="00BF5897"/>
    <w:rsid w:val="00BF5AE4"/>
    <w:rsid w:val="00BF6C44"/>
    <w:rsid w:val="00BF79BE"/>
    <w:rsid w:val="00C00102"/>
    <w:rsid w:val="00C00D17"/>
    <w:rsid w:val="00C01510"/>
    <w:rsid w:val="00C02350"/>
    <w:rsid w:val="00C026A1"/>
    <w:rsid w:val="00C02935"/>
    <w:rsid w:val="00C02A57"/>
    <w:rsid w:val="00C02E1B"/>
    <w:rsid w:val="00C03808"/>
    <w:rsid w:val="00C03FA8"/>
    <w:rsid w:val="00C04868"/>
    <w:rsid w:val="00C05273"/>
    <w:rsid w:val="00C0649F"/>
    <w:rsid w:val="00C06770"/>
    <w:rsid w:val="00C11206"/>
    <w:rsid w:val="00C114AF"/>
    <w:rsid w:val="00C11B70"/>
    <w:rsid w:val="00C11F19"/>
    <w:rsid w:val="00C12E7E"/>
    <w:rsid w:val="00C137E4"/>
    <w:rsid w:val="00C13876"/>
    <w:rsid w:val="00C13CA3"/>
    <w:rsid w:val="00C142A2"/>
    <w:rsid w:val="00C15177"/>
    <w:rsid w:val="00C151D7"/>
    <w:rsid w:val="00C15848"/>
    <w:rsid w:val="00C17490"/>
    <w:rsid w:val="00C1C5AA"/>
    <w:rsid w:val="00C1CCAE"/>
    <w:rsid w:val="00C2028E"/>
    <w:rsid w:val="00C20D31"/>
    <w:rsid w:val="00C21D6E"/>
    <w:rsid w:val="00C221B5"/>
    <w:rsid w:val="00C22A83"/>
    <w:rsid w:val="00C22BB5"/>
    <w:rsid w:val="00C22E5C"/>
    <w:rsid w:val="00C23598"/>
    <w:rsid w:val="00C23F82"/>
    <w:rsid w:val="00C24CD2"/>
    <w:rsid w:val="00C24D28"/>
    <w:rsid w:val="00C25A87"/>
    <w:rsid w:val="00C25DF8"/>
    <w:rsid w:val="00C26448"/>
    <w:rsid w:val="00C265F7"/>
    <w:rsid w:val="00C26D29"/>
    <w:rsid w:val="00C27086"/>
    <w:rsid w:val="00C2729A"/>
    <w:rsid w:val="00C27501"/>
    <w:rsid w:val="00C27F08"/>
    <w:rsid w:val="00C27F3A"/>
    <w:rsid w:val="00C27F59"/>
    <w:rsid w:val="00C32AB3"/>
    <w:rsid w:val="00C33D8C"/>
    <w:rsid w:val="00C34F75"/>
    <w:rsid w:val="00C35265"/>
    <w:rsid w:val="00C353BA"/>
    <w:rsid w:val="00C35400"/>
    <w:rsid w:val="00C35711"/>
    <w:rsid w:val="00C361CE"/>
    <w:rsid w:val="00C36556"/>
    <w:rsid w:val="00C40AF2"/>
    <w:rsid w:val="00C418A1"/>
    <w:rsid w:val="00C42480"/>
    <w:rsid w:val="00C4255A"/>
    <w:rsid w:val="00C4259C"/>
    <w:rsid w:val="00C43179"/>
    <w:rsid w:val="00C43490"/>
    <w:rsid w:val="00C443D6"/>
    <w:rsid w:val="00C45EE7"/>
    <w:rsid w:val="00C46404"/>
    <w:rsid w:val="00C46F48"/>
    <w:rsid w:val="00C472F8"/>
    <w:rsid w:val="00C473EF"/>
    <w:rsid w:val="00C502FF"/>
    <w:rsid w:val="00C53CBE"/>
    <w:rsid w:val="00C53D1C"/>
    <w:rsid w:val="00C54166"/>
    <w:rsid w:val="00C54865"/>
    <w:rsid w:val="00C55DA6"/>
    <w:rsid w:val="00C56249"/>
    <w:rsid w:val="00C56B93"/>
    <w:rsid w:val="00C56C42"/>
    <w:rsid w:val="00C56CB3"/>
    <w:rsid w:val="00C60FEB"/>
    <w:rsid w:val="00C62676"/>
    <w:rsid w:val="00C62D9F"/>
    <w:rsid w:val="00C63243"/>
    <w:rsid w:val="00C63510"/>
    <w:rsid w:val="00C63F91"/>
    <w:rsid w:val="00C64A01"/>
    <w:rsid w:val="00C64D7F"/>
    <w:rsid w:val="00C6591E"/>
    <w:rsid w:val="00C65C94"/>
    <w:rsid w:val="00C67C8F"/>
    <w:rsid w:val="00C71DD5"/>
    <w:rsid w:val="00C72C46"/>
    <w:rsid w:val="00C72E47"/>
    <w:rsid w:val="00C72FB7"/>
    <w:rsid w:val="00C73451"/>
    <w:rsid w:val="00C73A10"/>
    <w:rsid w:val="00C73E96"/>
    <w:rsid w:val="00C752B5"/>
    <w:rsid w:val="00C75EEC"/>
    <w:rsid w:val="00C760A9"/>
    <w:rsid w:val="00C7711E"/>
    <w:rsid w:val="00C77963"/>
    <w:rsid w:val="00C77CC9"/>
    <w:rsid w:val="00C77D78"/>
    <w:rsid w:val="00C80A74"/>
    <w:rsid w:val="00C81201"/>
    <w:rsid w:val="00C819CE"/>
    <w:rsid w:val="00C82267"/>
    <w:rsid w:val="00C8234D"/>
    <w:rsid w:val="00C82BC3"/>
    <w:rsid w:val="00C83DB5"/>
    <w:rsid w:val="00C83FC9"/>
    <w:rsid w:val="00C84D4A"/>
    <w:rsid w:val="00C84FF3"/>
    <w:rsid w:val="00C851C7"/>
    <w:rsid w:val="00C85A3E"/>
    <w:rsid w:val="00C86183"/>
    <w:rsid w:val="00C87279"/>
    <w:rsid w:val="00C87666"/>
    <w:rsid w:val="00C90285"/>
    <w:rsid w:val="00C909D9"/>
    <w:rsid w:val="00C90E97"/>
    <w:rsid w:val="00C913CD"/>
    <w:rsid w:val="00C915FF"/>
    <w:rsid w:val="00C92156"/>
    <w:rsid w:val="00C942DF"/>
    <w:rsid w:val="00C948ED"/>
    <w:rsid w:val="00C9545A"/>
    <w:rsid w:val="00C96B20"/>
    <w:rsid w:val="00C96F82"/>
    <w:rsid w:val="00C97329"/>
    <w:rsid w:val="00CA00B9"/>
    <w:rsid w:val="00CA0492"/>
    <w:rsid w:val="00CA0EFD"/>
    <w:rsid w:val="00CA1FD8"/>
    <w:rsid w:val="00CA2B68"/>
    <w:rsid w:val="00CA31A2"/>
    <w:rsid w:val="00CA35F2"/>
    <w:rsid w:val="00CA37E5"/>
    <w:rsid w:val="00CA3B53"/>
    <w:rsid w:val="00CA4277"/>
    <w:rsid w:val="00CA47DB"/>
    <w:rsid w:val="00CA5A15"/>
    <w:rsid w:val="00CA647F"/>
    <w:rsid w:val="00CA6A66"/>
    <w:rsid w:val="00CA6D13"/>
    <w:rsid w:val="00CA7894"/>
    <w:rsid w:val="00CA7C78"/>
    <w:rsid w:val="00CB0D63"/>
    <w:rsid w:val="00CB1EAA"/>
    <w:rsid w:val="00CB28C0"/>
    <w:rsid w:val="00CB3520"/>
    <w:rsid w:val="00CB3B70"/>
    <w:rsid w:val="00CB3E4C"/>
    <w:rsid w:val="00CB3FAC"/>
    <w:rsid w:val="00CB4052"/>
    <w:rsid w:val="00CB4069"/>
    <w:rsid w:val="00CB4168"/>
    <w:rsid w:val="00CB51EB"/>
    <w:rsid w:val="00CB58D6"/>
    <w:rsid w:val="00CB5A7E"/>
    <w:rsid w:val="00CB5C1B"/>
    <w:rsid w:val="00CB6365"/>
    <w:rsid w:val="00CC106A"/>
    <w:rsid w:val="00CC1D9F"/>
    <w:rsid w:val="00CC1F55"/>
    <w:rsid w:val="00CC334D"/>
    <w:rsid w:val="00CC3397"/>
    <w:rsid w:val="00CC36C8"/>
    <w:rsid w:val="00CC37CA"/>
    <w:rsid w:val="00CC384D"/>
    <w:rsid w:val="00CC42FF"/>
    <w:rsid w:val="00CC601E"/>
    <w:rsid w:val="00CC6020"/>
    <w:rsid w:val="00CC610B"/>
    <w:rsid w:val="00CC61AE"/>
    <w:rsid w:val="00CC6298"/>
    <w:rsid w:val="00CC63F8"/>
    <w:rsid w:val="00CC6662"/>
    <w:rsid w:val="00CC68E4"/>
    <w:rsid w:val="00CC6FEA"/>
    <w:rsid w:val="00CC7D1B"/>
    <w:rsid w:val="00CD031C"/>
    <w:rsid w:val="00CD064B"/>
    <w:rsid w:val="00CD075F"/>
    <w:rsid w:val="00CD07F0"/>
    <w:rsid w:val="00CD3671"/>
    <w:rsid w:val="00CD4AD9"/>
    <w:rsid w:val="00CD607F"/>
    <w:rsid w:val="00CD63F9"/>
    <w:rsid w:val="00CD67C8"/>
    <w:rsid w:val="00CE0B68"/>
    <w:rsid w:val="00CE0B73"/>
    <w:rsid w:val="00CE140E"/>
    <w:rsid w:val="00CE1874"/>
    <w:rsid w:val="00CE1D7C"/>
    <w:rsid w:val="00CE20B2"/>
    <w:rsid w:val="00CE3324"/>
    <w:rsid w:val="00CE4181"/>
    <w:rsid w:val="00CE48E1"/>
    <w:rsid w:val="00CE4D99"/>
    <w:rsid w:val="00CE644C"/>
    <w:rsid w:val="00CE6573"/>
    <w:rsid w:val="00CE6E00"/>
    <w:rsid w:val="00CF0482"/>
    <w:rsid w:val="00CF0A72"/>
    <w:rsid w:val="00CF117F"/>
    <w:rsid w:val="00CF19D0"/>
    <w:rsid w:val="00CF208F"/>
    <w:rsid w:val="00CF29A9"/>
    <w:rsid w:val="00CF2D88"/>
    <w:rsid w:val="00CF349E"/>
    <w:rsid w:val="00CF3DCA"/>
    <w:rsid w:val="00CF4C9E"/>
    <w:rsid w:val="00CF51F4"/>
    <w:rsid w:val="00CF5FAF"/>
    <w:rsid w:val="00CF797F"/>
    <w:rsid w:val="00CF7AC5"/>
    <w:rsid w:val="00CF8BAC"/>
    <w:rsid w:val="00D00110"/>
    <w:rsid w:val="00D001EF"/>
    <w:rsid w:val="00D00203"/>
    <w:rsid w:val="00D00CEB"/>
    <w:rsid w:val="00D023B8"/>
    <w:rsid w:val="00D02A60"/>
    <w:rsid w:val="00D037F9"/>
    <w:rsid w:val="00D03CCD"/>
    <w:rsid w:val="00D04841"/>
    <w:rsid w:val="00D05284"/>
    <w:rsid w:val="00D05551"/>
    <w:rsid w:val="00D056DD"/>
    <w:rsid w:val="00D05986"/>
    <w:rsid w:val="00D05CFC"/>
    <w:rsid w:val="00D06CE4"/>
    <w:rsid w:val="00D06FFF"/>
    <w:rsid w:val="00D071F8"/>
    <w:rsid w:val="00D07B86"/>
    <w:rsid w:val="00D07C5C"/>
    <w:rsid w:val="00D12B04"/>
    <w:rsid w:val="00D12CDD"/>
    <w:rsid w:val="00D131DD"/>
    <w:rsid w:val="00D14455"/>
    <w:rsid w:val="00D1454E"/>
    <w:rsid w:val="00D14580"/>
    <w:rsid w:val="00D14967"/>
    <w:rsid w:val="00D14A33"/>
    <w:rsid w:val="00D14F6B"/>
    <w:rsid w:val="00D164F0"/>
    <w:rsid w:val="00D16E9E"/>
    <w:rsid w:val="00D17162"/>
    <w:rsid w:val="00D17268"/>
    <w:rsid w:val="00D17744"/>
    <w:rsid w:val="00D17F09"/>
    <w:rsid w:val="00D2070E"/>
    <w:rsid w:val="00D20CD2"/>
    <w:rsid w:val="00D21529"/>
    <w:rsid w:val="00D22649"/>
    <w:rsid w:val="00D22A7E"/>
    <w:rsid w:val="00D23443"/>
    <w:rsid w:val="00D25F7D"/>
    <w:rsid w:val="00D2640E"/>
    <w:rsid w:val="00D26777"/>
    <w:rsid w:val="00D30874"/>
    <w:rsid w:val="00D308C4"/>
    <w:rsid w:val="00D30E01"/>
    <w:rsid w:val="00D30F85"/>
    <w:rsid w:val="00D31923"/>
    <w:rsid w:val="00D31B58"/>
    <w:rsid w:val="00D321F4"/>
    <w:rsid w:val="00D32337"/>
    <w:rsid w:val="00D324DB"/>
    <w:rsid w:val="00D33788"/>
    <w:rsid w:val="00D337E4"/>
    <w:rsid w:val="00D33B48"/>
    <w:rsid w:val="00D34D20"/>
    <w:rsid w:val="00D34E6E"/>
    <w:rsid w:val="00D34ECB"/>
    <w:rsid w:val="00D34F25"/>
    <w:rsid w:val="00D350AB"/>
    <w:rsid w:val="00D3513E"/>
    <w:rsid w:val="00D35684"/>
    <w:rsid w:val="00D35D1D"/>
    <w:rsid w:val="00D36047"/>
    <w:rsid w:val="00D36AB7"/>
    <w:rsid w:val="00D36BE6"/>
    <w:rsid w:val="00D36DEC"/>
    <w:rsid w:val="00D41457"/>
    <w:rsid w:val="00D42ADD"/>
    <w:rsid w:val="00D43156"/>
    <w:rsid w:val="00D43161"/>
    <w:rsid w:val="00D43D13"/>
    <w:rsid w:val="00D44727"/>
    <w:rsid w:val="00D44AF2"/>
    <w:rsid w:val="00D44BC6"/>
    <w:rsid w:val="00D45075"/>
    <w:rsid w:val="00D45445"/>
    <w:rsid w:val="00D455E7"/>
    <w:rsid w:val="00D45F7A"/>
    <w:rsid w:val="00D4685D"/>
    <w:rsid w:val="00D47271"/>
    <w:rsid w:val="00D502DF"/>
    <w:rsid w:val="00D505D0"/>
    <w:rsid w:val="00D505FE"/>
    <w:rsid w:val="00D507E0"/>
    <w:rsid w:val="00D50A66"/>
    <w:rsid w:val="00D50DDE"/>
    <w:rsid w:val="00D514C2"/>
    <w:rsid w:val="00D515FF"/>
    <w:rsid w:val="00D5177F"/>
    <w:rsid w:val="00D518FD"/>
    <w:rsid w:val="00D528D2"/>
    <w:rsid w:val="00D536A9"/>
    <w:rsid w:val="00D53FC7"/>
    <w:rsid w:val="00D543BD"/>
    <w:rsid w:val="00D55524"/>
    <w:rsid w:val="00D56FC9"/>
    <w:rsid w:val="00D571AD"/>
    <w:rsid w:val="00D5789C"/>
    <w:rsid w:val="00D57BC6"/>
    <w:rsid w:val="00D61439"/>
    <w:rsid w:val="00D63CE2"/>
    <w:rsid w:val="00D63FE6"/>
    <w:rsid w:val="00D65326"/>
    <w:rsid w:val="00D656F3"/>
    <w:rsid w:val="00D670C5"/>
    <w:rsid w:val="00D6744C"/>
    <w:rsid w:val="00D67F50"/>
    <w:rsid w:val="00D6BBD5"/>
    <w:rsid w:val="00D703C0"/>
    <w:rsid w:val="00D70DEA"/>
    <w:rsid w:val="00D71149"/>
    <w:rsid w:val="00D71160"/>
    <w:rsid w:val="00D71351"/>
    <w:rsid w:val="00D721A5"/>
    <w:rsid w:val="00D72AEC"/>
    <w:rsid w:val="00D72FC9"/>
    <w:rsid w:val="00D730F0"/>
    <w:rsid w:val="00D73549"/>
    <w:rsid w:val="00D73F52"/>
    <w:rsid w:val="00D749D4"/>
    <w:rsid w:val="00D74A02"/>
    <w:rsid w:val="00D76B7C"/>
    <w:rsid w:val="00D77A15"/>
    <w:rsid w:val="00D80464"/>
    <w:rsid w:val="00D80C60"/>
    <w:rsid w:val="00D81FEA"/>
    <w:rsid w:val="00D8233A"/>
    <w:rsid w:val="00D83392"/>
    <w:rsid w:val="00D836BD"/>
    <w:rsid w:val="00D84274"/>
    <w:rsid w:val="00D84531"/>
    <w:rsid w:val="00D84E8D"/>
    <w:rsid w:val="00D85C93"/>
    <w:rsid w:val="00D862FC"/>
    <w:rsid w:val="00D8648E"/>
    <w:rsid w:val="00D874F3"/>
    <w:rsid w:val="00D90241"/>
    <w:rsid w:val="00D9026E"/>
    <w:rsid w:val="00D91481"/>
    <w:rsid w:val="00D91DBF"/>
    <w:rsid w:val="00D93AFA"/>
    <w:rsid w:val="00D93DAA"/>
    <w:rsid w:val="00D94361"/>
    <w:rsid w:val="00D95892"/>
    <w:rsid w:val="00D958B7"/>
    <w:rsid w:val="00D95DC7"/>
    <w:rsid w:val="00D9624A"/>
    <w:rsid w:val="00D964F4"/>
    <w:rsid w:val="00D965BF"/>
    <w:rsid w:val="00D97435"/>
    <w:rsid w:val="00DA0B4B"/>
    <w:rsid w:val="00DA27E9"/>
    <w:rsid w:val="00DA328A"/>
    <w:rsid w:val="00DA3840"/>
    <w:rsid w:val="00DA3D7E"/>
    <w:rsid w:val="00DA47CE"/>
    <w:rsid w:val="00DA47F0"/>
    <w:rsid w:val="00DA5E07"/>
    <w:rsid w:val="00DA614B"/>
    <w:rsid w:val="00DA6508"/>
    <w:rsid w:val="00DA6590"/>
    <w:rsid w:val="00DA6EE3"/>
    <w:rsid w:val="00DAC043"/>
    <w:rsid w:val="00DB0D19"/>
    <w:rsid w:val="00DB13C5"/>
    <w:rsid w:val="00DB1587"/>
    <w:rsid w:val="00DB1679"/>
    <w:rsid w:val="00DB20BB"/>
    <w:rsid w:val="00DB2ACF"/>
    <w:rsid w:val="00DB362C"/>
    <w:rsid w:val="00DB3C8C"/>
    <w:rsid w:val="00DB45E3"/>
    <w:rsid w:val="00DB4E29"/>
    <w:rsid w:val="00DB5C96"/>
    <w:rsid w:val="00DB630E"/>
    <w:rsid w:val="00DB6464"/>
    <w:rsid w:val="00DB6CF3"/>
    <w:rsid w:val="00DB6EE9"/>
    <w:rsid w:val="00DB776D"/>
    <w:rsid w:val="00DB7D90"/>
    <w:rsid w:val="00DB7F14"/>
    <w:rsid w:val="00DC19EC"/>
    <w:rsid w:val="00DC1C3A"/>
    <w:rsid w:val="00DC2547"/>
    <w:rsid w:val="00DC28E1"/>
    <w:rsid w:val="00DC5533"/>
    <w:rsid w:val="00DC5B29"/>
    <w:rsid w:val="00DC5D70"/>
    <w:rsid w:val="00DC6587"/>
    <w:rsid w:val="00DC69DC"/>
    <w:rsid w:val="00DC6BF3"/>
    <w:rsid w:val="00DC775F"/>
    <w:rsid w:val="00DC7BBE"/>
    <w:rsid w:val="00DC7DB5"/>
    <w:rsid w:val="00DD0C8F"/>
    <w:rsid w:val="00DD1913"/>
    <w:rsid w:val="00DD1CBC"/>
    <w:rsid w:val="00DD2A35"/>
    <w:rsid w:val="00DD3A60"/>
    <w:rsid w:val="00DD3B14"/>
    <w:rsid w:val="00DD451B"/>
    <w:rsid w:val="00DD62BB"/>
    <w:rsid w:val="00DD661C"/>
    <w:rsid w:val="00DD6760"/>
    <w:rsid w:val="00DD69A8"/>
    <w:rsid w:val="00DD6BD8"/>
    <w:rsid w:val="00DD6C3D"/>
    <w:rsid w:val="00DD7344"/>
    <w:rsid w:val="00DE1109"/>
    <w:rsid w:val="00DE1855"/>
    <w:rsid w:val="00DE2237"/>
    <w:rsid w:val="00DE28DC"/>
    <w:rsid w:val="00DE3583"/>
    <w:rsid w:val="00DE40A3"/>
    <w:rsid w:val="00DE40BA"/>
    <w:rsid w:val="00DE4811"/>
    <w:rsid w:val="00DE4F45"/>
    <w:rsid w:val="00DE580D"/>
    <w:rsid w:val="00DE633A"/>
    <w:rsid w:val="00DE72B8"/>
    <w:rsid w:val="00DE76E1"/>
    <w:rsid w:val="00DE7D07"/>
    <w:rsid w:val="00DF0480"/>
    <w:rsid w:val="00DF0B7B"/>
    <w:rsid w:val="00DF0E81"/>
    <w:rsid w:val="00DF14F5"/>
    <w:rsid w:val="00DF1598"/>
    <w:rsid w:val="00DF1750"/>
    <w:rsid w:val="00DF1A1E"/>
    <w:rsid w:val="00DF1C01"/>
    <w:rsid w:val="00DF1FA3"/>
    <w:rsid w:val="00DF2609"/>
    <w:rsid w:val="00DF332D"/>
    <w:rsid w:val="00DF39AE"/>
    <w:rsid w:val="00DF4BC3"/>
    <w:rsid w:val="00DF5240"/>
    <w:rsid w:val="00DF56BA"/>
    <w:rsid w:val="00DF5F99"/>
    <w:rsid w:val="00DF760F"/>
    <w:rsid w:val="00DF7F5B"/>
    <w:rsid w:val="00DF9DCE"/>
    <w:rsid w:val="00E00307"/>
    <w:rsid w:val="00E00A29"/>
    <w:rsid w:val="00E00C64"/>
    <w:rsid w:val="00E00DE3"/>
    <w:rsid w:val="00E012D6"/>
    <w:rsid w:val="00E01599"/>
    <w:rsid w:val="00E03634"/>
    <w:rsid w:val="00E03925"/>
    <w:rsid w:val="00E03C0A"/>
    <w:rsid w:val="00E03E21"/>
    <w:rsid w:val="00E041E1"/>
    <w:rsid w:val="00E04888"/>
    <w:rsid w:val="00E0494F"/>
    <w:rsid w:val="00E0498C"/>
    <w:rsid w:val="00E04E8B"/>
    <w:rsid w:val="00E067C7"/>
    <w:rsid w:val="00E06C1B"/>
    <w:rsid w:val="00E073A4"/>
    <w:rsid w:val="00E07565"/>
    <w:rsid w:val="00E0757F"/>
    <w:rsid w:val="00E102F3"/>
    <w:rsid w:val="00E11B0E"/>
    <w:rsid w:val="00E12C21"/>
    <w:rsid w:val="00E14D8C"/>
    <w:rsid w:val="00E15862"/>
    <w:rsid w:val="00E1630E"/>
    <w:rsid w:val="00E1733D"/>
    <w:rsid w:val="00E20610"/>
    <w:rsid w:val="00E20958"/>
    <w:rsid w:val="00E213F1"/>
    <w:rsid w:val="00E224B6"/>
    <w:rsid w:val="00E226D0"/>
    <w:rsid w:val="00E22A81"/>
    <w:rsid w:val="00E22B09"/>
    <w:rsid w:val="00E230D3"/>
    <w:rsid w:val="00E230E8"/>
    <w:rsid w:val="00E240AB"/>
    <w:rsid w:val="00E24817"/>
    <w:rsid w:val="00E24A89"/>
    <w:rsid w:val="00E25CF4"/>
    <w:rsid w:val="00E269D0"/>
    <w:rsid w:val="00E27B7E"/>
    <w:rsid w:val="00E27E98"/>
    <w:rsid w:val="00E30306"/>
    <w:rsid w:val="00E30C2A"/>
    <w:rsid w:val="00E31033"/>
    <w:rsid w:val="00E31FBA"/>
    <w:rsid w:val="00E327A1"/>
    <w:rsid w:val="00E32ACE"/>
    <w:rsid w:val="00E33F3E"/>
    <w:rsid w:val="00E34192"/>
    <w:rsid w:val="00E36C04"/>
    <w:rsid w:val="00E36DE8"/>
    <w:rsid w:val="00E36E07"/>
    <w:rsid w:val="00E37489"/>
    <w:rsid w:val="00E37765"/>
    <w:rsid w:val="00E377CB"/>
    <w:rsid w:val="00E37829"/>
    <w:rsid w:val="00E37B3E"/>
    <w:rsid w:val="00E37C67"/>
    <w:rsid w:val="00E407EE"/>
    <w:rsid w:val="00E4096A"/>
    <w:rsid w:val="00E42DA6"/>
    <w:rsid w:val="00E430CF"/>
    <w:rsid w:val="00E4324E"/>
    <w:rsid w:val="00E435B9"/>
    <w:rsid w:val="00E43B25"/>
    <w:rsid w:val="00E43BC0"/>
    <w:rsid w:val="00E44140"/>
    <w:rsid w:val="00E4498E"/>
    <w:rsid w:val="00E45435"/>
    <w:rsid w:val="00E45493"/>
    <w:rsid w:val="00E4579E"/>
    <w:rsid w:val="00E4587C"/>
    <w:rsid w:val="00E45BEE"/>
    <w:rsid w:val="00E463B3"/>
    <w:rsid w:val="00E468EC"/>
    <w:rsid w:val="00E4725E"/>
    <w:rsid w:val="00E472D0"/>
    <w:rsid w:val="00E4786D"/>
    <w:rsid w:val="00E47A8E"/>
    <w:rsid w:val="00E512E6"/>
    <w:rsid w:val="00E51831"/>
    <w:rsid w:val="00E51FFA"/>
    <w:rsid w:val="00E5221A"/>
    <w:rsid w:val="00E52949"/>
    <w:rsid w:val="00E5387F"/>
    <w:rsid w:val="00E556DD"/>
    <w:rsid w:val="00E56188"/>
    <w:rsid w:val="00E56248"/>
    <w:rsid w:val="00E563FD"/>
    <w:rsid w:val="00E5665C"/>
    <w:rsid w:val="00E56BDE"/>
    <w:rsid w:val="00E57E65"/>
    <w:rsid w:val="00E601DA"/>
    <w:rsid w:val="00E60633"/>
    <w:rsid w:val="00E60BBA"/>
    <w:rsid w:val="00E60EF7"/>
    <w:rsid w:val="00E61D1C"/>
    <w:rsid w:val="00E61F3A"/>
    <w:rsid w:val="00E6230A"/>
    <w:rsid w:val="00E62BF4"/>
    <w:rsid w:val="00E62C20"/>
    <w:rsid w:val="00E6413C"/>
    <w:rsid w:val="00E65F44"/>
    <w:rsid w:val="00E66250"/>
    <w:rsid w:val="00E66DAD"/>
    <w:rsid w:val="00E71054"/>
    <w:rsid w:val="00E71C1C"/>
    <w:rsid w:val="00E71C49"/>
    <w:rsid w:val="00E71EFB"/>
    <w:rsid w:val="00E72588"/>
    <w:rsid w:val="00E73221"/>
    <w:rsid w:val="00E739B3"/>
    <w:rsid w:val="00E7442D"/>
    <w:rsid w:val="00E7444A"/>
    <w:rsid w:val="00E7466B"/>
    <w:rsid w:val="00E748DF"/>
    <w:rsid w:val="00E74D6B"/>
    <w:rsid w:val="00E754F0"/>
    <w:rsid w:val="00E75B06"/>
    <w:rsid w:val="00E76E96"/>
    <w:rsid w:val="00E76EE8"/>
    <w:rsid w:val="00E77737"/>
    <w:rsid w:val="00E77B64"/>
    <w:rsid w:val="00E804F9"/>
    <w:rsid w:val="00E80629"/>
    <w:rsid w:val="00E80DD3"/>
    <w:rsid w:val="00E814DB"/>
    <w:rsid w:val="00E817CE"/>
    <w:rsid w:val="00E81BD5"/>
    <w:rsid w:val="00E81C1E"/>
    <w:rsid w:val="00E83801"/>
    <w:rsid w:val="00E83FA7"/>
    <w:rsid w:val="00E85214"/>
    <w:rsid w:val="00E8567D"/>
    <w:rsid w:val="00E8634F"/>
    <w:rsid w:val="00E87105"/>
    <w:rsid w:val="00E872D2"/>
    <w:rsid w:val="00E9009B"/>
    <w:rsid w:val="00E925CB"/>
    <w:rsid w:val="00E932BF"/>
    <w:rsid w:val="00E932D3"/>
    <w:rsid w:val="00E93330"/>
    <w:rsid w:val="00E93672"/>
    <w:rsid w:val="00E93E4F"/>
    <w:rsid w:val="00E9446B"/>
    <w:rsid w:val="00E94AC6"/>
    <w:rsid w:val="00E9513B"/>
    <w:rsid w:val="00E9601C"/>
    <w:rsid w:val="00E9680A"/>
    <w:rsid w:val="00E96C23"/>
    <w:rsid w:val="00E9720B"/>
    <w:rsid w:val="00E9777C"/>
    <w:rsid w:val="00E97A3F"/>
    <w:rsid w:val="00EA0507"/>
    <w:rsid w:val="00EA16BD"/>
    <w:rsid w:val="00EA203A"/>
    <w:rsid w:val="00EA25BE"/>
    <w:rsid w:val="00EA26CC"/>
    <w:rsid w:val="00EA2DBC"/>
    <w:rsid w:val="00EA3099"/>
    <w:rsid w:val="00EA3151"/>
    <w:rsid w:val="00EA34A2"/>
    <w:rsid w:val="00EA35BC"/>
    <w:rsid w:val="00EA426C"/>
    <w:rsid w:val="00EA61D4"/>
    <w:rsid w:val="00EA6BAE"/>
    <w:rsid w:val="00EA7824"/>
    <w:rsid w:val="00EB0BAF"/>
    <w:rsid w:val="00EB0D49"/>
    <w:rsid w:val="00EB0DF6"/>
    <w:rsid w:val="00EB26D9"/>
    <w:rsid w:val="00EB34F6"/>
    <w:rsid w:val="00EB4252"/>
    <w:rsid w:val="00EB45BB"/>
    <w:rsid w:val="00EB481E"/>
    <w:rsid w:val="00EB4F5C"/>
    <w:rsid w:val="00EB5B4B"/>
    <w:rsid w:val="00EB6AC7"/>
    <w:rsid w:val="00EB7285"/>
    <w:rsid w:val="00EB75DC"/>
    <w:rsid w:val="00EB7872"/>
    <w:rsid w:val="00EC03B3"/>
    <w:rsid w:val="00EC066D"/>
    <w:rsid w:val="00EC09E3"/>
    <w:rsid w:val="00EC0B16"/>
    <w:rsid w:val="00EC0E57"/>
    <w:rsid w:val="00EC11D2"/>
    <w:rsid w:val="00EC1A25"/>
    <w:rsid w:val="00EC1C7F"/>
    <w:rsid w:val="00EC29E2"/>
    <w:rsid w:val="00EC2EBA"/>
    <w:rsid w:val="00EC331C"/>
    <w:rsid w:val="00EC3AD2"/>
    <w:rsid w:val="00EC42AC"/>
    <w:rsid w:val="00EC4673"/>
    <w:rsid w:val="00EC54C8"/>
    <w:rsid w:val="00EC6B0A"/>
    <w:rsid w:val="00EC6DF4"/>
    <w:rsid w:val="00EC79A2"/>
    <w:rsid w:val="00ED0D53"/>
    <w:rsid w:val="00ED18F1"/>
    <w:rsid w:val="00ED3FD9"/>
    <w:rsid w:val="00ED402C"/>
    <w:rsid w:val="00ED4559"/>
    <w:rsid w:val="00ED462C"/>
    <w:rsid w:val="00ED48D2"/>
    <w:rsid w:val="00ED48FF"/>
    <w:rsid w:val="00ED4959"/>
    <w:rsid w:val="00ED4E4A"/>
    <w:rsid w:val="00ED4EC9"/>
    <w:rsid w:val="00ED5373"/>
    <w:rsid w:val="00ED5E66"/>
    <w:rsid w:val="00ED7091"/>
    <w:rsid w:val="00ED71F5"/>
    <w:rsid w:val="00ED71FE"/>
    <w:rsid w:val="00ED7599"/>
    <w:rsid w:val="00ED7958"/>
    <w:rsid w:val="00ED7C07"/>
    <w:rsid w:val="00EE131C"/>
    <w:rsid w:val="00EE1D67"/>
    <w:rsid w:val="00EE1F6A"/>
    <w:rsid w:val="00EE2172"/>
    <w:rsid w:val="00EE2F60"/>
    <w:rsid w:val="00EE386F"/>
    <w:rsid w:val="00EE3E75"/>
    <w:rsid w:val="00EE460C"/>
    <w:rsid w:val="00EE59E0"/>
    <w:rsid w:val="00EE5B29"/>
    <w:rsid w:val="00EE68E0"/>
    <w:rsid w:val="00EE7329"/>
    <w:rsid w:val="00EE743A"/>
    <w:rsid w:val="00EE7E6D"/>
    <w:rsid w:val="00EE7FC1"/>
    <w:rsid w:val="00EF0036"/>
    <w:rsid w:val="00EF071E"/>
    <w:rsid w:val="00EF156E"/>
    <w:rsid w:val="00EF338C"/>
    <w:rsid w:val="00EF3853"/>
    <w:rsid w:val="00EF3B5E"/>
    <w:rsid w:val="00EF61C9"/>
    <w:rsid w:val="00EF6C91"/>
    <w:rsid w:val="00EF6EE4"/>
    <w:rsid w:val="00EF6FA5"/>
    <w:rsid w:val="00EF7798"/>
    <w:rsid w:val="00EF7FE8"/>
    <w:rsid w:val="00F003F8"/>
    <w:rsid w:val="00F0042A"/>
    <w:rsid w:val="00F00C2B"/>
    <w:rsid w:val="00F01C1E"/>
    <w:rsid w:val="00F02CB2"/>
    <w:rsid w:val="00F03445"/>
    <w:rsid w:val="00F044B4"/>
    <w:rsid w:val="00F04FBE"/>
    <w:rsid w:val="00F0512A"/>
    <w:rsid w:val="00F05860"/>
    <w:rsid w:val="00F05BDB"/>
    <w:rsid w:val="00F064EE"/>
    <w:rsid w:val="00F06852"/>
    <w:rsid w:val="00F07124"/>
    <w:rsid w:val="00F07990"/>
    <w:rsid w:val="00F1089E"/>
    <w:rsid w:val="00F10A66"/>
    <w:rsid w:val="00F10ABD"/>
    <w:rsid w:val="00F10E89"/>
    <w:rsid w:val="00F11CFB"/>
    <w:rsid w:val="00F1264B"/>
    <w:rsid w:val="00F1294E"/>
    <w:rsid w:val="00F12D82"/>
    <w:rsid w:val="00F13467"/>
    <w:rsid w:val="00F13F21"/>
    <w:rsid w:val="00F14486"/>
    <w:rsid w:val="00F1494F"/>
    <w:rsid w:val="00F149A3"/>
    <w:rsid w:val="00F14CBF"/>
    <w:rsid w:val="00F14F6A"/>
    <w:rsid w:val="00F156D4"/>
    <w:rsid w:val="00F165B8"/>
    <w:rsid w:val="00F17013"/>
    <w:rsid w:val="00F17DB6"/>
    <w:rsid w:val="00F202EE"/>
    <w:rsid w:val="00F2039A"/>
    <w:rsid w:val="00F207D1"/>
    <w:rsid w:val="00F20960"/>
    <w:rsid w:val="00F21B53"/>
    <w:rsid w:val="00F21E39"/>
    <w:rsid w:val="00F22C9B"/>
    <w:rsid w:val="00F234C7"/>
    <w:rsid w:val="00F2363A"/>
    <w:rsid w:val="00F23655"/>
    <w:rsid w:val="00F23685"/>
    <w:rsid w:val="00F238D0"/>
    <w:rsid w:val="00F239BE"/>
    <w:rsid w:val="00F23FC6"/>
    <w:rsid w:val="00F24655"/>
    <w:rsid w:val="00F24D21"/>
    <w:rsid w:val="00F25421"/>
    <w:rsid w:val="00F25746"/>
    <w:rsid w:val="00F262BC"/>
    <w:rsid w:val="00F2630C"/>
    <w:rsid w:val="00F26432"/>
    <w:rsid w:val="00F27211"/>
    <w:rsid w:val="00F27750"/>
    <w:rsid w:val="00F30BDB"/>
    <w:rsid w:val="00F3224F"/>
    <w:rsid w:val="00F33360"/>
    <w:rsid w:val="00F3357B"/>
    <w:rsid w:val="00F340C2"/>
    <w:rsid w:val="00F34136"/>
    <w:rsid w:val="00F34298"/>
    <w:rsid w:val="00F34481"/>
    <w:rsid w:val="00F3566E"/>
    <w:rsid w:val="00F35E1A"/>
    <w:rsid w:val="00F36153"/>
    <w:rsid w:val="00F36473"/>
    <w:rsid w:val="00F36764"/>
    <w:rsid w:val="00F372A2"/>
    <w:rsid w:val="00F3F515"/>
    <w:rsid w:val="00F4076E"/>
    <w:rsid w:val="00F40D00"/>
    <w:rsid w:val="00F40D0A"/>
    <w:rsid w:val="00F40E1B"/>
    <w:rsid w:val="00F42733"/>
    <w:rsid w:val="00F42878"/>
    <w:rsid w:val="00F42CC0"/>
    <w:rsid w:val="00F4464C"/>
    <w:rsid w:val="00F45222"/>
    <w:rsid w:val="00F45CE7"/>
    <w:rsid w:val="00F45D3E"/>
    <w:rsid w:val="00F45F18"/>
    <w:rsid w:val="00F460CB"/>
    <w:rsid w:val="00F4612A"/>
    <w:rsid w:val="00F463D3"/>
    <w:rsid w:val="00F4661C"/>
    <w:rsid w:val="00F4676D"/>
    <w:rsid w:val="00F46A21"/>
    <w:rsid w:val="00F46D72"/>
    <w:rsid w:val="00F502BA"/>
    <w:rsid w:val="00F50AF6"/>
    <w:rsid w:val="00F50E82"/>
    <w:rsid w:val="00F5265C"/>
    <w:rsid w:val="00F52856"/>
    <w:rsid w:val="00F52A48"/>
    <w:rsid w:val="00F52EF7"/>
    <w:rsid w:val="00F5323F"/>
    <w:rsid w:val="00F53AA1"/>
    <w:rsid w:val="00F53F40"/>
    <w:rsid w:val="00F540A4"/>
    <w:rsid w:val="00F540C0"/>
    <w:rsid w:val="00F54B60"/>
    <w:rsid w:val="00F54BFD"/>
    <w:rsid w:val="00F54F55"/>
    <w:rsid w:val="00F5536F"/>
    <w:rsid w:val="00F555DA"/>
    <w:rsid w:val="00F564B4"/>
    <w:rsid w:val="00F5664B"/>
    <w:rsid w:val="00F57D6B"/>
    <w:rsid w:val="00F57EBC"/>
    <w:rsid w:val="00F57EF9"/>
    <w:rsid w:val="00F6025B"/>
    <w:rsid w:val="00F60343"/>
    <w:rsid w:val="00F608C6"/>
    <w:rsid w:val="00F60C4C"/>
    <w:rsid w:val="00F610CA"/>
    <w:rsid w:val="00F61C02"/>
    <w:rsid w:val="00F6279E"/>
    <w:rsid w:val="00F62E44"/>
    <w:rsid w:val="00F63739"/>
    <w:rsid w:val="00F652C3"/>
    <w:rsid w:val="00F662B7"/>
    <w:rsid w:val="00F668EB"/>
    <w:rsid w:val="00F6723A"/>
    <w:rsid w:val="00F67F2F"/>
    <w:rsid w:val="00F7060C"/>
    <w:rsid w:val="00F72D70"/>
    <w:rsid w:val="00F732E8"/>
    <w:rsid w:val="00F73347"/>
    <w:rsid w:val="00F73543"/>
    <w:rsid w:val="00F73998"/>
    <w:rsid w:val="00F74491"/>
    <w:rsid w:val="00F74E70"/>
    <w:rsid w:val="00F75D12"/>
    <w:rsid w:val="00F76B59"/>
    <w:rsid w:val="00F76FA8"/>
    <w:rsid w:val="00F7780B"/>
    <w:rsid w:val="00F809D4"/>
    <w:rsid w:val="00F80A50"/>
    <w:rsid w:val="00F819BC"/>
    <w:rsid w:val="00F81B72"/>
    <w:rsid w:val="00F81F28"/>
    <w:rsid w:val="00F82109"/>
    <w:rsid w:val="00F8264F"/>
    <w:rsid w:val="00F8331D"/>
    <w:rsid w:val="00F839CC"/>
    <w:rsid w:val="00F842DC"/>
    <w:rsid w:val="00F85FAC"/>
    <w:rsid w:val="00F85FF7"/>
    <w:rsid w:val="00F8717F"/>
    <w:rsid w:val="00F91050"/>
    <w:rsid w:val="00F91DA5"/>
    <w:rsid w:val="00F91FC7"/>
    <w:rsid w:val="00F92B6C"/>
    <w:rsid w:val="00F92D8E"/>
    <w:rsid w:val="00F933CC"/>
    <w:rsid w:val="00F948F2"/>
    <w:rsid w:val="00F95135"/>
    <w:rsid w:val="00F96227"/>
    <w:rsid w:val="00F9627D"/>
    <w:rsid w:val="00F96713"/>
    <w:rsid w:val="00F96717"/>
    <w:rsid w:val="00F970D3"/>
    <w:rsid w:val="00F97A4C"/>
    <w:rsid w:val="00F97C80"/>
    <w:rsid w:val="00FA027D"/>
    <w:rsid w:val="00FA0A3C"/>
    <w:rsid w:val="00FA0EB0"/>
    <w:rsid w:val="00FA1DFA"/>
    <w:rsid w:val="00FA24A1"/>
    <w:rsid w:val="00FA4F31"/>
    <w:rsid w:val="00FA5A6C"/>
    <w:rsid w:val="00FA687F"/>
    <w:rsid w:val="00FA6DA1"/>
    <w:rsid w:val="00FA7EC1"/>
    <w:rsid w:val="00FB00CC"/>
    <w:rsid w:val="00FB0226"/>
    <w:rsid w:val="00FB0425"/>
    <w:rsid w:val="00FB072A"/>
    <w:rsid w:val="00FB0E72"/>
    <w:rsid w:val="00FB0FE4"/>
    <w:rsid w:val="00FB1202"/>
    <w:rsid w:val="00FB14BF"/>
    <w:rsid w:val="00FB1563"/>
    <w:rsid w:val="00FB1C11"/>
    <w:rsid w:val="00FB1F2D"/>
    <w:rsid w:val="00FB2A68"/>
    <w:rsid w:val="00FB3226"/>
    <w:rsid w:val="00FB3B8A"/>
    <w:rsid w:val="00FB480C"/>
    <w:rsid w:val="00FB634C"/>
    <w:rsid w:val="00FB68DB"/>
    <w:rsid w:val="00FB6E67"/>
    <w:rsid w:val="00FB7B20"/>
    <w:rsid w:val="00FB7DD0"/>
    <w:rsid w:val="00FC0F10"/>
    <w:rsid w:val="00FC0FBB"/>
    <w:rsid w:val="00FC1B37"/>
    <w:rsid w:val="00FC1C92"/>
    <w:rsid w:val="00FC3E78"/>
    <w:rsid w:val="00FC59F6"/>
    <w:rsid w:val="00FC64D4"/>
    <w:rsid w:val="00FC68E6"/>
    <w:rsid w:val="00FC6AF1"/>
    <w:rsid w:val="00FC6BD0"/>
    <w:rsid w:val="00FC6EDE"/>
    <w:rsid w:val="00FC70AF"/>
    <w:rsid w:val="00FC7EEE"/>
    <w:rsid w:val="00FD06D4"/>
    <w:rsid w:val="00FD22FE"/>
    <w:rsid w:val="00FD2733"/>
    <w:rsid w:val="00FD2821"/>
    <w:rsid w:val="00FD354D"/>
    <w:rsid w:val="00FD3EA2"/>
    <w:rsid w:val="00FD533C"/>
    <w:rsid w:val="00FD6183"/>
    <w:rsid w:val="00FD6F47"/>
    <w:rsid w:val="00FD7FFD"/>
    <w:rsid w:val="00FE0912"/>
    <w:rsid w:val="00FE118C"/>
    <w:rsid w:val="00FE138B"/>
    <w:rsid w:val="00FE1B41"/>
    <w:rsid w:val="00FE1BFD"/>
    <w:rsid w:val="00FE1FA2"/>
    <w:rsid w:val="00FE2A4F"/>
    <w:rsid w:val="00FE325C"/>
    <w:rsid w:val="00FE36E4"/>
    <w:rsid w:val="00FE391B"/>
    <w:rsid w:val="00FE418D"/>
    <w:rsid w:val="00FE47A4"/>
    <w:rsid w:val="00FE48FD"/>
    <w:rsid w:val="00FE4D0A"/>
    <w:rsid w:val="00FE5355"/>
    <w:rsid w:val="00FE53F6"/>
    <w:rsid w:val="00FE5686"/>
    <w:rsid w:val="00FE5C5C"/>
    <w:rsid w:val="00FE5D59"/>
    <w:rsid w:val="00FE60B8"/>
    <w:rsid w:val="00FE644E"/>
    <w:rsid w:val="00FE675C"/>
    <w:rsid w:val="00FE6D99"/>
    <w:rsid w:val="00FF0198"/>
    <w:rsid w:val="00FF23F3"/>
    <w:rsid w:val="00FF327F"/>
    <w:rsid w:val="00FF32A1"/>
    <w:rsid w:val="00FF49C7"/>
    <w:rsid w:val="00FF512C"/>
    <w:rsid w:val="00FF525D"/>
    <w:rsid w:val="00FF56A4"/>
    <w:rsid w:val="00FF5913"/>
    <w:rsid w:val="00FF5DCA"/>
    <w:rsid w:val="00FF7FA1"/>
    <w:rsid w:val="01061C9A"/>
    <w:rsid w:val="0108C3FA"/>
    <w:rsid w:val="0108FC4B"/>
    <w:rsid w:val="010CC570"/>
    <w:rsid w:val="0115EC42"/>
    <w:rsid w:val="0118D8F5"/>
    <w:rsid w:val="011D074E"/>
    <w:rsid w:val="011DD9F3"/>
    <w:rsid w:val="011FA374"/>
    <w:rsid w:val="01221DB9"/>
    <w:rsid w:val="012239D5"/>
    <w:rsid w:val="012C5499"/>
    <w:rsid w:val="0131E0A1"/>
    <w:rsid w:val="0136F292"/>
    <w:rsid w:val="0138AC7F"/>
    <w:rsid w:val="013CF0B0"/>
    <w:rsid w:val="013F7CFC"/>
    <w:rsid w:val="013FB5E1"/>
    <w:rsid w:val="014296D4"/>
    <w:rsid w:val="014866BC"/>
    <w:rsid w:val="015136E2"/>
    <w:rsid w:val="01540D85"/>
    <w:rsid w:val="0155616D"/>
    <w:rsid w:val="01572878"/>
    <w:rsid w:val="0159E59C"/>
    <w:rsid w:val="015BF01A"/>
    <w:rsid w:val="015E8A5E"/>
    <w:rsid w:val="01633054"/>
    <w:rsid w:val="01677918"/>
    <w:rsid w:val="01683D22"/>
    <w:rsid w:val="016D1761"/>
    <w:rsid w:val="016E9595"/>
    <w:rsid w:val="016EF5B0"/>
    <w:rsid w:val="017CF055"/>
    <w:rsid w:val="017D3A5B"/>
    <w:rsid w:val="0180556A"/>
    <w:rsid w:val="018AF49F"/>
    <w:rsid w:val="018D6A73"/>
    <w:rsid w:val="018D847C"/>
    <w:rsid w:val="018EEC25"/>
    <w:rsid w:val="019B77A9"/>
    <w:rsid w:val="019BBAD4"/>
    <w:rsid w:val="01A03425"/>
    <w:rsid w:val="01A1317A"/>
    <w:rsid w:val="01A260A0"/>
    <w:rsid w:val="01A4E3C3"/>
    <w:rsid w:val="01A608D4"/>
    <w:rsid w:val="01A7190E"/>
    <w:rsid w:val="01A7B3BE"/>
    <w:rsid w:val="01A933EC"/>
    <w:rsid w:val="01AC6424"/>
    <w:rsid w:val="01B1DFA4"/>
    <w:rsid w:val="01B62D56"/>
    <w:rsid w:val="01B7F650"/>
    <w:rsid w:val="01B8D2B8"/>
    <w:rsid w:val="01BB4596"/>
    <w:rsid w:val="01BFFD79"/>
    <w:rsid w:val="01C3C90C"/>
    <w:rsid w:val="01C6BB70"/>
    <w:rsid w:val="01C8B022"/>
    <w:rsid w:val="01C97878"/>
    <w:rsid w:val="01CC777E"/>
    <w:rsid w:val="01D184CD"/>
    <w:rsid w:val="01D30059"/>
    <w:rsid w:val="01D43900"/>
    <w:rsid w:val="01D8EF27"/>
    <w:rsid w:val="01D9793E"/>
    <w:rsid w:val="01E10236"/>
    <w:rsid w:val="01E58D99"/>
    <w:rsid w:val="01E8366B"/>
    <w:rsid w:val="01EAB1DC"/>
    <w:rsid w:val="01F01A7E"/>
    <w:rsid w:val="01FF8833"/>
    <w:rsid w:val="0203545B"/>
    <w:rsid w:val="020608A6"/>
    <w:rsid w:val="02062875"/>
    <w:rsid w:val="0214A6B1"/>
    <w:rsid w:val="021C2427"/>
    <w:rsid w:val="02265A6E"/>
    <w:rsid w:val="022665F1"/>
    <w:rsid w:val="02286BB7"/>
    <w:rsid w:val="0232E078"/>
    <w:rsid w:val="0238BE92"/>
    <w:rsid w:val="02476D95"/>
    <w:rsid w:val="0253C1E6"/>
    <w:rsid w:val="025DA32D"/>
    <w:rsid w:val="026D79E0"/>
    <w:rsid w:val="0272C518"/>
    <w:rsid w:val="02778DCC"/>
    <w:rsid w:val="0280816B"/>
    <w:rsid w:val="02829EEB"/>
    <w:rsid w:val="0285E396"/>
    <w:rsid w:val="028BD59E"/>
    <w:rsid w:val="028BDD7F"/>
    <w:rsid w:val="0291C31E"/>
    <w:rsid w:val="0294034D"/>
    <w:rsid w:val="029FA3EF"/>
    <w:rsid w:val="02A18DF2"/>
    <w:rsid w:val="02A4EFBF"/>
    <w:rsid w:val="02A8410C"/>
    <w:rsid w:val="02A991A0"/>
    <w:rsid w:val="02AAD4C1"/>
    <w:rsid w:val="02ABDB91"/>
    <w:rsid w:val="02ADC77F"/>
    <w:rsid w:val="02AFD55B"/>
    <w:rsid w:val="02AFDE60"/>
    <w:rsid w:val="02C0BF18"/>
    <w:rsid w:val="02CB87E1"/>
    <w:rsid w:val="02D54650"/>
    <w:rsid w:val="02DBA9B0"/>
    <w:rsid w:val="02E1C1A5"/>
    <w:rsid w:val="02E86E49"/>
    <w:rsid w:val="02EA0C51"/>
    <w:rsid w:val="02ED7ADF"/>
    <w:rsid w:val="02F284A9"/>
    <w:rsid w:val="03021049"/>
    <w:rsid w:val="03179530"/>
    <w:rsid w:val="03191F01"/>
    <w:rsid w:val="031E6D43"/>
    <w:rsid w:val="0320B4B4"/>
    <w:rsid w:val="0321A59D"/>
    <w:rsid w:val="033076E2"/>
    <w:rsid w:val="033145B8"/>
    <w:rsid w:val="033864EE"/>
    <w:rsid w:val="0338B267"/>
    <w:rsid w:val="033BB560"/>
    <w:rsid w:val="0346E117"/>
    <w:rsid w:val="0348C168"/>
    <w:rsid w:val="034D86C2"/>
    <w:rsid w:val="034DE8E7"/>
    <w:rsid w:val="0353D383"/>
    <w:rsid w:val="035FB88B"/>
    <w:rsid w:val="036B03B8"/>
    <w:rsid w:val="0370761C"/>
    <w:rsid w:val="037B9ADA"/>
    <w:rsid w:val="038315E0"/>
    <w:rsid w:val="03861DD0"/>
    <w:rsid w:val="03881F95"/>
    <w:rsid w:val="0389AA1B"/>
    <w:rsid w:val="038FE8F2"/>
    <w:rsid w:val="03935384"/>
    <w:rsid w:val="03970B70"/>
    <w:rsid w:val="0399EDA3"/>
    <w:rsid w:val="03A19669"/>
    <w:rsid w:val="03A50996"/>
    <w:rsid w:val="03A56C9C"/>
    <w:rsid w:val="03A76857"/>
    <w:rsid w:val="03AA614A"/>
    <w:rsid w:val="03AABD07"/>
    <w:rsid w:val="03AB96CB"/>
    <w:rsid w:val="03ACA77D"/>
    <w:rsid w:val="03ADDF96"/>
    <w:rsid w:val="03B6F74D"/>
    <w:rsid w:val="03C599FB"/>
    <w:rsid w:val="03C918E7"/>
    <w:rsid w:val="03CC02D2"/>
    <w:rsid w:val="03E14989"/>
    <w:rsid w:val="03E1B278"/>
    <w:rsid w:val="03E4B93A"/>
    <w:rsid w:val="03E7D7AB"/>
    <w:rsid w:val="03ECD052"/>
    <w:rsid w:val="03F5560E"/>
    <w:rsid w:val="03FF1686"/>
    <w:rsid w:val="0401BD37"/>
    <w:rsid w:val="04022240"/>
    <w:rsid w:val="0402971C"/>
    <w:rsid w:val="040361FA"/>
    <w:rsid w:val="0404CC3E"/>
    <w:rsid w:val="0404CE71"/>
    <w:rsid w:val="0405B331"/>
    <w:rsid w:val="0406CA0B"/>
    <w:rsid w:val="0407036F"/>
    <w:rsid w:val="040F2702"/>
    <w:rsid w:val="041A08C4"/>
    <w:rsid w:val="041A1177"/>
    <w:rsid w:val="041EC636"/>
    <w:rsid w:val="04206336"/>
    <w:rsid w:val="0424BC81"/>
    <w:rsid w:val="04263E4A"/>
    <w:rsid w:val="042D8C5E"/>
    <w:rsid w:val="043C15D7"/>
    <w:rsid w:val="044058E9"/>
    <w:rsid w:val="044155A8"/>
    <w:rsid w:val="044AEEDA"/>
    <w:rsid w:val="044AF903"/>
    <w:rsid w:val="0457A719"/>
    <w:rsid w:val="045826BF"/>
    <w:rsid w:val="045A1873"/>
    <w:rsid w:val="046926D0"/>
    <w:rsid w:val="0479F93D"/>
    <w:rsid w:val="0482BFE7"/>
    <w:rsid w:val="04838072"/>
    <w:rsid w:val="048FB4EA"/>
    <w:rsid w:val="049AAF60"/>
    <w:rsid w:val="049D19A8"/>
    <w:rsid w:val="04A3C75D"/>
    <w:rsid w:val="04A7CAAC"/>
    <w:rsid w:val="04AFCA6C"/>
    <w:rsid w:val="04B35E60"/>
    <w:rsid w:val="04B70724"/>
    <w:rsid w:val="04B7538F"/>
    <w:rsid w:val="04BB8F85"/>
    <w:rsid w:val="04BEA00D"/>
    <w:rsid w:val="04C1D3F4"/>
    <w:rsid w:val="04C6AB03"/>
    <w:rsid w:val="04CC755F"/>
    <w:rsid w:val="04CD626E"/>
    <w:rsid w:val="04D3E608"/>
    <w:rsid w:val="04D545FC"/>
    <w:rsid w:val="04D5A900"/>
    <w:rsid w:val="04D64A52"/>
    <w:rsid w:val="04DA01F3"/>
    <w:rsid w:val="04DAF1A9"/>
    <w:rsid w:val="04E4E0BA"/>
    <w:rsid w:val="04E6D09F"/>
    <w:rsid w:val="04E98DA6"/>
    <w:rsid w:val="04EBAB65"/>
    <w:rsid w:val="0504F2A1"/>
    <w:rsid w:val="0506F593"/>
    <w:rsid w:val="050B35F4"/>
    <w:rsid w:val="0510212F"/>
    <w:rsid w:val="0510A267"/>
    <w:rsid w:val="05123298"/>
    <w:rsid w:val="05134262"/>
    <w:rsid w:val="0513FBEF"/>
    <w:rsid w:val="05152EDB"/>
    <w:rsid w:val="05165BDB"/>
    <w:rsid w:val="051711EB"/>
    <w:rsid w:val="051966A2"/>
    <w:rsid w:val="051E4866"/>
    <w:rsid w:val="05264F83"/>
    <w:rsid w:val="052A8E58"/>
    <w:rsid w:val="053179D4"/>
    <w:rsid w:val="0532C6D3"/>
    <w:rsid w:val="0534B2AD"/>
    <w:rsid w:val="05396687"/>
    <w:rsid w:val="054023D5"/>
    <w:rsid w:val="054CA182"/>
    <w:rsid w:val="055D1937"/>
    <w:rsid w:val="0561A32B"/>
    <w:rsid w:val="0563AAF4"/>
    <w:rsid w:val="056ADA1F"/>
    <w:rsid w:val="056C5698"/>
    <w:rsid w:val="0570282D"/>
    <w:rsid w:val="057090DF"/>
    <w:rsid w:val="057193B3"/>
    <w:rsid w:val="05822CEF"/>
    <w:rsid w:val="0586D67A"/>
    <w:rsid w:val="058AE27C"/>
    <w:rsid w:val="058D4E9B"/>
    <w:rsid w:val="059857FB"/>
    <w:rsid w:val="059A8CFE"/>
    <w:rsid w:val="05A65336"/>
    <w:rsid w:val="05ACCF3A"/>
    <w:rsid w:val="05AED671"/>
    <w:rsid w:val="05B3E4B5"/>
    <w:rsid w:val="05B70510"/>
    <w:rsid w:val="05C36F92"/>
    <w:rsid w:val="05CBA7F4"/>
    <w:rsid w:val="05D70F89"/>
    <w:rsid w:val="05DD4271"/>
    <w:rsid w:val="05DDFA30"/>
    <w:rsid w:val="05E0A618"/>
    <w:rsid w:val="05E45B35"/>
    <w:rsid w:val="05E5B9A2"/>
    <w:rsid w:val="05E5BEA4"/>
    <w:rsid w:val="05E98373"/>
    <w:rsid w:val="05EA6D97"/>
    <w:rsid w:val="05EA99BA"/>
    <w:rsid w:val="05EE76D9"/>
    <w:rsid w:val="05F0E675"/>
    <w:rsid w:val="05F1F59E"/>
    <w:rsid w:val="05F592E5"/>
    <w:rsid w:val="05F6AA9D"/>
    <w:rsid w:val="05F8CBD1"/>
    <w:rsid w:val="05FFA238"/>
    <w:rsid w:val="0603BFDD"/>
    <w:rsid w:val="06059C02"/>
    <w:rsid w:val="0607AF25"/>
    <w:rsid w:val="060BD859"/>
    <w:rsid w:val="060D3618"/>
    <w:rsid w:val="0618388F"/>
    <w:rsid w:val="061BED91"/>
    <w:rsid w:val="061BFCFF"/>
    <w:rsid w:val="061C2E11"/>
    <w:rsid w:val="061DACE6"/>
    <w:rsid w:val="061F4E92"/>
    <w:rsid w:val="061FF1E1"/>
    <w:rsid w:val="0621C4A7"/>
    <w:rsid w:val="0623721A"/>
    <w:rsid w:val="062949FB"/>
    <w:rsid w:val="0630F2B3"/>
    <w:rsid w:val="0632C294"/>
    <w:rsid w:val="06355571"/>
    <w:rsid w:val="0636332C"/>
    <w:rsid w:val="063E53E2"/>
    <w:rsid w:val="06409EA2"/>
    <w:rsid w:val="064278FE"/>
    <w:rsid w:val="0644285C"/>
    <w:rsid w:val="06459EA1"/>
    <w:rsid w:val="064AEC5C"/>
    <w:rsid w:val="064C3252"/>
    <w:rsid w:val="064FB849"/>
    <w:rsid w:val="06506178"/>
    <w:rsid w:val="0653D42C"/>
    <w:rsid w:val="0654A394"/>
    <w:rsid w:val="065E19F2"/>
    <w:rsid w:val="06711FB8"/>
    <w:rsid w:val="0678A499"/>
    <w:rsid w:val="0687BEA6"/>
    <w:rsid w:val="06891982"/>
    <w:rsid w:val="0690E52C"/>
    <w:rsid w:val="0691D727"/>
    <w:rsid w:val="069707EF"/>
    <w:rsid w:val="069E8BEF"/>
    <w:rsid w:val="069F8F3B"/>
    <w:rsid w:val="06A3E2C2"/>
    <w:rsid w:val="06A6C341"/>
    <w:rsid w:val="06A7428C"/>
    <w:rsid w:val="06AE51FE"/>
    <w:rsid w:val="06B2D651"/>
    <w:rsid w:val="06B7416D"/>
    <w:rsid w:val="06B8139C"/>
    <w:rsid w:val="06B8F6F3"/>
    <w:rsid w:val="06BD4248"/>
    <w:rsid w:val="06BDB9F4"/>
    <w:rsid w:val="06BFD0C8"/>
    <w:rsid w:val="06CC33CA"/>
    <w:rsid w:val="06D21F42"/>
    <w:rsid w:val="06D57E67"/>
    <w:rsid w:val="06DAA1E6"/>
    <w:rsid w:val="06DCC83B"/>
    <w:rsid w:val="06E17BA2"/>
    <w:rsid w:val="06E21FCF"/>
    <w:rsid w:val="06EAA407"/>
    <w:rsid w:val="06ED1B1E"/>
    <w:rsid w:val="06F02849"/>
    <w:rsid w:val="06F793D1"/>
    <w:rsid w:val="06FE1609"/>
    <w:rsid w:val="06FE59AB"/>
    <w:rsid w:val="06FEE092"/>
    <w:rsid w:val="06FFCD18"/>
    <w:rsid w:val="07031A8B"/>
    <w:rsid w:val="0708F034"/>
    <w:rsid w:val="070926C8"/>
    <w:rsid w:val="070A91D8"/>
    <w:rsid w:val="070F2297"/>
    <w:rsid w:val="071047D3"/>
    <w:rsid w:val="0713003A"/>
    <w:rsid w:val="071D4344"/>
    <w:rsid w:val="072C70DF"/>
    <w:rsid w:val="0730A13C"/>
    <w:rsid w:val="0730E8F8"/>
    <w:rsid w:val="07399358"/>
    <w:rsid w:val="073B8396"/>
    <w:rsid w:val="074E640D"/>
    <w:rsid w:val="07500713"/>
    <w:rsid w:val="0751AC09"/>
    <w:rsid w:val="075CA6E1"/>
    <w:rsid w:val="075FBC36"/>
    <w:rsid w:val="07658A45"/>
    <w:rsid w:val="07660009"/>
    <w:rsid w:val="076AB85E"/>
    <w:rsid w:val="076F8E7F"/>
    <w:rsid w:val="0775FCBA"/>
    <w:rsid w:val="07819CC1"/>
    <w:rsid w:val="078443FD"/>
    <w:rsid w:val="0784627C"/>
    <w:rsid w:val="0798312A"/>
    <w:rsid w:val="079B3014"/>
    <w:rsid w:val="079E87AF"/>
    <w:rsid w:val="079EEB55"/>
    <w:rsid w:val="07A53458"/>
    <w:rsid w:val="07A6DB3C"/>
    <w:rsid w:val="07B8145D"/>
    <w:rsid w:val="07BC09DE"/>
    <w:rsid w:val="07C78B71"/>
    <w:rsid w:val="07C83A5A"/>
    <w:rsid w:val="07C9ACAC"/>
    <w:rsid w:val="07D1B35B"/>
    <w:rsid w:val="07D48ED5"/>
    <w:rsid w:val="07D49A15"/>
    <w:rsid w:val="07F42AAD"/>
    <w:rsid w:val="07F90CED"/>
    <w:rsid w:val="07F9D20E"/>
    <w:rsid w:val="07F9E4EE"/>
    <w:rsid w:val="07FDE67B"/>
    <w:rsid w:val="0809747C"/>
    <w:rsid w:val="080CBCDB"/>
    <w:rsid w:val="080CE007"/>
    <w:rsid w:val="080EC317"/>
    <w:rsid w:val="08134BFD"/>
    <w:rsid w:val="081C26DC"/>
    <w:rsid w:val="08266DC2"/>
    <w:rsid w:val="0828DB3E"/>
    <w:rsid w:val="082E2601"/>
    <w:rsid w:val="08311E7B"/>
    <w:rsid w:val="083C6615"/>
    <w:rsid w:val="083F0A1C"/>
    <w:rsid w:val="08455840"/>
    <w:rsid w:val="08464E71"/>
    <w:rsid w:val="08471A60"/>
    <w:rsid w:val="084AB9A6"/>
    <w:rsid w:val="084DDBCD"/>
    <w:rsid w:val="0857A09F"/>
    <w:rsid w:val="085B55D2"/>
    <w:rsid w:val="086D93C6"/>
    <w:rsid w:val="08753A22"/>
    <w:rsid w:val="087633C7"/>
    <w:rsid w:val="087AE9FB"/>
    <w:rsid w:val="087B2E5D"/>
    <w:rsid w:val="08805282"/>
    <w:rsid w:val="0881575D"/>
    <w:rsid w:val="08836A1F"/>
    <w:rsid w:val="0886FEBA"/>
    <w:rsid w:val="0891395E"/>
    <w:rsid w:val="0891C49C"/>
    <w:rsid w:val="0894F4E8"/>
    <w:rsid w:val="0895BA50"/>
    <w:rsid w:val="08989AF7"/>
    <w:rsid w:val="089A0F93"/>
    <w:rsid w:val="08A1066B"/>
    <w:rsid w:val="08A125B6"/>
    <w:rsid w:val="08A99F3F"/>
    <w:rsid w:val="08B05701"/>
    <w:rsid w:val="08B2836D"/>
    <w:rsid w:val="08BD3027"/>
    <w:rsid w:val="08C5DD91"/>
    <w:rsid w:val="08CCB584"/>
    <w:rsid w:val="08CF75D4"/>
    <w:rsid w:val="08D3F07C"/>
    <w:rsid w:val="08E0495C"/>
    <w:rsid w:val="08E2F94F"/>
    <w:rsid w:val="08EC6097"/>
    <w:rsid w:val="08EE2458"/>
    <w:rsid w:val="08F43FDD"/>
    <w:rsid w:val="09058C8D"/>
    <w:rsid w:val="09067A8B"/>
    <w:rsid w:val="0909E23E"/>
    <w:rsid w:val="090A8926"/>
    <w:rsid w:val="090E1570"/>
    <w:rsid w:val="0919767D"/>
    <w:rsid w:val="091C330F"/>
    <w:rsid w:val="092FA5DA"/>
    <w:rsid w:val="0931D171"/>
    <w:rsid w:val="0937BCC0"/>
    <w:rsid w:val="093EAE5C"/>
    <w:rsid w:val="0943CE32"/>
    <w:rsid w:val="094DB59F"/>
    <w:rsid w:val="094F7553"/>
    <w:rsid w:val="0950DC1B"/>
    <w:rsid w:val="095A1BC6"/>
    <w:rsid w:val="0964D4EC"/>
    <w:rsid w:val="09655B2B"/>
    <w:rsid w:val="09682970"/>
    <w:rsid w:val="096E2C04"/>
    <w:rsid w:val="09754C51"/>
    <w:rsid w:val="09779A2B"/>
    <w:rsid w:val="097B657F"/>
    <w:rsid w:val="097CED6C"/>
    <w:rsid w:val="09811556"/>
    <w:rsid w:val="09858EC3"/>
    <w:rsid w:val="09880BF1"/>
    <w:rsid w:val="09884C07"/>
    <w:rsid w:val="098B0E0A"/>
    <w:rsid w:val="0993F45A"/>
    <w:rsid w:val="09943077"/>
    <w:rsid w:val="0999884F"/>
    <w:rsid w:val="099A9CBF"/>
    <w:rsid w:val="099E8103"/>
    <w:rsid w:val="09A4447D"/>
    <w:rsid w:val="09B605E4"/>
    <w:rsid w:val="09C1087F"/>
    <w:rsid w:val="09C2734D"/>
    <w:rsid w:val="09C3136E"/>
    <w:rsid w:val="09C617FA"/>
    <w:rsid w:val="09CA332E"/>
    <w:rsid w:val="09CE361B"/>
    <w:rsid w:val="09CFE09B"/>
    <w:rsid w:val="09DBAEB5"/>
    <w:rsid w:val="09E3B99C"/>
    <w:rsid w:val="09EED25E"/>
    <w:rsid w:val="09F1B989"/>
    <w:rsid w:val="09F888F1"/>
    <w:rsid w:val="09FACFBC"/>
    <w:rsid w:val="09FB539B"/>
    <w:rsid w:val="09FBCE94"/>
    <w:rsid w:val="09FEDA22"/>
    <w:rsid w:val="0A03884E"/>
    <w:rsid w:val="0A0A6306"/>
    <w:rsid w:val="0A0B82E1"/>
    <w:rsid w:val="0A0CD9BF"/>
    <w:rsid w:val="0A0F59EB"/>
    <w:rsid w:val="0A111C23"/>
    <w:rsid w:val="0A19E165"/>
    <w:rsid w:val="0A1D80BF"/>
    <w:rsid w:val="0A1ECE23"/>
    <w:rsid w:val="0A1F9596"/>
    <w:rsid w:val="0A22CB75"/>
    <w:rsid w:val="0A236F4D"/>
    <w:rsid w:val="0A259F2F"/>
    <w:rsid w:val="0A47BBC4"/>
    <w:rsid w:val="0A57A0F7"/>
    <w:rsid w:val="0A5A87E7"/>
    <w:rsid w:val="0A5BE257"/>
    <w:rsid w:val="0A646386"/>
    <w:rsid w:val="0A6737F7"/>
    <w:rsid w:val="0A6AB947"/>
    <w:rsid w:val="0A77383B"/>
    <w:rsid w:val="0A7763A2"/>
    <w:rsid w:val="0A81F92F"/>
    <w:rsid w:val="0A885EB8"/>
    <w:rsid w:val="0A889CDF"/>
    <w:rsid w:val="0A8A09ED"/>
    <w:rsid w:val="0A922A2A"/>
    <w:rsid w:val="0A96DDB2"/>
    <w:rsid w:val="0A9D0639"/>
    <w:rsid w:val="0A9E5B58"/>
    <w:rsid w:val="0AA00E00"/>
    <w:rsid w:val="0AA08939"/>
    <w:rsid w:val="0AA4E7E3"/>
    <w:rsid w:val="0AAB1C0D"/>
    <w:rsid w:val="0AB067E3"/>
    <w:rsid w:val="0AB8A78E"/>
    <w:rsid w:val="0AB91DE8"/>
    <w:rsid w:val="0ABCB24B"/>
    <w:rsid w:val="0AC6F402"/>
    <w:rsid w:val="0AC9C603"/>
    <w:rsid w:val="0AD10215"/>
    <w:rsid w:val="0AD1550A"/>
    <w:rsid w:val="0AD97CDC"/>
    <w:rsid w:val="0AE4D824"/>
    <w:rsid w:val="0AE87B6A"/>
    <w:rsid w:val="0AED55D6"/>
    <w:rsid w:val="0AF58FFE"/>
    <w:rsid w:val="0AF62795"/>
    <w:rsid w:val="0AF7B416"/>
    <w:rsid w:val="0AFB63D9"/>
    <w:rsid w:val="0AFED167"/>
    <w:rsid w:val="0AFF9896"/>
    <w:rsid w:val="0B056A32"/>
    <w:rsid w:val="0B097787"/>
    <w:rsid w:val="0B0B3111"/>
    <w:rsid w:val="0B0F6CAD"/>
    <w:rsid w:val="0B1033D4"/>
    <w:rsid w:val="0B12C728"/>
    <w:rsid w:val="0B13DDD2"/>
    <w:rsid w:val="0B1866B7"/>
    <w:rsid w:val="0B1BD655"/>
    <w:rsid w:val="0B1EB0DE"/>
    <w:rsid w:val="0B1EC689"/>
    <w:rsid w:val="0B1EFB4E"/>
    <w:rsid w:val="0B2097F4"/>
    <w:rsid w:val="0B287EEF"/>
    <w:rsid w:val="0B2B5F0A"/>
    <w:rsid w:val="0B2D7137"/>
    <w:rsid w:val="0B37D79D"/>
    <w:rsid w:val="0B398E93"/>
    <w:rsid w:val="0B3BD23E"/>
    <w:rsid w:val="0B48EDB9"/>
    <w:rsid w:val="0B4DEA90"/>
    <w:rsid w:val="0B52782A"/>
    <w:rsid w:val="0B52A364"/>
    <w:rsid w:val="0B533287"/>
    <w:rsid w:val="0B53D56F"/>
    <w:rsid w:val="0B57A5D3"/>
    <w:rsid w:val="0B60A9D2"/>
    <w:rsid w:val="0B6169C5"/>
    <w:rsid w:val="0B6668F8"/>
    <w:rsid w:val="0B66C42C"/>
    <w:rsid w:val="0B749ACC"/>
    <w:rsid w:val="0B7D7F95"/>
    <w:rsid w:val="0B81F032"/>
    <w:rsid w:val="0B820A84"/>
    <w:rsid w:val="0B87CA44"/>
    <w:rsid w:val="0B88E335"/>
    <w:rsid w:val="0B89069D"/>
    <w:rsid w:val="0B8CFF71"/>
    <w:rsid w:val="0B92BB63"/>
    <w:rsid w:val="0B931196"/>
    <w:rsid w:val="0BA00253"/>
    <w:rsid w:val="0BA26EBE"/>
    <w:rsid w:val="0BA716EE"/>
    <w:rsid w:val="0BA9D97D"/>
    <w:rsid w:val="0BB0B144"/>
    <w:rsid w:val="0BB739A9"/>
    <w:rsid w:val="0BB73E02"/>
    <w:rsid w:val="0BC13D00"/>
    <w:rsid w:val="0BC8B0C9"/>
    <w:rsid w:val="0BCB3735"/>
    <w:rsid w:val="0BD24370"/>
    <w:rsid w:val="0BD49ADE"/>
    <w:rsid w:val="0BD7FDDD"/>
    <w:rsid w:val="0BDA716F"/>
    <w:rsid w:val="0BDFCFA5"/>
    <w:rsid w:val="0BE57004"/>
    <w:rsid w:val="0BF4C42F"/>
    <w:rsid w:val="0C00E604"/>
    <w:rsid w:val="0C049651"/>
    <w:rsid w:val="0C06BDBE"/>
    <w:rsid w:val="0C0CF0C6"/>
    <w:rsid w:val="0C0E86AD"/>
    <w:rsid w:val="0C14811C"/>
    <w:rsid w:val="0C1BF839"/>
    <w:rsid w:val="0C234A4F"/>
    <w:rsid w:val="0C437EA5"/>
    <w:rsid w:val="0C47A190"/>
    <w:rsid w:val="0C4A1217"/>
    <w:rsid w:val="0C4CA64A"/>
    <w:rsid w:val="0C4FC126"/>
    <w:rsid w:val="0C518A1A"/>
    <w:rsid w:val="0C521F1C"/>
    <w:rsid w:val="0C586469"/>
    <w:rsid w:val="0C58D155"/>
    <w:rsid w:val="0C5D0CD5"/>
    <w:rsid w:val="0C5E62BB"/>
    <w:rsid w:val="0C5F5DA3"/>
    <w:rsid w:val="0C62C9A9"/>
    <w:rsid w:val="0C6A2F99"/>
    <w:rsid w:val="0C6ADC67"/>
    <w:rsid w:val="0C6C4DA3"/>
    <w:rsid w:val="0C6CC49C"/>
    <w:rsid w:val="0C779A15"/>
    <w:rsid w:val="0C79B344"/>
    <w:rsid w:val="0C871CC9"/>
    <w:rsid w:val="0C879A09"/>
    <w:rsid w:val="0C889DF5"/>
    <w:rsid w:val="0C8C0B2D"/>
    <w:rsid w:val="0C9AF5E6"/>
    <w:rsid w:val="0CA936EE"/>
    <w:rsid w:val="0CACEDC9"/>
    <w:rsid w:val="0CB43BD7"/>
    <w:rsid w:val="0CB46A1E"/>
    <w:rsid w:val="0CC47B30"/>
    <w:rsid w:val="0CCBDFCC"/>
    <w:rsid w:val="0CCE2D68"/>
    <w:rsid w:val="0CCE3A22"/>
    <w:rsid w:val="0CD358D0"/>
    <w:rsid w:val="0CD3DD68"/>
    <w:rsid w:val="0CD4EDE3"/>
    <w:rsid w:val="0CD94A80"/>
    <w:rsid w:val="0CDBFE33"/>
    <w:rsid w:val="0CE49F40"/>
    <w:rsid w:val="0CEDC6A9"/>
    <w:rsid w:val="0CF1D4F5"/>
    <w:rsid w:val="0CF59EB5"/>
    <w:rsid w:val="0CF6C6CB"/>
    <w:rsid w:val="0CFA2000"/>
    <w:rsid w:val="0D070212"/>
    <w:rsid w:val="0D0D7CB9"/>
    <w:rsid w:val="0D0EE811"/>
    <w:rsid w:val="0D14071C"/>
    <w:rsid w:val="0D1DB10F"/>
    <w:rsid w:val="0D21F03A"/>
    <w:rsid w:val="0D22309B"/>
    <w:rsid w:val="0D25848C"/>
    <w:rsid w:val="0D25A111"/>
    <w:rsid w:val="0D268F59"/>
    <w:rsid w:val="0D27B141"/>
    <w:rsid w:val="0D2C62E2"/>
    <w:rsid w:val="0D2CE386"/>
    <w:rsid w:val="0D3595EF"/>
    <w:rsid w:val="0D39CED2"/>
    <w:rsid w:val="0D3C1C86"/>
    <w:rsid w:val="0D3F8271"/>
    <w:rsid w:val="0D4137A9"/>
    <w:rsid w:val="0D429D46"/>
    <w:rsid w:val="0D45D42C"/>
    <w:rsid w:val="0D4ABA54"/>
    <w:rsid w:val="0D4DD851"/>
    <w:rsid w:val="0D55DF05"/>
    <w:rsid w:val="0D5C1CCE"/>
    <w:rsid w:val="0D771F1C"/>
    <w:rsid w:val="0D77C7B7"/>
    <w:rsid w:val="0D788E6B"/>
    <w:rsid w:val="0D7B2586"/>
    <w:rsid w:val="0D7F57C2"/>
    <w:rsid w:val="0D8CAC2F"/>
    <w:rsid w:val="0D8F02C2"/>
    <w:rsid w:val="0D8FC281"/>
    <w:rsid w:val="0D8FFD3B"/>
    <w:rsid w:val="0D902808"/>
    <w:rsid w:val="0D99B86B"/>
    <w:rsid w:val="0DA0000C"/>
    <w:rsid w:val="0DA71EA0"/>
    <w:rsid w:val="0DA817AF"/>
    <w:rsid w:val="0DA82F75"/>
    <w:rsid w:val="0DA8B30B"/>
    <w:rsid w:val="0DAD6D67"/>
    <w:rsid w:val="0DB0AB24"/>
    <w:rsid w:val="0DB1B2DE"/>
    <w:rsid w:val="0DB38916"/>
    <w:rsid w:val="0DBB64DF"/>
    <w:rsid w:val="0DBCF66A"/>
    <w:rsid w:val="0DBD7303"/>
    <w:rsid w:val="0DC3E0C3"/>
    <w:rsid w:val="0DD0412B"/>
    <w:rsid w:val="0DD0A8E4"/>
    <w:rsid w:val="0DD111DE"/>
    <w:rsid w:val="0DDC86D7"/>
    <w:rsid w:val="0DDD184B"/>
    <w:rsid w:val="0DDE5820"/>
    <w:rsid w:val="0DE9DB3E"/>
    <w:rsid w:val="0DEBBE35"/>
    <w:rsid w:val="0DEDA178"/>
    <w:rsid w:val="0DF00CD8"/>
    <w:rsid w:val="0DF42D21"/>
    <w:rsid w:val="0DF921E6"/>
    <w:rsid w:val="0DFB23DB"/>
    <w:rsid w:val="0DFCA96E"/>
    <w:rsid w:val="0DFD402B"/>
    <w:rsid w:val="0DFDE019"/>
    <w:rsid w:val="0DFF8608"/>
    <w:rsid w:val="0E193A25"/>
    <w:rsid w:val="0E193E7C"/>
    <w:rsid w:val="0E199B7C"/>
    <w:rsid w:val="0E20272C"/>
    <w:rsid w:val="0E20B59C"/>
    <w:rsid w:val="0E221D4A"/>
    <w:rsid w:val="0E31F570"/>
    <w:rsid w:val="0E371711"/>
    <w:rsid w:val="0E3C342F"/>
    <w:rsid w:val="0E3E8006"/>
    <w:rsid w:val="0E3F2D7B"/>
    <w:rsid w:val="0E433018"/>
    <w:rsid w:val="0E437655"/>
    <w:rsid w:val="0E48DDA9"/>
    <w:rsid w:val="0E4F3B19"/>
    <w:rsid w:val="0E51949E"/>
    <w:rsid w:val="0E527014"/>
    <w:rsid w:val="0E570E1F"/>
    <w:rsid w:val="0E5C73BC"/>
    <w:rsid w:val="0E5F1F24"/>
    <w:rsid w:val="0E67B850"/>
    <w:rsid w:val="0E6B3F62"/>
    <w:rsid w:val="0E6FBA56"/>
    <w:rsid w:val="0E6FEB78"/>
    <w:rsid w:val="0E70B845"/>
    <w:rsid w:val="0E75478A"/>
    <w:rsid w:val="0E79498E"/>
    <w:rsid w:val="0E7E4508"/>
    <w:rsid w:val="0E7EFFD9"/>
    <w:rsid w:val="0E8AF80B"/>
    <w:rsid w:val="0E92DC4A"/>
    <w:rsid w:val="0EA64B45"/>
    <w:rsid w:val="0EA756F1"/>
    <w:rsid w:val="0EA89273"/>
    <w:rsid w:val="0EAA1210"/>
    <w:rsid w:val="0EB10888"/>
    <w:rsid w:val="0EB208A0"/>
    <w:rsid w:val="0EB249F4"/>
    <w:rsid w:val="0EC16853"/>
    <w:rsid w:val="0EC9EA46"/>
    <w:rsid w:val="0ECB9853"/>
    <w:rsid w:val="0ECD17B7"/>
    <w:rsid w:val="0EDA5B6B"/>
    <w:rsid w:val="0EDEA551"/>
    <w:rsid w:val="0EE6A0C6"/>
    <w:rsid w:val="0EE74B7E"/>
    <w:rsid w:val="0EEA23FB"/>
    <w:rsid w:val="0EEA6012"/>
    <w:rsid w:val="0EED7C76"/>
    <w:rsid w:val="0EF0CE3E"/>
    <w:rsid w:val="0EF20D98"/>
    <w:rsid w:val="0EF31485"/>
    <w:rsid w:val="0EF3E744"/>
    <w:rsid w:val="0EF56CAE"/>
    <w:rsid w:val="0EFEE94F"/>
    <w:rsid w:val="0EFF2F69"/>
    <w:rsid w:val="0F04D3CF"/>
    <w:rsid w:val="0F08B99A"/>
    <w:rsid w:val="0F0F476F"/>
    <w:rsid w:val="0F10EFDD"/>
    <w:rsid w:val="0F16867A"/>
    <w:rsid w:val="0F17C076"/>
    <w:rsid w:val="0F28D996"/>
    <w:rsid w:val="0F2C426E"/>
    <w:rsid w:val="0F2D8487"/>
    <w:rsid w:val="0F30A73E"/>
    <w:rsid w:val="0F35CB09"/>
    <w:rsid w:val="0F3AF802"/>
    <w:rsid w:val="0F3E5210"/>
    <w:rsid w:val="0F5096E8"/>
    <w:rsid w:val="0F50BE90"/>
    <w:rsid w:val="0F523780"/>
    <w:rsid w:val="0F52718E"/>
    <w:rsid w:val="0F57F1A2"/>
    <w:rsid w:val="0F59BD4E"/>
    <w:rsid w:val="0F5A580B"/>
    <w:rsid w:val="0F5E6595"/>
    <w:rsid w:val="0F6B36A7"/>
    <w:rsid w:val="0F6DC7E4"/>
    <w:rsid w:val="0F701F7D"/>
    <w:rsid w:val="0F7A8593"/>
    <w:rsid w:val="0F7ADDA1"/>
    <w:rsid w:val="0F91BC74"/>
    <w:rsid w:val="0F932904"/>
    <w:rsid w:val="0F9AA615"/>
    <w:rsid w:val="0FA74D8E"/>
    <w:rsid w:val="0FAF022C"/>
    <w:rsid w:val="0FB3BB95"/>
    <w:rsid w:val="0FC0B950"/>
    <w:rsid w:val="0FC41C97"/>
    <w:rsid w:val="0FC5F996"/>
    <w:rsid w:val="0FC79906"/>
    <w:rsid w:val="0FCD16BA"/>
    <w:rsid w:val="0FD841A9"/>
    <w:rsid w:val="0FDBC3BE"/>
    <w:rsid w:val="0FE8E60B"/>
    <w:rsid w:val="0FECAC78"/>
    <w:rsid w:val="0FEE5455"/>
    <w:rsid w:val="0FF70258"/>
    <w:rsid w:val="0FFCB321"/>
    <w:rsid w:val="1001140C"/>
    <w:rsid w:val="1007E833"/>
    <w:rsid w:val="10127345"/>
    <w:rsid w:val="1015360F"/>
    <w:rsid w:val="1019B419"/>
    <w:rsid w:val="1020AC3F"/>
    <w:rsid w:val="1023FC7C"/>
    <w:rsid w:val="10246EC9"/>
    <w:rsid w:val="10277260"/>
    <w:rsid w:val="102772C5"/>
    <w:rsid w:val="1035A948"/>
    <w:rsid w:val="10387E2A"/>
    <w:rsid w:val="1041D91B"/>
    <w:rsid w:val="10443FAC"/>
    <w:rsid w:val="104FF5F8"/>
    <w:rsid w:val="105311CB"/>
    <w:rsid w:val="1056260E"/>
    <w:rsid w:val="1058D733"/>
    <w:rsid w:val="10681481"/>
    <w:rsid w:val="106EC790"/>
    <w:rsid w:val="10732803"/>
    <w:rsid w:val="107D46E4"/>
    <w:rsid w:val="108044E6"/>
    <w:rsid w:val="10880B4B"/>
    <w:rsid w:val="108F2AEE"/>
    <w:rsid w:val="1090C10B"/>
    <w:rsid w:val="109151A5"/>
    <w:rsid w:val="10927A1B"/>
    <w:rsid w:val="1093ED57"/>
    <w:rsid w:val="109CD681"/>
    <w:rsid w:val="109F3ED8"/>
    <w:rsid w:val="10A24F5C"/>
    <w:rsid w:val="10A5A027"/>
    <w:rsid w:val="10A62854"/>
    <w:rsid w:val="10B0FED7"/>
    <w:rsid w:val="10B5916A"/>
    <w:rsid w:val="10BFEA2E"/>
    <w:rsid w:val="10C51DD5"/>
    <w:rsid w:val="10C903B8"/>
    <w:rsid w:val="10CBBC7A"/>
    <w:rsid w:val="10CDCCF2"/>
    <w:rsid w:val="10CF7E47"/>
    <w:rsid w:val="10D45D89"/>
    <w:rsid w:val="10D8F857"/>
    <w:rsid w:val="10DA9ACD"/>
    <w:rsid w:val="10E46604"/>
    <w:rsid w:val="10E8DE60"/>
    <w:rsid w:val="10EB4790"/>
    <w:rsid w:val="10EC62F0"/>
    <w:rsid w:val="10ECBA50"/>
    <w:rsid w:val="1106BC2C"/>
    <w:rsid w:val="1107849C"/>
    <w:rsid w:val="110F6B94"/>
    <w:rsid w:val="111BFC26"/>
    <w:rsid w:val="11204DD0"/>
    <w:rsid w:val="11253BD3"/>
    <w:rsid w:val="112F7819"/>
    <w:rsid w:val="1133783E"/>
    <w:rsid w:val="11353A4E"/>
    <w:rsid w:val="11369A31"/>
    <w:rsid w:val="1139CA50"/>
    <w:rsid w:val="1149171A"/>
    <w:rsid w:val="114D9C4E"/>
    <w:rsid w:val="114EEADF"/>
    <w:rsid w:val="11547F9F"/>
    <w:rsid w:val="11571EC5"/>
    <w:rsid w:val="116726F6"/>
    <w:rsid w:val="1169EB86"/>
    <w:rsid w:val="1170A4F3"/>
    <w:rsid w:val="1171D6D9"/>
    <w:rsid w:val="1173989A"/>
    <w:rsid w:val="11763DCC"/>
    <w:rsid w:val="117BFC88"/>
    <w:rsid w:val="11962DF9"/>
    <w:rsid w:val="11974FEC"/>
    <w:rsid w:val="119CA9D9"/>
    <w:rsid w:val="119F548A"/>
    <w:rsid w:val="11A1B93B"/>
    <w:rsid w:val="11A61DCD"/>
    <w:rsid w:val="11A7AC27"/>
    <w:rsid w:val="11AD90FC"/>
    <w:rsid w:val="11ADD7DA"/>
    <w:rsid w:val="11AE512F"/>
    <w:rsid w:val="11B4FC8C"/>
    <w:rsid w:val="11BF89C6"/>
    <w:rsid w:val="11C6C756"/>
    <w:rsid w:val="11CABC71"/>
    <w:rsid w:val="11CD15F5"/>
    <w:rsid w:val="11D02501"/>
    <w:rsid w:val="11D34DEC"/>
    <w:rsid w:val="11D5FCEA"/>
    <w:rsid w:val="11DE6FBC"/>
    <w:rsid w:val="11DFB278"/>
    <w:rsid w:val="11E9C273"/>
    <w:rsid w:val="11EA13D9"/>
    <w:rsid w:val="11ED6621"/>
    <w:rsid w:val="11ED8A29"/>
    <w:rsid w:val="11F5BFDB"/>
    <w:rsid w:val="11F6385E"/>
    <w:rsid w:val="11F8ACB6"/>
    <w:rsid w:val="1204EA41"/>
    <w:rsid w:val="12052E0E"/>
    <w:rsid w:val="12069561"/>
    <w:rsid w:val="1208330F"/>
    <w:rsid w:val="120A7D10"/>
    <w:rsid w:val="120AE4AD"/>
    <w:rsid w:val="120E9C0F"/>
    <w:rsid w:val="12136C7B"/>
    <w:rsid w:val="1214C109"/>
    <w:rsid w:val="12163983"/>
    <w:rsid w:val="121E7F35"/>
    <w:rsid w:val="1231FD66"/>
    <w:rsid w:val="12330C8D"/>
    <w:rsid w:val="12337B36"/>
    <w:rsid w:val="1233A457"/>
    <w:rsid w:val="1237F835"/>
    <w:rsid w:val="12389830"/>
    <w:rsid w:val="123DDA9B"/>
    <w:rsid w:val="12401FE2"/>
    <w:rsid w:val="124424CE"/>
    <w:rsid w:val="1248285D"/>
    <w:rsid w:val="12492B11"/>
    <w:rsid w:val="1249F53F"/>
    <w:rsid w:val="124C04F4"/>
    <w:rsid w:val="1262DBB6"/>
    <w:rsid w:val="1263227A"/>
    <w:rsid w:val="12687A2A"/>
    <w:rsid w:val="126E7008"/>
    <w:rsid w:val="126ED667"/>
    <w:rsid w:val="127B8594"/>
    <w:rsid w:val="12809C2A"/>
    <w:rsid w:val="12824273"/>
    <w:rsid w:val="128542F9"/>
    <w:rsid w:val="12869A95"/>
    <w:rsid w:val="12876697"/>
    <w:rsid w:val="128CBA4F"/>
    <w:rsid w:val="128D5EBA"/>
    <w:rsid w:val="12919489"/>
    <w:rsid w:val="1291E969"/>
    <w:rsid w:val="1292EEAA"/>
    <w:rsid w:val="129C521F"/>
    <w:rsid w:val="129F253B"/>
    <w:rsid w:val="12A739DB"/>
    <w:rsid w:val="12A80A2F"/>
    <w:rsid w:val="12AB9F3E"/>
    <w:rsid w:val="12AF5D89"/>
    <w:rsid w:val="12AFA1A8"/>
    <w:rsid w:val="12B27E63"/>
    <w:rsid w:val="12B4D761"/>
    <w:rsid w:val="12B8E0EC"/>
    <w:rsid w:val="12BC53FF"/>
    <w:rsid w:val="12BCD711"/>
    <w:rsid w:val="12BCFDA4"/>
    <w:rsid w:val="12BE7477"/>
    <w:rsid w:val="12BF2920"/>
    <w:rsid w:val="12C69054"/>
    <w:rsid w:val="12C98683"/>
    <w:rsid w:val="12D298A1"/>
    <w:rsid w:val="12D41BEF"/>
    <w:rsid w:val="12DC2A04"/>
    <w:rsid w:val="12E287F0"/>
    <w:rsid w:val="12E5B4B6"/>
    <w:rsid w:val="12E97506"/>
    <w:rsid w:val="12EBD219"/>
    <w:rsid w:val="12FFA8F1"/>
    <w:rsid w:val="13046E01"/>
    <w:rsid w:val="13075FF9"/>
    <w:rsid w:val="13078164"/>
    <w:rsid w:val="13151E36"/>
    <w:rsid w:val="1319BE16"/>
    <w:rsid w:val="131CBA67"/>
    <w:rsid w:val="131E8E6A"/>
    <w:rsid w:val="131F9529"/>
    <w:rsid w:val="13260E98"/>
    <w:rsid w:val="1327005C"/>
    <w:rsid w:val="132A9017"/>
    <w:rsid w:val="132E075F"/>
    <w:rsid w:val="13321992"/>
    <w:rsid w:val="133EA9F2"/>
    <w:rsid w:val="1349C78A"/>
    <w:rsid w:val="134CDB80"/>
    <w:rsid w:val="1350406B"/>
    <w:rsid w:val="1368EEC3"/>
    <w:rsid w:val="1368FE02"/>
    <w:rsid w:val="136EF9ED"/>
    <w:rsid w:val="137A5846"/>
    <w:rsid w:val="137A793F"/>
    <w:rsid w:val="13818008"/>
    <w:rsid w:val="1384E80C"/>
    <w:rsid w:val="13856032"/>
    <w:rsid w:val="138E72FE"/>
    <w:rsid w:val="13914207"/>
    <w:rsid w:val="1394F0B3"/>
    <w:rsid w:val="139B4BD4"/>
    <w:rsid w:val="139C218B"/>
    <w:rsid w:val="139E192B"/>
    <w:rsid w:val="13A28E3C"/>
    <w:rsid w:val="13A31F9D"/>
    <w:rsid w:val="13A51D13"/>
    <w:rsid w:val="13AAFE3E"/>
    <w:rsid w:val="13AD55A2"/>
    <w:rsid w:val="13B0D893"/>
    <w:rsid w:val="13CBD697"/>
    <w:rsid w:val="13CFE2AA"/>
    <w:rsid w:val="13D334DD"/>
    <w:rsid w:val="13D4A7B9"/>
    <w:rsid w:val="13D7736F"/>
    <w:rsid w:val="13D7ECF9"/>
    <w:rsid w:val="13E06B0B"/>
    <w:rsid w:val="13E3225C"/>
    <w:rsid w:val="13E34DE0"/>
    <w:rsid w:val="13F16DCC"/>
    <w:rsid w:val="13F7A768"/>
    <w:rsid w:val="14066ACF"/>
    <w:rsid w:val="141504F9"/>
    <w:rsid w:val="14191DCA"/>
    <w:rsid w:val="141B7152"/>
    <w:rsid w:val="142155CE"/>
    <w:rsid w:val="1430AAA6"/>
    <w:rsid w:val="14313660"/>
    <w:rsid w:val="1434F8EF"/>
    <w:rsid w:val="1436AC48"/>
    <w:rsid w:val="14434524"/>
    <w:rsid w:val="144BD867"/>
    <w:rsid w:val="14537741"/>
    <w:rsid w:val="145474C5"/>
    <w:rsid w:val="1455AA44"/>
    <w:rsid w:val="1459D605"/>
    <w:rsid w:val="145B6FC9"/>
    <w:rsid w:val="145C9892"/>
    <w:rsid w:val="14607038"/>
    <w:rsid w:val="14657FED"/>
    <w:rsid w:val="1466A21C"/>
    <w:rsid w:val="146980AE"/>
    <w:rsid w:val="1469C571"/>
    <w:rsid w:val="1471D812"/>
    <w:rsid w:val="147DB3E8"/>
    <w:rsid w:val="1480038D"/>
    <w:rsid w:val="14841E8E"/>
    <w:rsid w:val="14848FBB"/>
    <w:rsid w:val="148AD7A0"/>
    <w:rsid w:val="148CA07D"/>
    <w:rsid w:val="149828C1"/>
    <w:rsid w:val="149C9981"/>
    <w:rsid w:val="14A61006"/>
    <w:rsid w:val="14B08400"/>
    <w:rsid w:val="14B30FE9"/>
    <w:rsid w:val="14B4A359"/>
    <w:rsid w:val="14B58447"/>
    <w:rsid w:val="14B80E53"/>
    <w:rsid w:val="14BAEAF8"/>
    <w:rsid w:val="14BB1BD6"/>
    <w:rsid w:val="14C806B2"/>
    <w:rsid w:val="14CB2E93"/>
    <w:rsid w:val="14CCFB77"/>
    <w:rsid w:val="14CEF2F1"/>
    <w:rsid w:val="14E04E5E"/>
    <w:rsid w:val="14E603D1"/>
    <w:rsid w:val="14E67664"/>
    <w:rsid w:val="14E8B8EE"/>
    <w:rsid w:val="14EE2BAA"/>
    <w:rsid w:val="14F091FD"/>
    <w:rsid w:val="14F0D2A3"/>
    <w:rsid w:val="14F3479B"/>
    <w:rsid w:val="14F3ADC9"/>
    <w:rsid w:val="14FCDE92"/>
    <w:rsid w:val="150190D6"/>
    <w:rsid w:val="1502491F"/>
    <w:rsid w:val="15105F89"/>
    <w:rsid w:val="1512A7F1"/>
    <w:rsid w:val="1515A6AF"/>
    <w:rsid w:val="15236B5A"/>
    <w:rsid w:val="152591EE"/>
    <w:rsid w:val="15286430"/>
    <w:rsid w:val="152C0D14"/>
    <w:rsid w:val="152D8BC8"/>
    <w:rsid w:val="1531E578"/>
    <w:rsid w:val="15331CC1"/>
    <w:rsid w:val="15338172"/>
    <w:rsid w:val="1537C26B"/>
    <w:rsid w:val="153825EC"/>
    <w:rsid w:val="153AEEFD"/>
    <w:rsid w:val="153FEE90"/>
    <w:rsid w:val="15426224"/>
    <w:rsid w:val="154F2043"/>
    <w:rsid w:val="1551E5A6"/>
    <w:rsid w:val="1559F8B8"/>
    <w:rsid w:val="156DB601"/>
    <w:rsid w:val="15780918"/>
    <w:rsid w:val="157F0D46"/>
    <w:rsid w:val="1581236A"/>
    <w:rsid w:val="1583D89A"/>
    <w:rsid w:val="1585DC31"/>
    <w:rsid w:val="158B0A4E"/>
    <w:rsid w:val="1594EB59"/>
    <w:rsid w:val="15960110"/>
    <w:rsid w:val="1598EBA4"/>
    <w:rsid w:val="159F2836"/>
    <w:rsid w:val="15A1B85B"/>
    <w:rsid w:val="15A3775C"/>
    <w:rsid w:val="15ADE812"/>
    <w:rsid w:val="15B52D51"/>
    <w:rsid w:val="15BD08DF"/>
    <w:rsid w:val="15C9ADAE"/>
    <w:rsid w:val="15D43E8B"/>
    <w:rsid w:val="15D9BF28"/>
    <w:rsid w:val="15D9EACE"/>
    <w:rsid w:val="15E3A138"/>
    <w:rsid w:val="15F03D15"/>
    <w:rsid w:val="15F1032C"/>
    <w:rsid w:val="15F1268D"/>
    <w:rsid w:val="15F45A13"/>
    <w:rsid w:val="15F88BC1"/>
    <w:rsid w:val="15F892F4"/>
    <w:rsid w:val="15FDA300"/>
    <w:rsid w:val="16074906"/>
    <w:rsid w:val="16094D43"/>
    <w:rsid w:val="161A3CE5"/>
    <w:rsid w:val="162A1ADC"/>
    <w:rsid w:val="162CB205"/>
    <w:rsid w:val="16333846"/>
    <w:rsid w:val="16576776"/>
    <w:rsid w:val="165C4198"/>
    <w:rsid w:val="165D9BBD"/>
    <w:rsid w:val="165E3273"/>
    <w:rsid w:val="165EAA00"/>
    <w:rsid w:val="1663EBA6"/>
    <w:rsid w:val="16674757"/>
    <w:rsid w:val="16677B25"/>
    <w:rsid w:val="166873DB"/>
    <w:rsid w:val="16688D2D"/>
    <w:rsid w:val="1669BC3E"/>
    <w:rsid w:val="166B4B2F"/>
    <w:rsid w:val="167B386A"/>
    <w:rsid w:val="167D407E"/>
    <w:rsid w:val="167EC49D"/>
    <w:rsid w:val="1680CB59"/>
    <w:rsid w:val="1685EACB"/>
    <w:rsid w:val="16862102"/>
    <w:rsid w:val="168C662E"/>
    <w:rsid w:val="168E80AF"/>
    <w:rsid w:val="16A02A65"/>
    <w:rsid w:val="16A34127"/>
    <w:rsid w:val="16A66F38"/>
    <w:rsid w:val="16AB377F"/>
    <w:rsid w:val="16AECFC1"/>
    <w:rsid w:val="16B2CFC7"/>
    <w:rsid w:val="16B6DA2E"/>
    <w:rsid w:val="16BEB0A4"/>
    <w:rsid w:val="16BF13AB"/>
    <w:rsid w:val="16C2D656"/>
    <w:rsid w:val="16C6A810"/>
    <w:rsid w:val="16CBC503"/>
    <w:rsid w:val="16D5E69F"/>
    <w:rsid w:val="16D97D72"/>
    <w:rsid w:val="16DB567B"/>
    <w:rsid w:val="16E09B11"/>
    <w:rsid w:val="16E7E37E"/>
    <w:rsid w:val="16E8EA09"/>
    <w:rsid w:val="16EB8236"/>
    <w:rsid w:val="16ECB279"/>
    <w:rsid w:val="16F671D8"/>
    <w:rsid w:val="16FAFBFA"/>
    <w:rsid w:val="16FE4594"/>
    <w:rsid w:val="1700EC70"/>
    <w:rsid w:val="170A6DF8"/>
    <w:rsid w:val="170DF078"/>
    <w:rsid w:val="170F038C"/>
    <w:rsid w:val="17117819"/>
    <w:rsid w:val="172100A7"/>
    <w:rsid w:val="1722B198"/>
    <w:rsid w:val="17316CE7"/>
    <w:rsid w:val="1734A1D8"/>
    <w:rsid w:val="173542F0"/>
    <w:rsid w:val="1745F998"/>
    <w:rsid w:val="174BE4A2"/>
    <w:rsid w:val="17505E7D"/>
    <w:rsid w:val="1750C27E"/>
    <w:rsid w:val="17588C72"/>
    <w:rsid w:val="1758C009"/>
    <w:rsid w:val="17593A26"/>
    <w:rsid w:val="17599C9B"/>
    <w:rsid w:val="175B5870"/>
    <w:rsid w:val="175BD437"/>
    <w:rsid w:val="17691F95"/>
    <w:rsid w:val="176A1B0A"/>
    <w:rsid w:val="176E85A3"/>
    <w:rsid w:val="17755E67"/>
    <w:rsid w:val="177D6C87"/>
    <w:rsid w:val="177EBD4B"/>
    <w:rsid w:val="178635B5"/>
    <w:rsid w:val="1786E29C"/>
    <w:rsid w:val="17935CA7"/>
    <w:rsid w:val="17ADF225"/>
    <w:rsid w:val="17B2023F"/>
    <w:rsid w:val="17B25EB8"/>
    <w:rsid w:val="17B5392D"/>
    <w:rsid w:val="17BA69FE"/>
    <w:rsid w:val="17C808C6"/>
    <w:rsid w:val="17CB9587"/>
    <w:rsid w:val="17CE5F6E"/>
    <w:rsid w:val="17D43C93"/>
    <w:rsid w:val="17D65625"/>
    <w:rsid w:val="17D9D6F6"/>
    <w:rsid w:val="17E2CD80"/>
    <w:rsid w:val="17F74A00"/>
    <w:rsid w:val="17F8AA9B"/>
    <w:rsid w:val="17FA05F8"/>
    <w:rsid w:val="17FC2437"/>
    <w:rsid w:val="17FFA898"/>
    <w:rsid w:val="18018E33"/>
    <w:rsid w:val="181113DC"/>
    <w:rsid w:val="1816A575"/>
    <w:rsid w:val="181C1180"/>
    <w:rsid w:val="181EF99D"/>
    <w:rsid w:val="1821DDF9"/>
    <w:rsid w:val="18238293"/>
    <w:rsid w:val="1827665E"/>
    <w:rsid w:val="1827D510"/>
    <w:rsid w:val="18283A17"/>
    <w:rsid w:val="18289DA2"/>
    <w:rsid w:val="18293005"/>
    <w:rsid w:val="183368B6"/>
    <w:rsid w:val="18397224"/>
    <w:rsid w:val="18402420"/>
    <w:rsid w:val="1847524A"/>
    <w:rsid w:val="18495696"/>
    <w:rsid w:val="184A587E"/>
    <w:rsid w:val="185E1153"/>
    <w:rsid w:val="18677503"/>
    <w:rsid w:val="1867B997"/>
    <w:rsid w:val="186C6E90"/>
    <w:rsid w:val="186CE1D7"/>
    <w:rsid w:val="18701AC2"/>
    <w:rsid w:val="1874463A"/>
    <w:rsid w:val="187AC261"/>
    <w:rsid w:val="187CD558"/>
    <w:rsid w:val="187E6922"/>
    <w:rsid w:val="1884A248"/>
    <w:rsid w:val="18860CF4"/>
    <w:rsid w:val="18885D95"/>
    <w:rsid w:val="188B2895"/>
    <w:rsid w:val="188CB01C"/>
    <w:rsid w:val="188D40B1"/>
    <w:rsid w:val="1899B667"/>
    <w:rsid w:val="189A0EE0"/>
    <w:rsid w:val="189FE706"/>
    <w:rsid w:val="18A26A64"/>
    <w:rsid w:val="18AB01DE"/>
    <w:rsid w:val="18ABB665"/>
    <w:rsid w:val="18B145BB"/>
    <w:rsid w:val="18B931BA"/>
    <w:rsid w:val="18BDA495"/>
    <w:rsid w:val="18BDE59F"/>
    <w:rsid w:val="18BF0792"/>
    <w:rsid w:val="18C62BD7"/>
    <w:rsid w:val="18CF5055"/>
    <w:rsid w:val="18D02A48"/>
    <w:rsid w:val="18D9ED39"/>
    <w:rsid w:val="18DAD2FF"/>
    <w:rsid w:val="18DEDAFF"/>
    <w:rsid w:val="18E5E9DB"/>
    <w:rsid w:val="18EF52A4"/>
    <w:rsid w:val="18F15EF6"/>
    <w:rsid w:val="18F68E65"/>
    <w:rsid w:val="18FD3494"/>
    <w:rsid w:val="190C8540"/>
    <w:rsid w:val="190ECE0E"/>
    <w:rsid w:val="190FD5D2"/>
    <w:rsid w:val="19123272"/>
    <w:rsid w:val="19132F3E"/>
    <w:rsid w:val="19174B36"/>
    <w:rsid w:val="191905D0"/>
    <w:rsid w:val="192AC070"/>
    <w:rsid w:val="192B4A74"/>
    <w:rsid w:val="193B54E2"/>
    <w:rsid w:val="193F453E"/>
    <w:rsid w:val="194375DC"/>
    <w:rsid w:val="19439FA6"/>
    <w:rsid w:val="194D86D7"/>
    <w:rsid w:val="1955B24E"/>
    <w:rsid w:val="1956E025"/>
    <w:rsid w:val="1959AA72"/>
    <w:rsid w:val="195B472F"/>
    <w:rsid w:val="195F8E98"/>
    <w:rsid w:val="1966F871"/>
    <w:rsid w:val="19718F54"/>
    <w:rsid w:val="19719FD7"/>
    <w:rsid w:val="1971CE9C"/>
    <w:rsid w:val="197D3726"/>
    <w:rsid w:val="197F3570"/>
    <w:rsid w:val="19855139"/>
    <w:rsid w:val="1986E649"/>
    <w:rsid w:val="19893B31"/>
    <w:rsid w:val="19932AF0"/>
    <w:rsid w:val="1999B624"/>
    <w:rsid w:val="199FDCE6"/>
    <w:rsid w:val="19A5AD75"/>
    <w:rsid w:val="19A6345F"/>
    <w:rsid w:val="19A9CD2F"/>
    <w:rsid w:val="19AE3D6C"/>
    <w:rsid w:val="19AEE030"/>
    <w:rsid w:val="19BBD420"/>
    <w:rsid w:val="19BCE287"/>
    <w:rsid w:val="19C086F1"/>
    <w:rsid w:val="19C6D31B"/>
    <w:rsid w:val="19C7DB9D"/>
    <w:rsid w:val="19CC61BE"/>
    <w:rsid w:val="19D099BD"/>
    <w:rsid w:val="19DEF03B"/>
    <w:rsid w:val="19E259BB"/>
    <w:rsid w:val="19E2C274"/>
    <w:rsid w:val="19E2CC5C"/>
    <w:rsid w:val="19E4CE46"/>
    <w:rsid w:val="19E59B76"/>
    <w:rsid w:val="19E66CD1"/>
    <w:rsid w:val="19E6E321"/>
    <w:rsid w:val="19E78AF4"/>
    <w:rsid w:val="19ED06B2"/>
    <w:rsid w:val="19EDE108"/>
    <w:rsid w:val="19FAF358"/>
    <w:rsid w:val="1A047149"/>
    <w:rsid w:val="1A08FEFD"/>
    <w:rsid w:val="1A0B1A04"/>
    <w:rsid w:val="1A0E217B"/>
    <w:rsid w:val="1A142E77"/>
    <w:rsid w:val="1A16AD4F"/>
    <w:rsid w:val="1A182382"/>
    <w:rsid w:val="1A1C34D6"/>
    <w:rsid w:val="1A1EA408"/>
    <w:rsid w:val="1A231B58"/>
    <w:rsid w:val="1A25C5C5"/>
    <w:rsid w:val="1A26B8A8"/>
    <w:rsid w:val="1A3126E6"/>
    <w:rsid w:val="1A31C9EC"/>
    <w:rsid w:val="1A31DD80"/>
    <w:rsid w:val="1A321AAC"/>
    <w:rsid w:val="1A3543DC"/>
    <w:rsid w:val="1A3FA9C1"/>
    <w:rsid w:val="1A43745B"/>
    <w:rsid w:val="1A4A3940"/>
    <w:rsid w:val="1A4BF121"/>
    <w:rsid w:val="1A51136E"/>
    <w:rsid w:val="1A52A16F"/>
    <w:rsid w:val="1A5320D7"/>
    <w:rsid w:val="1A536C92"/>
    <w:rsid w:val="1A54A3FC"/>
    <w:rsid w:val="1A564D94"/>
    <w:rsid w:val="1A587E2D"/>
    <w:rsid w:val="1A596784"/>
    <w:rsid w:val="1A61F445"/>
    <w:rsid w:val="1A652623"/>
    <w:rsid w:val="1A6B8551"/>
    <w:rsid w:val="1A702F2D"/>
    <w:rsid w:val="1A71A917"/>
    <w:rsid w:val="1A73E5EB"/>
    <w:rsid w:val="1A74DF4F"/>
    <w:rsid w:val="1A763315"/>
    <w:rsid w:val="1A7BAD0F"/>
    <w:rsid w:val="1A7FFD3B"/>
    <w:rsid w:val="1A83B159"/>
    <w:rsid w:val="1A868CCE"/>
    <w:rsid w:val="1A86A40C"/>
    <w:rsid w:val="1A896BF5"/>
    <w:rsid w:val="1A8FCDEE"/>
    <w:rsid w:val="1A943647"/>
    <w:rsid w:val="1A9CBD1B"/>
    <w:rsid w:val="1AA1F15B"/>
    <w:rsid w:val="1AA6D29F"/>
    <w:rsid w:val="1AA9B1BD"/>
    <w:rsid w:val="1AAAF23F"/>
    <w:rsid w:val="1AAC778E"/>
    <w:rsid w:val="1AAD18D7"/>
    <w:rsid w:val="1AB156E0"/>
    <w:rsid w:val="1AB899F3"/>
    <w:rsid w:val="1ABAF842"/>
    <w:rsid w:val="1AC2FE71"/>
    <w:rsid w:val="1AC5BC2D"/>
    <w:rsid w:val="1AC601C5"/>
    <w:rsid w:val="1ACEA9BF"/>
    <w:rsid w:val="1AD2A6E4"/>
    <w:rsid w:val="1AD5A6A0"/>
    <w:rsid w:val="1ADE85BD"/>
    <w:rsid w:val="1ADEF57A"/>
    <w:rsid w:val="1AE3D32A"/>
    <w:rsid w:val="1AE47276"/>
    <w:rsid w:val="1AE6444B"/>
    <w:rsid w:val="1AE8048E"/>
    <w:rsid w:val="1AE8AE9F"/>
    <w:rsid w:val="1AF18119"/>
    <w:rsid w:val="1AF42F17"/>
    <w:rsid w:val="1AFA45A3"/>
    <w:rsid w:val="1AFB2F0A"/>
    <w:rsid w:val="1AFBD14D"/>
    <w:rsid w:val="1B03FDB6"/>
    <w:rsid w:val="1B094ED8"/>
    <w:rsid w:val="1B106E8E"/>
    <w:rsid w:val="1B12DD5C"/>
    <w:rsid w:val="1B1FB0C2"/>
    <w:rsid w:val="1B292B01"/>
    <w:rsid w:val="1B2FF5A0"/>
    <w:rsid w:val="1B3B8D20"/>
    <w:rsid w:val="1B3C5AB5"/>
    <w:rsid w:val="1B3D7510"/>
    <w:rsid w:val="1B4626D3"/>
    <w:rsid w:val="1B4D1B0E"/>
    <w:rsid w:val="1B56D787"/>
    <w:rsid w:val="1B5BCBED"/>
    <w:rsid w:val="1B5BD27E"/>
    <w:rsid w:val="1B79179C"/>
    <w:rsid w:val="1B794685"/>
    <w:rsid w:val="1B7A1DBB"/>
    <w:rsid w:val="1B7A2F5D"/>
    <w:rsid w:val="1B7BBDC8"/>
    <w:rsid w:val="1B7F1761"/>
    <w:rsid w:val="1B827697"/>
    <w:rsid w:val="1B83A88A"/>
    <w:rsid w:val="1B90D00E"/>
    <w:rsid w:val="1B923F44"/>
    <w:rsid w:val="1BA04A32"/>
    <w:rsid w:val="1BAAF2EF"/>
    <w:rsid w:val="1BACA351"/>
    <w:rsid w:val="1BB0B8CC"/>
    <w:rsid w:val="1BB0C57C"/>
    <w:rsid w:val="1BB48DC3"/>
    <w:rsid w:val="1BBB0511"/>
    <w:rsid w:val="1BBC838D"/>
    <w:rsid w:val="1BBD78FF"/>
    <w:rsid w:val="1BC20D9B"/>
    <w:rsid w:val="1BC57CCF"/>
    <w:rsid w:val="1BC6A2AD"/>
    <w:rsid w:val="1BC9EC4F"/>
    <w:rsid w:val="1BC9FC32"/>
    <w:rsid w:val="1BD0788E"/>
    <w:rsid w:val="1BD2E521"/>
    <w:rsid w:val="1BE0AEE3"/>
    <w:rsid w:val="1BE23E21"/>
    <w:rsid w:val="1BE2679D"/>
    <w:rsid w:val="1BE793F7"/>
    <w:rsid w:val="1BEB9624"/>
    <w:rsid w:val="1BED4733"/>
    <w:rsid w:val="1BF2C105"/>
    <w:rsid w:val="1BFAE88A"/>
    <w:rsid w:val="1BFEAE57"/>
    <w:rsid w:val="1C025276"/>
    <w:rsid w:val="1C065CD2"/>
    <w:rsid w:val="1C1709BD"/>
    <w:rsid w:val="1C18F5A1"/>
    <w:rsid w:val="1C1BE048"/>
    <w:rsid w:val="1C1C242F"/>
    <w:rsid w:val="1C1EC5AA"/>
    <w:rsid w:val="1C2CC570"/>
    <w:rsid w:val="1C2D87AD"/>
    <w:rsid w:val="1C347B09"/>
    <w:rsid w:val="1C3F2245"/>
    <w:rsid w:val="1C44F528"/>
    <w:rsid w:val="1C47ADE8"/>
    <w:rsid w:val="1C512279"/>
    <w:rsid w:val="1C54CB92"/>
    <w:rsid w:val="1C55524A"/>
    <w:rsid w:val="1C56BEDC"/>
    <w:rsid w:val="1C58D385"/>
    <w:rsid w:val="1C59A057"/>
    <w:rsid w:val="1C5F531B"/>
    <w:rsid w:val="1C6062E9"/>
    <w:rsid w:val="1C6222E6"/>
    <w:rsid w:val="1C650F10"/>
    <w:rsid w:val="1C65F7E5"/>
    <w:rsid w:val="1C6A070B"/>
    <w:rsid w:val="1C6D931F"/>
    <w:rsid w:val="1C72D0AE"/>
    <w:rsid w:val="1C761C2D"/>
    <w:rsid w:val="1C765BF0"/>
    <w:rsid w:val="1C782C2B"/>
    <w:rsid w:val="1C78F9E9"/>
    <w:rsid w:val="1C7D3CC2"/>
    <w:rsid w:val="1C7E5EAA"/>
    <w:rsid w:val="1C811E24"/>
    <w:rsid w:val="1C8EB016"/>
    <w:rsid w:val="1C9B88DB"/>
    <w:rsid w:val="1C9E2F4E"/>
    <w:rsid w:val="1C9F619A"/>
    <w:rsid w:val="1CA021D1"/>
    <w:rsid w:val="1CA0A471"/>
    <w:rsid w:val="1CA59BB4"/>
    <w:rsid w:val="1CAAF9FB"/>
    <w:rsid w:val="1CB3E321"/>
    <w:rsid w:val="1CC12408"/>
    <w:rsid w:val="1CC37B84"/>
    <w:rsid w:val="1CCF1387"/>
    <w:rsid w:val="1CCF33FD"/>
    <w:rsid w:val="1CD22082"/>
    <w:rsid w:val="1CE02F15"/>
    <w:rsid w:val="1CE83B31"/>
    <w:rsid w:val="1CE85D0D"/>
    <w:rsid w:val="1CFA3283"/>
    <w:rsid w:val="1D083989"/>
    <w:rsid w:val="1D0DA195"/>
    <w:rsid w:val="1D0E4F87"/>
    <w:rsid w:val="1D15040F"/>
    <w:rsid w:val="1D15409C"/>
    <w:rsid w:val="1D1595AE"/>
    <w:rsid w:val="1D1986FC"/>
    <w:rsid w:val="1D199938"/>
    <w:rsid w:val="1D1CB301"/>
    <w:rsid w:val="1D20E919"/>
    <w:rsid w:val="1D30F51E"/>
    <w:rsid w:val="1D34E990"/>
    <w:rsid w:val="1D35E730"/>
    <w:rsid w:val="1D437C37"/>
    <w:rsid w:val="1D4D955B"/>
    <w:rsid w:val="1D4DA821"/>
    <w:rsid w:val="1D545C88"/>
    <w:rsid w:val="1D5A1CB2"/>
    <w:rsid w:val="1D5D40D9"/>
    <w:rsid w:val="1D62A12E"/>
    <w:rsid w:val="1D6EC7EB"/>
    <w:rsid w:val="1D73B8DE"/>
    <w:rsid w:val="1D784060"/>
    <w:rsid w:val="1D7D5223"/>
    <w:rsid w:val="1D7E8FBD"/>
    <w:rsid w:val="1D813988"/>
    <w:rsid w:val="1D8523E1"/>
    <w:rsid w:val="1D86030E"/>
    <w:rsid w:val="1D862994"/>
    <w:rsid w:val="1D91F58C"/>
    <w:rsid w:val="1D92C6EB"/>
    <w:rsid w:val="1D979E4D"/>
    <w:rsid w:val="1D9DEC7A"/>
    <w:rsid w:val="1DA14666"/>
    <w:rsid w:val="1DA198DB"/>
    <w:rsid w:val="1DA33021"/>
    <w:rsid w:val="1DA3C6EE"/>
    <w:rsid w:val="1DA41B71"/>
    <w:rsid w:val="1DA431E2"/>
    <w:rsid w:val="1DA5A527"/>
    <w:rsid w:val="1DAD1641"/>
    <w:rsid w:val="1DAE43FD"/>
    <w:rsid w:val="1DB45FD0"/>
    <w:rsid w:val="1DC4199F"/>
    <w:rsid w:val="1DD09E6C"/>
    <w:rsid w:val="1DD22AA5"/>
    <w:rsid w:val="1DD77504"/>
    <w:rsid w:val="1DE2E758"/>
    <w:rsid w:val="1DF06384"/>
    <w:rsid w:val="1DF0B210"/>
    <w:rsid w:val="1E05D443"/>
    <w:rsid w:val="1E0D4CE3"/>
    <w:rsid w:val="1E0D998C"/>
    <w:rsid w:val="1E11D393"/>
    <w:rsid w:val="1E1238C9"/>
    <w:rsid w:val="1E176178"/>
    <w:rsid w:val="1E181CC6"/>
    <w:rsid w:val="1E197571"/>
    <w:rsid w:val="1E1AB9D8"/>
    <w:rsid w:val="1E1BB9AB"/>
    <w:rsid w:val="1E1C06A5"/>
    <w:rsid w:val="1E1F9C22"/>
    <w:rsid w:val="1E20E7CF"/>
    <w:rsid w:val="1E22D264"/>
    <w:rsid w:val="1E278CDE"/>
    <w:rsid w:val="1E2ED8F5"/>
    <w:rsid w:val="1E311F34"/>
    <w:rsid w:val="1E3D1CE7"/>
    <w:rsid w:val="1E3E9647"/>
    <w:rsid w:val="1E3FBA7C"/>
    <w:rsid w:val="1E4032B6"/>
    <w:rsid w:val="1E40629D"/>
    <w:rsid w:val="1E4206E8"/>
    <w:rsid w:val="1E44F7E4"/>
    <w:rsid w:val="1E49CB79"/>
    <w:rsid w:val="1E4DC7B0"/>
    <w:rsid w:val="1E55B203"/>
    <w:rsid w:val="1E57CA95"/>
    <w:rsid w:val="1E5A6A9F"/>
    <w:rsid w:val="1E5A6AE6"/>
    <w:rsid w:val="1E5D0B4B"/>
    <w:rsid w:val="1E6933F2"/>
    <w:rsid w:val="1E76C232"/>
    <w:rsid w:val="1E7A92DA"/>
    <w:rsid w:val="1E81C751"/>
    <w:rsid w:val="1E8D536A"/>
    <w:rsid w:val="1E8E1AA6"/>
    <w:rsid w:val="1E98F88F"/>
    <w:rsid w:val="1E9AABC8"/>
    <w:rsid w:val="1EA3CE44"/>
    <w:rsid w:val="1EA54B6E"/>
    <w:rsid w:val="1EB718AB"/>
    <w:rsid w:val="1EB88057"/>
    <w:rsid w:val="1EBD9EFB"/>
    <w:rsid w:val="1EC4E78B"/>
    <w:rsid w:val="1ECAB3ED"/>
    <w:rsid w:val="1ECAF6FF"/>
    <w:rsid w:val="1ECCC979"/>
    <w:rsid w:val="1ECE11C1"/>
    <w:rsid w:val="1ED6EDC0"/>
    <w:rsid w:val="1EDA9727"/>
    <w:rsid w:val="1EDD474A"/>
    <w:rsid w:val="1EDEF270"/>
    <w:rsid w:val="1EE00EE0"/>
    <w:rsid w:val="1EE0875C"/>
    <w:rsid w:val="1EE11948"/>
    <w:rsid w:val="1EE9C3B7"/>
    <w:rsid w:val="1EEC8A6A"/>
    <w:rsid w:val="1EEC968A"/>
    <w:rsid w:val="1EF031B8"/>
    <w:rsid w:val="1EF0B54D"/>
    <w:rsid w:val="1EF6D668"/>
    <w:rsid w:val="1EF76C9A"/>
    <w:rsid w:val="1EF9C243"/>
    <w:rsid w:val="1EFFA3D2"/>
    <w:rsid w:val="1F0076EA"/>
    <w:rsid w:val="1F00E062"/>
    <w:rsid w:val="1F022554"/>
    <w:rsid w:val="1F0951CA"/>
    <w:rsid w:val="1F146E52"/>
    <w:rsid w:val="1F16A6A4"/>
    <w:rsid w:val="1F222798"/>
    <w:rsid w:val="1F2A545D"/>
    <w:rsid w:val="1F2CCA62"/>
    <w:rsid w:val="1F3ADD5C"/>
    <w:rsid w:val="1F3B4031"/>
    <w:rsid w:val="1F5371C9"/>
    <w:rsid w:val="1F53E811"/>
    <w:rsid w:val="1F584F5C"/>
    <w:rsid w:val="1F5BE810"/>
    <w:rsid w:val="1F6EB6D4"/>
    <w:rsid w:val="1F75E866"/>
    <w:rsid w:val="1F7785DB"/>
    <w:rsid w:val="1F7D8D66"/>
    <w:rsid w:val="1F8194FE"/>
    <w:rsid w:val="1F82564D"/>
    <w:rsid w:val="1F8358F3"/>
    <w:rsid w:val="1F858FE4"/>
    <w:rsid w:val="1F8AF43A"/>
    <w:rsid w:val="1F8B0660"/>
    <w:rsid w:val="1F8B5FD5"/>
    <w:rsid w:val="1F957AEB"/>
    <w:rsid w:val="1F959ED9"/>
    <w:rsid w:val="1F9B04D2"/>
    <w:rsid w:val="1F9BA7EA"/>
    <w:rsid w:val="1F9E871C"/>
    <w:rsid w:val="1FA24B40"/>
    <w:rsid w:val="1FA6F65C"/>
    <w:rsid w:val="1FAA0633"/>
    <w:rsid w:val="1FAD18DF"/>
    <w:rsid w:val="1FAE5688"/>
    <w:rsid w:val="1FB1F636"/>
    <w:rsid w:val="1FB4E4A8"/>
    <w:rsid w:val="1FB5E90C"/>
    <w:rsid w:val="1FB662D3"/>
    <w:rsid w:val="1FBE25E1"/>
    <w:rsid w:val="1FBEB97E"/>
    <w:rsid w:val="1FBFCDD5"/>
    <w:rsid w:val="1FC4BFD8"/>
    <w:rsid w:val="1FC84622"/>
    <w:rsid w:val="1FCADEF3"/>
    <w:rsid w:val="1FD0FB44"/>
    <w:rsid w:val="1FD13557"/>
    <w:rsid w:val="1FD35BF2"/>
    <w:rsid w:val="1FDC1E5B"/>
    <w:rsid w:val="1FDD1A65"/>
    <w:rsid w:val="1FE081F2"/>
    <w:rsid w:val="1FE47E1A"/>
    <w:rsid w:val="1FEB3F9C"/>
    <w:rsid w:val="1FF15BDE"/>
    <w:rsid w:val="2009A803"/>
    <w:rsid w:val="201310AA"/>
    <w:rsid w:val="201997F6"/>
    <w:rsid w:val="202266F1"/>
    <w:rsid w:val="202791DA"/>
    <w:rsid w:val="202C93FB"/>
    <w:rsid w:val="202DE252"/>
    <w:rsid w:val="202FEECF"/>
    <w:rsid w:val="2034797B"/>
    <w:rsid w:val="2036E816"/>
    <w:rsid w:val="203AE418"/>
    <w:rsid w:val="204069AD"/>
    <w:rsid w:val="20476105"/>
    <w:rsid w:val="204AEA9C"/>
    <w:rsid w:val="204DCAE2"/>
    <w:rsid w:val="204EDBD9"/>
    <w:rsid w:val="204F76F4"/>
    <w:rsid w:val="20592757"/>
    <w:rsid w:val="2059671C"/>
    <w:rsid w:val="205E80F5"/>
    <w:rsid w:val="20620FFD"/>
    <w:rsid w:val="206A7CAA"/>
    <w:rsid w:val="206C84AD"/>
    <w:rsid w:val="2070AB5A"/>
    <w:rsid w:val="2073BA40"/>
    <w:rsid w:val="20836AED"/>
    <w:rsid w:val="20855138"/>
    <w:rsid w:val="2085BE21"/>
    <w:rsid w:val="208816D0"/>
    <w:rsid w:val="208CBB8A"/>
    <w:rsid w:val="20902C0C"/>
    <w:rsid w:val="2097E951"/>
    <w:rsid w:val="20994636"/>
    <w:rsid w:val="20A482B0"/>
    <w:rsid w:val="20A832A6"/>
    <w:rsid w:val="20AFC5C4"/>
    <w:rsid w:val="20B15531"/>
    <w:rsid w:val="20B354AE"/>
    <w:rsid w:val="20B8F64A"/>
    <w:rsid w:val="20BC0FC9"/>
    <w:rsid w:val="20C19B51"/>
    <w:rsid w:val="20C8805A"/>
    <w:rsid w:val="20CB5270"/>
    <w:rsid w:val="20CBAFD2"/>
    <w:rsid w:val="20CEB43E"/>
    <w:rsid w:val="20CED44F"/>
    <w:rsid w:val="20D61438"/>
    <w:rsid w:val="20DF19AB"/>
    <w:rsid w:val="20E1CB8A"/>
    <w:rsid w:val="20E92D15"/>
    <w:rsid w:val="20E9C3DD"/>
    <w:rsid w:val="20ED1D0A"/>
    <w:rsid w:val="20ED4091"/>
    <w:rsid w:val="20EFF83E"/>
    <w:rsid w:val="20F28008"/>
    <w:rsid w:val="20F2CEEF"/>
    <w:rsid w:val="20FBAA08"/>
    <w:rsid w:val="20FD4706"/>
    <w:rsid w:val="2105C93F"/>
    <w:rsid w:val="21061CC0"/>
    <w:rsid w:val="21080029"/>
    <w:rsid w:val="2108005D"/>
    <w:rsid w:val="2109DA6A"/>
    <w:rsid w:val="21184CA2"/>
    <w:rsid w:val="2118F99B"/>
    <w:rsid w:val="211A99FA"/>
    <w:rsid w:val="211AAA63"/>
    <w:rsid w:val="211B9C2B"/>
    <w:rsid w:val="211E2959"/>
    <w:rsid w:val="21277E72"/>
    <w:rsid w:val="2137AD60"/>
    <w:rsid w:val="21464A7F"/>
    <w:rsid w:val="21505D60"/>
    <w:rsid w:val="2150C261"/>
    <w:rsid w:val="21514A2E"/>
    <w:rsid w:val="2155CD35"/>
    <w:rsid w:val="215B31DC"/>
    <w:rsid w:val="215BA592"/>
    <w:rsid w:val="215C3643"/>
    <w:rsid w:val="215CEF56"/>
    <w:rsid w:val="215DA4AD"/>
    <w:rsid w:val="21647C8B"/>
    <w:rsid w:val="216C53A7"/>
    <w:rsid w:val="216EDB06"/>
    <w:rsid w:val="216EEF2A"/>
    <w:rsid w:val="216F1452"/>
    <w:rsid w:val="2178C941"/>
    <w:rsid w:val="2189EE59"/>
    <w:rsid w:val="21909782"/>
    <w:rsid w:val="21921BB8"/>
    <w:rsid w:val="2196E69E"/>
    <w:rsid w:val="21AC603D"/>
    <w:rsid w:val="21AFFE9F"/>
    <w:rsid w:val="21B1B7E8"/>
    <w:rsid w:val="21BDD20F"/>
    <w:rsid w:val="21BEA425"/>
    <w:rsid w:val="21CE4300"/>
    <w:rsid w:val="21DF5ACD"/>
    <w:rsid w:val="21EB431A"/>
    <w:rsid w:val="21EDB6BB"/>
    <w:rsid w:val="21F67248"/>
    <w:rsid w:val="21F68A19"/>
    <w:rsid w:val="21FB5A0E"/>
    <w:rsid w:val="21FE8401"/>
    <w:rsid w:val="2202AF19"/>
    <w:rsid w:val="22068F27"/>
    <w:rsid w:val="2207A99E"/>
    <w:rsid w:val="22093124"/>
    <w:rsid w:val="220A0F52"/>
    <w:rsid w:val="220B1D79"/>
    <w:rsid w:val="220D8150"/>
    <w:rsid w:val="220E65BD"/>
    <w:rsid w:val="220EF812"/>
    <w:rsid w:val="2211C227"/>
    <w:rsid w:val="222B5444"/>
    <w:rsid w:val="223203E1"/>
    <w:rsid w:val="22358BCA"/>
    <w:rsid w:val="2235ABFB"/>
    <w:rsid w:val="223BB375"/>
    <w:rsid w:val="223C2876"/>
    <w:rsid w:val="223F54DC"/>
    <w:rsid w:val="224307B8"/>
    <w:rsid w:val="224A3BF1"/>
    <w:rsid w:val="2258D8F5"/>
    <w:rsid w:val="2261D0AF"/>
    <w:rsid w:val="2271B96E"/>
    <w:rsid w:val="2272C443"/>
    <w:rsid w:val="22737428"/>
    <w:rsid w:val="22777403"/>
    <w:rsid w:val="227A4972"/>
    <w:rsid w:val="227DA1BA"/>
    <w:rsid w:val="227E3C11"/>
    <w:rsid w:val="228006A7"/>
    <w:rsid w:val="2289CD8E"/>
    <w:rsid w:val="228B35B4"/>
    <w:rsid w:val="228C63EB"/>
    <w:rsid w:val="228CDC59"/>
    <w:rsid w:val="22901235"/>
    <w:rsid w:val="22908842"/>
    <w:rsid w:val="22916230"/>
    <w:rsid w:val="229627AE"/>
    <w:rsid w:val="229766D8"/>
    <w:rsid w:val="229860D1"/>
    <w:rsid w:val="229AF278"/>
    <w:rsid w:val="229F6A66"/>
    <w:rsid w:val="22A34766"/>
    <w:rsid w:val="22A46094"/>
    <w:rsid w:val="22A85893"/>
    <w:rsid w:val="22A9069E"/>
    <w:rsid w:val="22AAA43C"/>
    <w:rsid w:val="22AB9300"/>
    <w:rsid w:val="22AE71D4"/>
    <w:rsid w:val="22B1B77D"/>
    <w:rsid w:val="22BBA0FB"/>
    <w:rsid w:val="22BC18B3"/>
    <w:rsid w:val="22BEBBE8"/>
    <w:rsid w:val="22C9B61A"/>
    <w:rsid w:val="22CB458D"/>
    <w:rsid w:val="22CC71F3"/>
    <w:rsid w:val="22CCC417"/>
    <w:rsid w:val="22D2FFEE"/>
    <w:rsid w:val="22DBE432"/>
    <w:rsid w:val="22E364CA"/>
    <w:rsid w:val="22E56778"/>
    <w:rsid w:val="22E83DE2"/>
    <w:rsid w:val="22E91D58"/>
    <w:rsid w:val="22F0AEA2"/>
    <w:rsid w:val="22F4D14F"/>
    <w:rsid w:val="22F7E739"/>
    <w:rsid w:val="22FA0D00"/>
    <w:rsid w:val="22FDC1F6"/>
    <w:rsid w:val="23094B76"/>
    <w:rsid w:val="230ADF7E"/>
    <w:rsid w:val="23179DE1"/>
    <w:rsid w:val="231CFC8C"/>
    <w:rsid w:val="2323ABC0"/>
    <w:rsid w:val="23261AE5"/>
    <w:rsid w:val="232B0F9B"/>
    <w:rsid w:val="2330342A"/>
    <w:rsid w:val="233C8644"/>
    <w:rsid w:val="233CDA72"/>
    <w:rsid w:val="233F9B7C"/>
    <w:rsid w:val="234083D3"/>
    <w:rsid w:val="2340BAF2"/>
    <w:rsid w:val="23433741"/>
    <w:rsid w:val="234643FB"/>
    <w:rsid w:val="23481939"/>
    <w:rsid w:val="23497352"/>
    <w:rsid w:val="234AF3F1"/>
    <w:rsid w:val="235138B8"/>
    <w:rsid w:val="2356BCD3"/>
    <w:rsid w:val="2358DABB"/>
    <w:rsid w:val="235D4AAB"/>
    <w:rsid w:val="2364B856"/>
    <w:rsid w:val="2369E736"/>
    <w:rsid w:val="237983EC"/>
    <w:rsid w:val="23828F11"/>
    <w:rsid w:val="23859182"/>
    <w:rsid w:val="238D65C3"/>
    <w:rsid w:val="2395198D"/>
    <w:rsid w:val="2397876D"/>
    <w:rsid w:val="2397AEC4"/>
    <w:rsid w:val="23980490"/>
    <w:rsid w:val="2398B80B"/>
    <w:rsid w:val="239A2683"/>
    <w:rsid w:val="239C34A8"/>
    <w:rsid w:val="239DA714"/>
    <w:rsid w:val="23A15CE2"/>
    <w:rsid w:val="23A3CBAE"/>
    <w:rsid w:val="23AAB7C5"/>
    <w:rsid w:val="23B37FAE"/>
    <w:rsid w:val="23B40D93"/>
    <w:rsid w:val="23B65E8E"/>
    <w:rsid w:val="23B788E3"/>
    <w:rsid w:val="23B917ED"/>
    <w:rsid w:val="23BAC963"/>
    <w:rsid w:val="23BCD92B"/>
    <w:rsid w:val="23BD2A68"/>
    <w:rsid w:val="23C17D53"/>
    <w:rsid w:val="23C7704B"/>
    <w:rsid w:val="23CAAEEE"/>
    <w:rsid w:val="23CDA470"/>
    <w:rsid w:val="23D0EC9A"/>
    <w:rsid w:val="23D1775E"/>
    <w:rsid w:val="23D3BAC2"/>
    <w:rsid w:val="23D5B84A"/>
    <w:rsid w:val="23DE0B58"/>
    <w:rsid w:val="23E086F0"/>
    <w:rsid w:val="23E4D6F9"/>
    <w:rsid w:val="23E63DC3"/>
    <w:rsid w:val="23EC0BC1"/>
    <w:rsid w:val="23F53169"/>
    <w:rsid w:val="23F86CC7"/>
    <w:rsid w:val="23F89D22"/>
    <w:rsid w:val="23F964E7"/>
    <w:rsid w:val="23FA116F"/>
    <w:rsid w:val="23FF242F"/>
    <w:rsid w:val="240633ED"/>
    <w:rsid w:val="24112F5D"/>
    <w:rsid w:val="241A05F0"/>
    <w:rsid w:val="241ED63F"/>
    <w:rsid w:val="24211AA8"/>
    <w:rsid w:val="2424F12C"/>
    <w:rsid w:val="24260DC3"/>
    <w:rsid w:val="24262735"/>
    <w:rsid w:val="242B58DC"/>
    <w:rsid w:val="242D2624"/>
    <w:rsid w:val="242E1EDD"/>
    <w:rsid w:val="242E3148"/>
    <w:rsid w:val="242E6AEA"/>
    <w:rsid w:val="243186D9"/>
    <w:rsid w:val="24348B80"/>
    <w:rsid w:val="243824C9"/>
    <w:rsid w:val="243BBBDE"/>
    <w:rsid w:val="243D8E6D"/>
    <w:rsid w:val="24402B17"/>
    <w:rsid w:val="24419241"/>
    <w:rsid w:val="2449EBCD"/>
    <w:rsid w:val="24550091"/>
    <w:rsid w:val="24560166"/>
    <w:rsid w:val="245A6783"/>
    <w:rsid w:val="245CF80D"/>
    <w:rsid w:val="24651402"/>
    <w:rsid w:val="246AA842"/>
    <w:rsid w:val="246BF14E"/>
    <w:rsid w:val="246F625D"/>
    <w:rsid w:val="247320DA"/>
    <w:rsid w:val="2476242B"/>
    <w:rsid w:val="24802494"/>
    <w:rsid w:val="2485C3C2"/>
    <w:rsid w:val="2491FA15"/>
    <w:rsid w:val="24931D3F"/>
    <w:rsid w:val="24936063"/>
    <w:rsid w:val="2497BE2C"/>
    <w:rsid w:val="249ABCEB"/>
    <w:rsid w:val="249D2665"/>
    <w:rsid w:val="24A1866D"/>
    <w:rsid w:val="24A6088B"/>
    <w:rsid w:val="24BC7237"/>
    <w:rsid w:val="24BDFAA5"/>
    <w:rsid w:val="24BE6F9B"/>
    <w:rsid w:val="24C65659"/>
    <w:rsid w:val="24C7F33C"/>
    <w:rsid w:val="24E2A556"/>
    <w:rsid w:val="24E33A4D"/>
    <w:rsid w:val="24E3ED69"/>
    <w:rsid w:val="24F1D39A"/>
    <w:rsid w:val="24F4F60B"/>
    <w:rsid w:val="24F6D1FA"/>
    <w:rsid w:val="24F6FDEE"/>
    <w:rsid w:val="24FA7352"/>
    <w:rsid w:val="24FCCE73"/>
    <w:rsid w:val="250B475B"/>
    <w:rsid w:val="250D3070"/>
    <w:rsid w:val="2512BEB8"/>
    <w:rsid w:val="2512C9E4"/>
    <w:rsid w:val="2512FADD"/>
    <w:rsid w:val="251A8930"/>
    <w:rsid w:val="2523D7DB"/>
    <w:rsid w:val="2523EC18"/>
    <w:rsid w:val="25262F59"/>
    <w:rsid w:val="252A1ED8"/>
    <w:rsid w:val="25333C28"/>
    <w:rsid w:val="2534270C"/>
    <w:rsid w:val="253E7D0D"/>
    <w:rsid w:val="254644AC"/>
    <w:rsid w:val="254679BC"/>
    <w:rsid w:val="25489607"/>
    <w:rsid w:val="254896D6"/>
    <w:rsid w:val="2550DD04"/>
    <w:rsid w:val="255271FE"/>
    <w:rsid w:val="2552FDA2"/>
    <w:rsid w:val="25543879"/>
    <w:rsid w:val="25599FC2"/>
    <w:rsid w:val="255D2E81"/>
    <w:rsid w:val="25621887"/>
    <w:rsid w:val="2565CA4F"/>
    <w:rsid w:val="256B2BC0"/>
    <w:rsid w:val="256C1835"/>
    <w:rsid w:val="256CBCA7"/>
    <w:rsid w:val="2570B3D7"/>
    <w:rsid w:val="2579AC35"/>
    <w:rsid w:val="257AC9F2"/>
    <w:rsid w:val="257B95EA"/>
    <w:rsid w:val="257BB11D"/>
    <w:rsid w:val="257CF010"/>
    <w:rsid w:val="25804071"/>
    <w:rsid w:val="2580A4C4"/>
    <w:rsid w:val="25829CDE"/>
    <w:rsid w:val="25832B08"/>
    <w:rsid w:val="2589FFF7"/>
    <w:rsid w:val="258AF14C"/>
    <w:rsid w:val="258EB787"/>
    <w:rsid w:val="25A073F4"/>
    <w:rsid w:val="25A3C1B0"/>
    <w:rsid w:val="25A6EF9D"/>
    <w:rsid w:val="25A99330"/>
    <w:rsid w:val="25ABF17B"/>
    <w:rsid w:val="25AE44B6"/>
    <w:rsid w:val="25B3B44E"/>
    <w:rsid w:val="25B49015"/>
    <w:rsid w:val="25B77562"/>
    <w:rsid w:val="25B8835A"/>
    <w:rsid w:val="25B908C1"/>
    <w:rsid w:val="25C3B9AD"/>
    <w:rsid w:val="25C6C65B"/>
    <w:rsid w:val="25CDBA40"/>
    <w:rsid w:val="25D7BF5C"/>
    <w:rsid w:val="25DBCCEA"/>
    <w:rsid w:val="25DF8C03"/>
    <w:rsid w:val="25E1AE29"/>
    <w:rsid w:val="25EAD947"/>
    <w:rsid w:val="25EE2841"/>
    <w:rsid w:val="25EE2A8A"/>
    <w:rsid w:val="25F10E79"/>
    <w:rsid w:val="25F20E84"/>
    <w:rsid w:val="25F304B3"/>
    <w:rsid w:val="25FC081B"/>
    <w:rsid w:val="25FE9559"/>
    <w:rsid w:val="26005C6E"/>
    <w:rsid w:val="2602284D"/>
    <w:rsid w:val="26072009"/>
    <w:rsid w:val="26075BC3"/>
    <w:rsid w:val="260CA942"/>
    <w:rsid w:val="2610276F"/>
    <w:rsid w:val="261311B0"/>
    <w:rsid w:val="261F619E"/>
    <w:rsid w:val="262003EE"/>
    <w:rsid w:val="262225C7"/>
    <w:rsid w:val="26235315"/>
    <w:rsid w:val="262BF8C3"/>
    <w:rsid w:val="263421BA"/>
    <w:rsid w:val="2636B0BF"/>
    <w:rsid w:val="263A4DBC"/>
    <w:rsid w:val="263CB25B"/>
    <w:rsid w:val="264B94DB"/>
    <w:rsid w:val="2653A9B1"/>
    <w:rsid w:val="2665B0EF"/>
    <w:rsid w:val="26682FB1"/>
    <w:rsid w:val="26686A6B"/>
    <w:rsid w:val="266D36BB"/>
    <w:rsid w:val="266D515A"/>
    <w:rsid w:val="266EBA3E"/>
    <w:rsid w:val="26751F0E"/>
    <w:rsid w:val="26802E74"/>
    <w:rsid w:val="26814B57"/>
    <w:rsid w:val="2683F05D"/>
    <w:rsid w:val="268480CC"/>
    <w:rsid w:val="26881400"/>
    <w:rsid w:val="2688B0DB"/>
    <w:rsid w:val="2688B6BB"/>
    <w:rsid w:val="26965844"/>
    <w:rsid w:val="269C2EA1"/>
    <w:rsid w:val="26A30341"/>
    <w:rsid w:val="26A668E2"/>
    <w:rsid w:val="26A74317"/>
    <w:rsid w:val="26A86A1E"/>
    <w:rsid w:val="26A875BF"/>
    <w:rsid w:val="26AC0313"/>
    <w:rsid w:val="26B1AD90"/>
    <w:rsid w:val="26C3D749"/>
    <w:rsid w:val="26C8759A"/>
    <w:rsid w:val="26CB2E8A"/>
    <w:rsid w:val="26D8C896"/>
    <w:rsid w:val="26D923A6"/>
    <w:rsid w:val="26DB41BF"/>
    <w:rsid w:val="26DD94DD"/>
    <w:rsid w:val="26E4DCC8"/>
    <w:rsid w:val="26E750B6"/>
    <w:rsid w:val="26EB8D7E"/>
    <w:rsid w:val="26F026B8"/>
    <w:rsid w:val="26FA8A8B"/>
    <w:rsid w:val="26FE7C7B"/>
    <w:rsid w:val="26FE9095"/>
    <w:rsid w:val="27016B4D"/>
    <w:rsid w:val="27028EF0"/>
    <w:rsid w:val="27034C18"/>
    <w:rsid w:val="2712336F"/>
    <w:rsid w:val="2713FB44"/>
    <w:rsid w:val="2717A015"/>
    <w:rsid w:val="271A7E6F"/>
    <w:rsid w:val="271CD2AD"/>
    <w:rsid w:val="2721E71A"/>
    <w:rsid w:val="2724A4E0"/>
    <w:rsid w:val="2729E35B"/>
    <w:rsid w:val="272F0E76"/>
    <w:rsid w:val="27391D04"/>
    <w:rsid w:val="273980DA"/>
    <w:rsid w:val="2739F115"/>
    <w:rsid w:val="273B16F0"/>
    <w:rsid w:val="273B5D3F"/>
    <w:rsid w:val="274617AF"/>
    <w:rsid w:val="274A26F4"/>
    <w:rsid w:val="2754E965"/>
    <w:rsid w:val="2754FE1B"/>
    <w:rsid w:val="27650838"/>
    <w:rsid w:val="27662A6C"/>
    <w:rsid w:val="2772CA30"/>
    <w:rsid w:val="2774C243"/>
    <w:rsid w:val="27754CB9"/>
    <w:rsid w:val="277C1D2B"/>
    <w:rsid w:val="278A59D5"/>
    <w:rsid w:val="27A12D5B"/>
    <w:rsid w:val="27A1C8AD"/>
    <w:rsid w:val="27A94922"/>
    <w:rsid w:val="27AFF490"/>
    <w:rsid w:val="27B12F7B"/>
    <w:rsid w:val="27B8E234"/>
    <w:rsid w:val="27BB5845"/>
    <w:rsid w:val="27C1D1BA"/>
    <w:rsid w:val="27C21B11"/>
    <w:rsid w:val="27C26A12"/>
    <w:rsid w:val="27CB5773"/>
    <w:rsid w:val="27D168A4"/>
    <w:rsid w:val="27D4FA3B"/>
    <w:rsid w:val="27D5D24E"/>
    <w:rsid w:val="27DA5F32"/>
    <w:rsid w:val="27E15529"/>
    <w:rsid w:val="27E4FE28"/>
    <w:rsid w:val="27ECFB86"/>
    <w:rsid w:val="27EDE980"/>
    <w:rsid w:val="27EF93D3"/>
    <w:rsid w:val="27EFBA1A"/>
    <w:rsid w:val="27EFDCA1"/>
    <w:rsid w:val="27F44973"/>
    <w:rsid w:val="27F7C9E0"/>
    <w:rsid w:val="28039146"/>
    <w:rsid w:val="28051043"/>
    <w:rsid w:val="280578DD"/>
    <w:rsid w:val="280A22DD"/>
    <w:rsid w:val="280CCCE8"/>
    <w:rsid w:val="28129A02"/>
    <w:rsid w:val="2814243F"/>
    <w:rsid w:val="28159B03"/>
    <w:rsid w:val="28176A79"/>
    <w:rsid w:val="2819A99F"/>
    <w:rsid w:val="2819EF1B"/>
    <w:rsid w:val="281B0F9D"/>
    <w:rsid w:val="281C267F"/>
    <w:rsid w:val="2826BE5E"/>
    <w:rsid w:val="28275C2F"/>
    <w:rsid w:val="2827D570"/>
    <w:rsid w:val="28365B10"/>
    <w:rsid w:val="2838DF8C"/>
    <w:rsid w:val="283A8464"/>
    <w:rsid w:val="28470436"/>
    <w:rsid w:val="284882A5"/>
    <w:rsid w:val="284E1991"/>
    <w:rsid w:val="285034A3"/>
    <w:rsid w:val="286EC920"/>
    <w:rsid w:val="2870F5E5"/>
    <w:rsid w:val="2879AAA7"/>
    <w:rsid w:val="287A971D"/>
    <w:rsid w:val="287C20A3"/>
    <w:rsid w:val="287FC851"/>
    <w:rsid w:val="28844A7F"/>
    <w:rsid w:val="288A9C06"/>
    <w:rsid w:val="288ECF65"/>
    <w:rsid w:val="288F5683"/>
    <w:rsid w:val="289CA573"/>
    <w:rsid w:val="289DD5F0"/>
    <w:rsid w:val="289F05D0"/>
    <w:rsid w:val="289F3A1B"/>
    <w:rsid w:val="28A3E3BF"/>
    <w:rsid w:val="28A4E53C"/>
    <w:rsid w:val="28A6A6C8"/>
    <w:rsid w:val="28A9F9C5"/>
    <w:rsid w:val="28ABBDB3"/>
    <w:rsid w:val="28AE7BB2"/>
    <w:rsid w:val="28AEAC54"/>
    <w:rsid w:val="28AF9CCD"/>
    <w:rsid w:val="28BA4AA6"/>
    <w:rsid w:val="28BFDA67"/>
    <w:rsid w:val="28C508D9"/>
    <w:rsid w:val="28C5C90C"/>
    <w:rsid w:val="28CD4F78"/>
    <w:rsid w:val="28D23C67"/>
    <w:rsid w:val="28D50D9F"/>
    <w:rsid w:val="28D6E083"/>
    <w:rsid w:val="28D6E626"/>
    <w:rsid w:val="28DB8A04"/>
    <w:rsid w:val="28E31B9C"/>
    <w:rsid w:val="28E58FCE"/>
    <w:rsid w:val="28E63308"/>
    <w:rsid w:val="28E775FE"/>
    <w:rsid w:val="28EBD5F7"/>
    <w:rsid w:val="28F5F639"/>
    <w:rsid w:val="290175B1"/>
    <w:rsid w:val="2906A555"/>
    <w:rsid w:val="29079BC1"/>
    <w:rsid w:val="2908A376"/>
    <w:rsid w:val="291B4CB3"/>
    <w:rsid w:val="291BE415"/>
    <w:rsid w:val="291C7355"/>
    <w:rsid w:val="291DF44A"/>
    <w:rsid w:val="2920A53A"/>
    <w:rsid w:val="2924EFE2"/>
    <w:rsid w:val="2924FB21"/>
    <w:rsid w:val="292772AE"/>
    <w:rsid w:val="2927E760"/>
    <w:rsid w:val="29289827"/>
    <w:rsid w:val="292EE359"/>
    <w:rsid w:val="29305729"/>
    <w:rsid w:val="293B9D6F"/>
    <w:rsid w:val="294162BF"/>
    <w:rsid w:val="2947F928"/>
    <w:rsid w:val="294A6B71"/>
    <w:rsid w:val="294AEDF5"/>
    <w:rsid w:val="294F522F"/>
    <w:rsid w:val="2956D393"/>
    <w:rsid w:val="295C1DAD"/>
    <w:rsid w:val="29601FC7"/>
    <w:rsid w:val="29619B31"/>
    <w:rsid w:val="29634925"/>
    <w:rsid w:val="2963CB46"/>
    <w:rsid w:val="29668E62"/>
    <w:rsid w:val="296E21D6"/>
    <w:rsid w:val="2971276A"/>
    <w:rsid w:val="29746192"/>
    <w:rsid w:val="29773990"/>
    <w:rsid w:val="29849D91"/>
    <w:rsid w:val="298DBA05"/>
    <w:rsid w:val="298E5EF6"/>
    <w:rsid w:val="298FDEDF"/>
    <w:rsid w:val="29953C7C"/>
    <w:rsid w:val="2997A6BB"/>
    <w:rsid w:val="299AB67D"/>
    <w:rsid w:val="29A76FBD"/>
    <w:rsid w:val="29A86063"/>
    <w:rsid w:val="29ADDB21"/>
    <w:rsid w:val="29B08155"/>
    <w:rsid w:val="29B2068F"/>
    <w:rsid w:val="29B2B85F"/>
    <w:rsid w:val="29B304C8"/>
    <w:rsid w:val="29BD796D"/>
    <w:rsid w:val="29BDE556"/>
    <w:rsid w:val="29C1CE09"/>
    <w:rsid w:val="29C2794A"/>
    <w:rsid w:val="29C6FCF2"/>
    <w:rsid w:val="29CAE6B6"/>
    <w:rsid w:val="29CCA609"/>
    <w:rsid w:val="29D0E30A"/>
    <w:rsid w:val="29D10A2F"/>
    <w:rsid w:val="29D8BE00"/>
    <w:rsid w:val="29E035BD"/>
    <w:rsid w:val="29E67332"/>
    <w:rsid w:val="29E72564"/>
    <w:rsid w:val="29E99345"/>
    <w:rsid w:val="29EBDE8B"/>
    <w:rsid w:val="29EC8F43"/>
    <w:rsid w:val="29F88AEB"/>
    <w:rsid w:val="29FC1D2E"/>
    <w:rsid w:val="29FD7799"/>
    <w:rsid w:val="2A15AE1F"/>
    <w:rsid w:val="2A19064D"/>
    <w:rsid w:val="2A21F021"/>
    <w:rsid w:val="2A237279"/>
    <w:rsid w:val="2A263615"/>
    <w:rsid w:val="2A307D8B"/>
    <w:rsid w:val="2A340F95"/>
    <w:rsid w:val="2A34E0EC"/>
    <w:rsid w:val="2A387682"/>
    <w:rsid w:val="2A5594E1"/>
    <w:rsid w:val="2A5DE08E"/>
    <w:rsid w:val="2A5F8602"/>
    <w:rsid w:val="2A5FAE8D"/>
    <w:rsid w:val="2A7235B3"/>
    <w:rsid w:val="2A739616"/>
    <w:rsid w:val="2A740624"/>
    <w:rsid w:val="2A752EDF"/>
    <w:rsid w:val="2A77CA6D"/>
    <w:rsid w:val="2A7B7599"/>
    <w:rsid w:val="2A7D07D6"/>
    <w:rsid w:val="2A7E5190"/>
    <w:rsid w:val="2A80E5C6"/>
    <w:rsid w:val="2A824B39"/>
    <w:rsid w:val="2A880265"/>
    <w:rsid w:val="2A888508"/>
    <w:rsid w:val="2A910B5A"/>
    <w:rsid w:val="2A96EC11"/>
    <w:rsid w:val="2A972B1F"/>
    <w:rsid w:val="2A9888F1"/>
    <w:rsid w:val="2A98B15D"/>
    <w:rsid w:val="2A9A763E"/>
    <w:rsid w:val="2AA1A92C"/>
    <w:rsid w:val="2AA975C4"/>
    <w:rsid w:val="2AACDAD3"/>
    <w:rsid w:val="2AB68FC7"/>
    <w:rsid w:val="2AB800FF"/>
    <w:rsid w:val="2ABB1C02"/>
    <w:rsid w:val="2ABFAE8E"/>
    <w:rsid w:val="2AC01D4C"/>
    <w:rsid w:val="2AC160F9"/>
    <w:rsid w:val="2ACA216F"/>
    <w:rsid w:val="2ACC08EF"/>
    <w:rsid w:val="2ACF98F4"/>
    <w:rsid w:val="2AD2DBAF"/>
    <w:rsid w:val="2AD3C1ED"/>
    <w:rsid w:val="2AD6910C"/>
    <w:rsid w:val="2AD788A4"/>
    <w:rsid w:val="2ADC6BED"/>
    <w:rsid w:val="2ADD21B3"/>
    <w:rsid w:val="2ADEA3E1"/>
    <w:rsid w:val="2AE01164"/>
    <w:rsid w:val="2AE11718"/>
    <w:rsid w:val="2AE7886D"/>
    <w:rsid w:val="2AEA2F93"/>
    <w:rsid w:val="2AEE6AE5"/>
    <w:rsid w:val="2AF022E2"/>
    <w:rsid w:val="2B000948"/>
    <w:rsid w:val="2B02F793"/>
    <w:rsid w:val="2B07BA6D"/>
    <w:rsid w:val="2B07DEA8"/>
    <w:rsid w:val="2B12D631"/>
    <w:rsid w:val="2B1D455E"/>
    <w:rsid w:val="2B1E4313"/>
    <w:rsid w:val="2B1F99B4"/>
    <w:rsid w:val="2B24BF68"/>
    <w:rsid w:val="2B2B9D83"/>
    <w:rsid w:val="2B30D083"/>
    <w:rsid w:val="2B31E5A2"/>
    <w:rsid w:val="2B34B288"/>
    <w:rsid w:val="2B3A8515"/>
    <w:rsid w:val="2B3AB669"/>
    <w:rsid w:val="2B4A67E0"/>
    <w:rsid w:val="2B524DD3"/>
    <w:rsid w:val="2B5655A2"/>
    <w:rsid w:val="2B570F22"/>
    <w:rsid w:val="2B58574B"/>
    <w:rsid w:val="2B5FDE58"/>
    <w:rsid w:val="2B656AF0"/>
    <w:rsid w:val="2B686558"/>
    <w:rsid w:val="2B6A6FA5"/>
    <w:rsid w:val="2B6E6100"/>
    <w:rsid w:val="2B774F3A"/>
    <w:rsid w:val="2B7A31A4"/>
    <w:rsid w:val="2B809397"/>
    <w:rsid w:val="2B81B457"/>
    <w:rsid w:val="2B8CB915"/>
    <w:rsid w:val="2B8F2092"/>
    <w:rsid w:val="2B96B68E"/>
    <w:rsid w:val="2B9C85D2"/>
    <w:rsid w:val="2B9F30A6"/>
    <w:rsid w:val="2BA06130"/>
    <w:rsid w:val="2BA07124"/>
    <w:rsid w:val="2BA43BFE"/>
    <w:rsid w:val="2BA4D76C"/>
    <w:rsid w:val="2BA85CC6"/>
    <w:rsid w:val="2BB01DE5"/>
    <w:rsid w:val="2BB24A81"/>
    <w:rsid w:val="2BB5C000"/>
    <w:rsid w:val="2BB80DCC"/>
    <w:rsid w:val="2BBA7EC0"/>
    <w:rsid w:val="2BBB3841"/>
    <w:rsid w:val="2BBFBBE9"/>
    <w:rsid w:val="2BC1E962"/>
    <w:rsid w:val="2BD165F6"/>
    <w:rsid w:val="2BD2D73E"/>
    <w:rsid w:val="2BD67C16"/>
    <w:rsid w:val="2BDE0DAC"/>
    <w:rsid w:val="2BDE28A8"/>
    <w:rsid w:val="2BDE37D3"/>
    <w:rsid w:val="2BE3F97B"/>
    <w:rsid w:val="2BEF245C"/>
    <w:rsid w:val="2BF7FD16"/>
    <w:rsid w:val="2C0A5B98"/>
    <w:rsid w:val="2C0C86BB"/>
    <w:rsid w:val="2C137A4E"/>
    <w:rsid w:val="2C14353D"/>
    <w:rsid w:val="2C14F79D"/>
    <w:rsid w:val="2C16E989"/>
    <w:rsid w:val="2C17F1C0"/>
    <w:rsid w:val="2C1B45B0"/>
    <w:rsid w:val="2C1F06E2"/>
    <w:rsid w:val="2C21B2C5"/>
    <w:rsid w:val="2C2297C8"/>
    <w:rsid w:val="2C23E3AD"/>
    <w:rsid w:val="2C254768"/>
    <w:rsid w:val="2C29E473"/>
    <w:rsid w:val="2C2B7B53"/>
    <w:rsid w:val="2C2C4E08"/>
    <w:rsid w:val="2C2F7254"/>
    <w:rsid w:val="2C308511"/>
    <w:rsid w:val="2C397E9B"/>
    <w:rsid w:val="2C39DE8F"/>
    <w:rsid w:val="2C40C798"/>
    <w:rsid w:val="2C442A3B"/>
    <w:rsid w:val="2C4583E4"/>
    <w:rsid w:val="2C4B3314"/>
    <w:rsid w:val="2C4E3402"/>
    <w:rsid w:val="2C50B352"/>
    <w:rsid w:val="2C5108FF"/>
    <w:rsid w:val="2C5253E4"/>
    <w:rsid w:val="2C56273E"/>
    <w:rsid w:val="2C58A114"/>
    <w:rsid w:val="2C5E5FAB"/>
    <w:rsid w:val="2C6B0C25"/>
    <w:rsid w:val="2C6D234F"/>
    <w:rsid w:val="2C77332E"/>
    <w:rsid w:val="2C7DFFFA"/>
    <w:rsid w:val="2C810847"/>
    <w:rsid w:val="2C873A3A"/>
    <w:rsid w:val="2C8A8732"/>
    <w:rsid w:val="2C9307E5"/>
    <w:rsid w:val="2C96C7F0"/>
    <w:rsid w:val="2C9A1044"/>
    <w:rsid w:val="2CA01FF2"/>
    <w:rsid w:val="2CA0615A"/>
    <w:rsid w:val="2CA1B2EC"/>
    <w:rsid w:val="2CA37765"/>
    <w:rsid w:val="2CA4E788"/>
    <w:rsid w:val="2CA5B9DF"/>
    <w:rsid w:val="2CA863D6"/>
    <w:rsid w:val="2CACE596"/>
    <w:rsid w:val="2CAD5F15"/>
    <w:rsid w:val="2CADC5A6"/>
    <w:rsid w:val="2CAE0211"/>
    <w:rsid w:val="2CB48FEF"/>
    <w:rsid w:val="2CB86459"/>
    <w:rsid w:val="2CC1C255"/>
    <w:rsid w:val="2CC3A485"/>
    <w:rsid w:val="2CCA2355"/>
    <w:rsid w:val="2CCF169A"/>
    <w:rsid w:val="2CD10291"/>
    <w:rsid w:val="2CD21D52"/>
    <w:rsid w:val="2CD4C465"/>
    <w:rsid w:val="2CD7A36D"/>
    <w:rsid w:val="2CDADDD5"/>
    <w:rsid w:val="2CEED534"/>
    <w:rsid w:val="2CEFDA89"/>
    <w:rsid w:val="2CF2B14C"/>
    <w:rsid w:val="2CF8965D"/>
    <w:rsid w:val="2D0331F9"/>
    <w:rsid w:val="2D132D95"/>
    <w:rsid w:val="2D138F5C"/>
    <w:rsid w:val="2D178FAD"/>
    <w:rsid w:val="2D18E2B2"/>
    <w:rsid w:val="2D2B32E3"/>
    <w:rsid w:val="2D2E765A"/>
    <w:rsid w:val="2D3818CC"/>
    <w:rsid w:val="2D381EFB"/>
    <w:rsid w:val="2D38F430"/>
    <w:rsid w:val="2D4AC8A0"/>
    <w:rsid w:val="2D5259D9"/>
    <w:rsid w:val="2D56CFFE"/>
    <w:rsid w:val="2D56E98E"/>
    <w:rsid w:val="2D60ADED"/>
    <w:rsid w:val="2D61A921"/>
    <w:rsid w:val="2D68CC13"/>
    <w:rsid w:val="2D68F776"/>
    <w:rsid w:val="2D6C9794"/>
    <w:rsid w:val="2D6CB33B"/>
    <w:rsid w:val="2D6E37C8"/>
    <w:rsid w:val="2D6E6E04"/>
    <w:rsid w:val="2D7555D2"/>
    <w:rsid w:val="2D7DB4EF"/>
    <w:rsid w:val="2D7EF789"/>
    <w:rsid w:val="2D835561"/>
    <w:rsid w:val="2D8698BE"/>
    <w:rsid w:val="2D8E20E3"/>
    <w:rsid w:val="2D8EBDFA"/>
    <w:rsid w:val="2D92FBE0"/>
    <w:rsid w:val="2D95031E"/>
    <w:rsid w:val="2D9A0E33"/>
    <w:rsid w:val="2D9FE774"/>
    <w:rsid w:val="2DA16C56"/>
    <w:rsid w:val="2DA4CE31"/>
    <w:rsid w:val="2DA9632F"/>
    <w:rsid w:val="2DAC1547"/>
    <w:rsid w:val="2DAF88B1"/>
    <w:rsid w:val="2DAFDBDD"/>
    <w:rsid w:val="2DBC1AC3"/>
    <w:rsid w:val="2DBD6C39"/>
    <w:rsid w:val="2DC03AC0"/>
    <w:rsid w:val="2DC6095A"/>
    <w:rsid w:val="2DC747A2"/>
    <w:rsid w:val="2DC88C95"/>
    <w:rsid w:val="2DCC4DB8"/>
    <w:rsid w:val="2DCE986C"/>
    <w:rsid w:val="2DD48A49"/>
    <w:rsid w:val="2DD6A22D"/>
    <w:rsid w:val="2DD758D5"/>
    <w:rsid w:val="2DD8753F"/>
    <w:rsid w:val="2DD92873"/>
    <w:rsid w:val="2DDE5A5A"/>
    <w:rsid w:val="2DE71FF6"/>
    <w:rsid w:val="2DEB2FDE"/>
    <w:rsid w:val="2DED9C5D"/>
    <w:rsid w:val="2DF63BCA"/>
    <w:rsid w:val="2DF7D07A"/>
    <w:rsid w:val="2E028654"/>
    <w:rsid w:val="2E0426F7"/>
    <w:rsid w:val="2E051189"/>
    <w:rsid w:val="2E07E499"/>
    <w:rsid w:val="2E0C6442"/>
    <w:rsid w:val="2E0FC2D2"/>
    <w:rsid w:val="2E108DC9"/>
    <w:rsid w:val="2E11C01C"/>
    <w:rsid w:val="2E1869C4"/>
    <w:rsid w:val="2E19A613"/>
    <w:rsid w:val="2E1AEEDC"/>
    <w:rsid w:val="2E1BCF79"/>
    <w:rsid w:val="2E211055"/>
    <w:rsid w:val="2E27BDDB"/>
    <w:rsid w:val="2E296A10"/>
    <w:rsid w:val="2E29FFD5"/>
    <w:rsid w:val="2E48B1CB"/>
    <w:rsid w:val="2E4DECF0"/>
    <w:rsid w:val="2E4F5F7A"/>
    <w:rsid w:val="2E50AF1B"/>
    <w:rsid w:val="2E586863"/>
    <w:rsid w:val="2E5E8E80"/>
    <w:rsid w:val="2E6134F8"/>
    <w:rsid w:val="2E619771"/>
    <w:rsid w:val="2E62DA2F"/>
    <w:rsid w:val="2E6CE232"/>
    <w:rsid w:val="2E6CE831"/>
    <w:rsid w:val="2E6FCB92"/>
    <w:rsid w:val="2E7005C1"/>
    <w:rsid w:val="2E7FDAC9"/>
    <w:rsid w:val="2E8834CC"/>
    <w:rsid w:val="2E89DEB2"/>
    <w:rsid w:val="2E8BE035"/>
    <w:rsid w:val="2E92B7CC"/>
    <w:rsid w:val="2E933DED"/>
    <w:rsid w:val="2E96F399"/>
    <w:rsid w:val="2E972594"/>
    <w:rsid w:val="2E9B1E74"/>
    <w:rsid w:val="2EA49EB2"/>
    <w:rsid w:val="2EA4B60D"/>
    <w:rsid w:val="2EB0374A"/>
    <w:rsid w:val="2EB452B8"/>
    <w:rsid w:val="2EB73FD2"/>
    <w:rsid w:val="2EBB1DB6"/>
    <w:rsid w:val="2EBBAB08"/>
    <w:rsid w:val="2EBF2357"/>
    <w:rsid w:val="2EBFC9BF"/>
    <w:rsid w:val="2EBFCFEC"/>
    <w:rsid w:val="2EC06997"/>
    <w:rsid w:val="2EC55DBA"/>
    <w:rsid w:val="2ECC1A9B"/>
    <w:rsid w:val="2ED2A8CD"/>
    <w:rsid w:val="2ED71CB7"/>
    <w:rsid w:val="2ED75776"/>
    <w:rsid w:val="2EDD4BB6"/>
    <w:rsid w:val="2EDDD5E6"/>
    <w:rsid w:val="2EE21025"/>
    <w:rsid w:val="2EE56FE4"/>
    <w:rsid w:val="2EE67E9A"/>
    <w:rsid w:val="2EE694E2"/>
    <w:rsid w:val="2EEC2311"/>
    <w:rsid w:val="2EEFD302"/>
    <w:rsid w:val="2EF1C710"/>
    <w:rsid w:val="2EF37BB4"/>
    <w:rsid w:val="2EF98A46"/>
    <w:rsid w:val="2EFF9282"/>
    <w:rsid w:val="2F06C6B9"/>
    <w:rsid w:val="2F075AB9"/>
    <w:rsid w:val="2F0CA84E"/>
    <w:rsid w:val="2F139DA6"/>
    <w:rsid w:val="2F1B0D58"/>
    <w:rsid w:val="2F1B8AD6"/>
    <w:rsid w:val="2F1DC513"/>
    <w:rsid w:val="2F232017"/>
    <w:rsid w:val="2F2B7499"/>
    <w:rsid w:val="2F2E6293"/>
    <w:rsid w:val="2F31B9F3"/>
    <w:rsid w:val="2F33B6AC"/>
    <w:rsid w:val="2F38E48B"/>
    <w:rsid w:val="2F396977"/>
    <w:rsid w:val="2F3EB316"/>
    <w:rsid w:val="2F41284F"/>
    <w:rsid w:val="2F47046D"/>
    <w:rsid w:val="2F47F7C6"/>
    <w:rsid w:val="2F4FA030"/>
    <w:rsid w:val="2F50DD15"/>
    <w:rsid w:val="2F575B0B"/>
    <w:rsid w:val="2F59C8CC"/>
    <w:rsid w:val="2F5D8F18"/>
    <w:rsid w:val="2F6B5F13"/>
    <w:rsid w:val="2F6E85A5"/>
    <w:rsid w:val="2F6F39D3"/>
    <w:rsid w:val="2F73FF11"/>
    <w:rsid w:val="2F75CA5D"/>
    <w:rsid w:val="2F7D42E6"/>
    <w:rsid w:val="2F8243D1"/>
    <w:rsid w:val="2F858E23"/>
    <w:rsid w:val="2F86044A"/>
    <w:rsid w:val="2F8ED7FF"/>
    <w:rsid w:val="2F9A9DDE"/>
    <w:rsid w:val="2F9E3E04"/>
    <w:rsid w:val="2F9FE17B"/>
    <w:rsid w:val="2FA01FDE"/>
    <w:rsid w:val="2FA07E3F"/>
    <w:rsid w:val="2FB78977"/>
    <w:rsid w:val="2FBB9A97"/>
    <w:rsid w:val="2FBE0613"/>
    <w:rsid w:val="2FC2AC4D"/>
    <w:rsid w:val="2FCACBF0"/>
    <w:rsid w:val="2FCC9CFD"/>
    <w:rsid w:val="2FCE510E"/>
    <w:rsid w:val="2FCF6A85"/>
    <w:rsid w:val="2FD091D4"/>
    <w:rsid w:val="2FE11892"/>
    <w:rsid w:val="2FE3D141"/>
    <w:rsid w:val="2FE4872F"/>
    <w:rsid w:val="2FE5080E"/>
    <w:rsid w:val="2FE95720"/>
    <w:rsid w:val="2FEFD675"/>
    <w:rsid w:val="2FF3D03D"/>
    <w:rsid w:val="2FF539F5"/>
    <w:rsid w:val="300045A9"/>
    <w:rsid w:val="300085AF"/>
    <w:rsid w:val="30038901"/>
    <w:rsid w:val="3015A84B"/>
    <w:rsid w:val="30167906"/>
    <w:rsid w:val="30232B59"/>
    <w:rsid w:val="3023A1A0"/>
    <w:rsid w:val="3025C6EE"/>
    <w:rsid w:val="302A286F"/>
    <w:rsid w:val="302AAF45"/>
    <w:rsid w:val="302BBBD8"/>
    <w:rsid w:val="302D2953"/>
    <w:rsid w:val="3036AB6E"/>
    <w:rsid w:val="30386DB8"/>
    <w:rsid w:val="303A2A36"/>
    <w:rsid w:val="303EB196"/>
    <w:rsid w:val="30476715"/>
    <w:rsid w:val="30477E09"/>
    <w:rsid w:val="30529647"/>
    <w:rsid w:val="30578E0A"/>
    <w:rsid w:val="306847BA"/>
    <w:rsid w:val="306A1BAB"/>
    <w:rsid w:val="306A3EA4"/>
    <w:rsid w:val="306A4DA7"/>
    <w:rsid w:val="306C7FE3"/>
    <w:rsid w:val="306D7DC4"/>
    <w:rsid w:val="306E3300"/>
    <w:rsid w:val="306E49A3"/>
    <w:rsid w:val="3071F05A"/>
    <w:rsid w:val="30735FA3"/>
    <w:rsid w:val="3077D6E4"/>
    <w:rsid w:val="307B5848"/>
    <w:rsid w:val="307E48FC"/>
    <w:rsid w:val="30800106"/>
    <w:rsid w:val="3093CA79"/>
    <w:rsid w:val="30947793"/>
    <w:rsid w:val="3095E8BF"/>
    <w:rsid w:val="3098216D"/>
    <w:rsid w:val="309CC325"/>
    <w:rsid w:val="30AA68DA"/>
    <w:rsid w:val="30B1FB32"/>
    <w:rsid w:val="30B6BF0A"/>
    <w:rsid w:val="30BD8A50"/>
    <w:rsid w:val="30BF2DEF"/>
    <w:rsid w:val="30C084AB"/>
    <w:rsid w:val="30C6BDC1"/>
    <w:rsid w:val="30C71406"/>
    <w:rsid w:val="30CA5502"/>
    <w:rsid w:val="30D1ECE6"/>
    <w:rsid w:val="30D61721"/>
    <w:rsid w:val="30E044C7"/>
    <w:rsid w:val="30E1FE43"/>
    <w:rsid w:val="30E5D895"/>
    <w:rsid w:val="30EC65EA"/>
    <w:rsid w:val="30F5E433"/>
    <w:rsid w:val="30F757DE"/>
    <w:rsid w:val="30F82C73"/>
    <w:rsid w:val="30FB94B0"/>
    <w:rsid w:val="30FBC5CB"/>
    <w:rsid w:val="310A2B64"/>
    <w:rsid w:val="310BBB07"/>
    <w:rsid w:val="310FB12C"/>
    <w:rsid w:val="31141A53"/>
    <w:rsid w:val="31160B50"/>
    <w:rsid w:val="31226965"/>
    <w:rsid w:val="3124D586"/>
    <w:rsid w:val="312B9727"/>
    <w:rsid w:val="313130BF"/>
    <w:rsid w:val="313BB072"/>
    <w:rsid w:val="313D0836"/>
    <w:rsid w:val="313E94B1"/>
    <w:rsid w:val="313EDBC4"/>
    <w:rsid w:val="3141C27C"/>
    <w:rsid w:val="314534FB"/>
    <w:rsid w:val="3147D271"/>
    <w:rsid w:val="31482F79"/>
    <w:rsid w:val="3148E67E"/>
    <w:rsid w:val="314C5A8A"/>
    <w:rsid w:val="314D057B"/>
    <w:rsid w:val="314FA25C"/>
    <w:rsid w:val="31570B24"/>
    <w:rsid w:val="3159DCFC"/>
    <w:rsid w:val="3161062A"/>
    <w:rsid w:val="316190BB"/>
    <w:rsid w:val="316263B5"/>
    <w:rsid w:val="3169241A"/>
    <w:rsid w:val="3177279F"/>
    <w:rsid w:val="31802789"/>
    <w:rsid w:val="31825635"/>
    <w:rsid w:val="3183DDBC"/>
    <w:rsid w:val="3189C6D3"/>
    <w:rsid w:val="31951EBD"/>
    <w:rsid w:val="31A0AD48"/>
    <w:rsid w:val="31A0F1C3"/>
    <w:rsid w:val="31A16405"/>
    <w:rsid w:val="31A19851"/>
    <w:rsid w:val="31A7DAEC"/>
    <w:rsid w:val="31AD0626"/>
    <w:rsid w:val="31B6E51C"/>
    <w:rsid w:val="31BA13E1"/>
    <w:rsid w:val="31BDDFCD"/>
    <w:rsid w:val="31BE0EE3"/>
    <w:rsid w:val="31C2FFB2"/>
    <w:rsid w:val="31C374CB"/>
    <w:rsid w:val="31C3FA55"/>
    <w:rsid w:val="31C605A2"/>
    <w:rsid w:val="31C8BA6E"/>
    <w:rsid w:val="31C8F74C"/>
    <w:rsid w:val="31D20A08"/>
    <w:rsid w:val="31D4D79F"/>
    <w:rsid w:val="31D6E662"/>
    <w:rsid w:val="31D8AAB0"/>
    <w:rsid w:val="31DD0FAD"/>
    <w:rsid w:val="31E1753C"/>
    <w:rsid w:val="31E59AD7"/>
    <w:rsid w:val="31E89A7E"/>
    <w:rsid w:val="31F8685E"/>
    <w:rsid w:val="31F951CB"/>
    <w:rsid w:val="31FFB9C3"/>
    <w:rsid w:val="32019294"/>
    <w:rsid w:val="320F67FC"/>
    <w:rsid w:val="3213158B"/>
    <w:rsid w:val="3213AB63"/>
    <w:rsid w:val="32145BC1"/>
    <w:rsid w:val="32170D0C"/>
    <w:rsid w:val="32178DC3"/>
    <w:rsid w:val="3224E243"/>
    <w:rsid w:val="3224F31A"/>
    <w:rsid w:val="322CACAB"/>
    <w:rsid w:val="323046E2"/>
    <w:rsid w:val="323AC419"/>
    <w:rsid w:val="323CD176"/>
    <w:rsid w:val="32415C49"/>
    <w:rsid w:val="3241A2FC"/>
    <w:rsid w:val="32421293"/>
    <w:rsid w:val="324DAD29"/>
    <w:rsid w:val="325A9C9D"/>
    <w:rsid w:val="325CEF2C"/>
    <w:rsid w:val="325F6532"/>
    <w:rsid w:val="3260E8CF"/>
    <w:rsid w:val="3272FE1C"/>
    <w:rsid w:val="3285A3D6"/>
    <w:rsid w:val="3285FD61"/>
    <w:rsid w:val="3286A78D"/>
    <w:rsid w:val="3288364B"/>
    <w:rsid w:val="32948963"/>
    <w:rsid w:val="3294F148"/>
    <w:rsid w:val="3296F560"/>
    <w:rsid w:val="32A21AD5"/>
    <w:rsid w:val="32A2EA0B"/>
    <w:rsid w:val="32BA76C3"/>
    <w:rsid w:val="32BAA66F"/>
    <w:rsid w:val="32C6FEFF"/>
    <w:rsid w:val="32C89993"/>
    <w:rsid w:val="32CAD487"/>
    <w:rsid w:val="32CEE596"/>
    <w:rsid w:val="32DAAC25"/>
    <w:rsid w:val="32DCA65B"/>
    <w:rsid w:val="32E571EA"/>
    <w:rsid w:val="32E583B5"/>
    <w:rsid w:val="32E9944B"/>
    <w:rsid w:val="32EA41E9"/>
    <w:rsid w:val="32EB0344"/>
    <w:rsid w:val="32F159C6"/>
    <w:rsid w:val="32F6DFCE"/>
    <w:rsid w:val="32F9EF25"/>
    <w:rsid w:val="32FA6A56"/>
    <w:rsid w:val="32FA6A64"/>
    <w:rsid w:val="32FE5102"/>
    <w:rsid w:val="3316672E"/>
    <w:rsid w:val="3317D80A"/>
    <w:rsid w:val="33192817"/>
    <w:rsid w:val="33208F6E"/>
    <w:rsid w:val="33228B6D"/>
    <w:rsid w:val="3322CAE0"/>
    <w:rsid w:val="33232BE7"/>
    <w:rsid w:val="332F6CE9"/>
    <w:rsid w:val="33338BDC"/>
    <w:rsid w:val="33422AB3"/>
    <w:rsid w:val="33443136"/>
    <w:rsid w:val="33455319"/>
    <w:rsid w:val="33470114"/>
    <w:rsid w:val="334920CD"/>
    <w:rsid w:val="334AE38F"/>
    <w:rsid w:val="33518E2C"/>
    <w:rsid w:val="3354F1F2"/>
    <w:rsid w:val="335A4EE0"/>
    <w:rsid w:val="3360C988"/>
    <w:rsid w:val="33693384"/>
    <w:rsid w:val="336B46CA"/>
    <w:rsid w:val="3374D572"/>
    <w:rsid w:val="3378FECB"/>
    <w:rsid w:val="33811261"/>
    <w:rsid w:val="338401A8"/>
    <w:rsid w:val="33857842"/>
    <w:rsid w:val="3385D69A"/>
    <w:rsid w:val="338FFEC9"/>
    <w:rsid w:val="33A893AC"/>
    <w:rsid w:val="33ADBCAA"/>
    <w:rsid w:val="33BE45F1"/>
    <w:rsid w:val="33C0B2D8"/>
    <w:rsid w:val="33C7B07F"/>
    <w:rsid w:val="33C80498"/>
    <w:rsid w:val="33C8C832"/>
    <w:rsid w:val="33C958FB"/>
    <w:rsid w:val="33CD926D"/>
    <w:rsid w:val="33D1BAD4"/>
    <w:rsid w:val="33D85127"/>
    <w:rsid w:val="33DC7527"/>
    <w:rsid w:val="33E3A8F5"/>
    <w:rsid w:val="33E8B778"/>
    <w:rsid w:val="33ED9ACB"/>
    <w:rsid w:val="33EE7020"/>
    <w:rsid w:val="33EF7DA0"/>
    <w:rsid w:val="33F0F0B0"/>
    <w:rsid w:val="33F239D1"/>
    <w:rsid w:val="33F75778"/>
    <w:rsid w:val="33F8E155"/>
    <w:rsid w:val="33FE2FB1"/>
    <w:rsid w:val="340086A2"/>
    <w:rsid w:val="3401878B"/>
    <w:rsid w:val="340B57D5"/>
    <w:rsid w:val="340E67DC"/>
    <w:rsid w:val="34143EB3"/>
    <w:rsid w:val="34160DA4"/>
    <w:rsid w:val="341788BE"/>
    <w:rsid w:val="3419CAC0"/>
    <w:rsid w:val="3419D2CC"/>
    <w:rsid w:val="341B570E"/>
    <w:rsid w:val="342240B5"/>
    <w:rsid w:val="34226E99"/>
    <w:rsid w:val="342408D1"/>
    <w:rsid w:val="3429BA10"/>
    <w:rsid w:val="342B25C8"/>
    <w:rsid w:val="342D6895"/>
    <w:rsid w:val="34359851"/>
    <w:rsid w:val="344296AA"/>
    <w:rsid w:val="34476658"/>
    <w:rsid w:val="344DD3FE"/>
    <w:rsid w:val="34533525"/>
    <w:rsid w:val="3455BC1E"/>
    <w:rsid w:val="34562FA6"/>
    <w:rsid w:val="3457646F"/>
    <w:rsid w:val="345CFA8F"/>
    <w:rsid w:val="345F79F0"/>
    <w:rsid w:val="346355D3"/>
    <w:rsid w:val="3463EEE4"/>
    <w:rsid w:val="34668E70"/>
    <w:rsid w:val="346AEBB7"/>
    <w:rsid w:val="3476063E"/>
    <w:rsid w:val="34770A58"/>
    <w:rsid w:val="347B767F"/>
    <w:rsid w:val="348DEE84"/>
    <w:rsid w:val="349FE58A"/>
    <w:rsid w:val="34A1DCC1"/>
    <w:rsid w:val="34A2F951"/>
    <w:rsid w:val="34A76E2B"/>
    <w:rsid w:val="34A8D087"/>
    <w:rsid w:val="34A96BF0"/>
    <w:rsid w:val="34B4593C"/>
    <w:rsid w:val="34BFEB69"/>
    <w:rsid w:val="34CA877E"/>
    <w:rsid w:val="34CD8D52"/>
    <w:rsid w:val="34D1E0F9"/>
    <w:rsid w:val="34D2938B"/>
    <w:rsid w:val="34D8DC97"/>
    <w:rsid w:val="34E4F670"/>
    <w:rsid w:val="34E6718C"/>
    <w:rsid w:val="34E831BC"/>
    <w:rsid w:val="34EC8185"/>
    <w:rsid w:val="34F15E5F"/>
    <w:rsid w:val="34F7E793"/>
    <w:rsid w:val="34FAC684"/>
    <w:rsid w:val="34FD3738"/>
    <w:rsid w:val="34FF3C0F"/>
    <w:rsid w:val="35011AC9"/>
    <w:rsid w:val="35026F5E"/>
    <w:rsid w:val="35034BA4"/>
    <w:rsid w:val="350531B1"/>
    <w:rsid w:val="35077C9D"/>
    <w:rsid w:val="3507EF7A"/>
    <w:rsid w:val="350C51CE"/>
    <w:rsid w:val="35106140"/>
    <w:rsid w:val="3511D80C"/>
    <w:rsid w:val="35123C96"/>
    <w:rsid w:val="35198B1C"/>
    <w:rsid w:val="351F3F76"/>
    <w:rsid w:val="351FCB37"/>
    <w:rsid w:val="3521A801"/>
    <w:rsid w:val="35263D7C"/>
    <w:rsid w:val="3536810E"/>
    <w:rsid w:val="353A1598"/>
    <w:rsid w:val="353D8CC7"/>
    <w:rsid w:val="3540B661"/>
    <w:rsid w:val="35415DAE"/>
    <w:rsid w:val="354B597B"/>
    <w:rsid w:val="354BD35E"/>
    <w:rsid w:val="35558E79"/>
    <w:rsid w:val="355BDFE6"/>
    <w:rsid w:val="355F1C5B"/>
    <w:rsid w:val="3560B2D5"/>
    <w:rsid w:val="356B7C43"/>
    <w:rsid w:val="35721E79"/>
    <w:rsid w:val="35738DBD"/>
    <w:rsid w:val="3576DA6B"/>
    <w:rsid w:val="35775156"/>
    <w:rsid w:val="357797DD"/>
    <w:rsid w:val="3578E523"/>
    <w:rsid w:val="357DE8E3"/>
    <w:rsid w:val="3587529B"/>
    <w:rsid w:val="35927A0B"/>
    <w:rsid w:val="359A1693"/>
    <w:rsid w:val="35A08221"/>
    <w:rsid w:val="35A65B9C"/>
    <w:rsid w:val="35A91AAF"/>
    <w:rsid w:val="35AC50C3"/>
    <w:rsid w:val="35AE5DCA"/>
    <w:rsid w:val="35B18786"/>
    <w:rsid w:val="35BB7657"/>
    <w:rsid w:val="35BC040B"/>
    <w:rsid w:val="35BE7728"/>
    <w:rsid w:val="35C2C816"/>
    <w:rsid w:val="35C44E9E"/>
    <w:rsid w:val="35C48074"/>
    <w:rsid w:val="35C4AB82"/>
    <w:rsid w:val="35CF004F"/>
    <w:rsid w:val="35DDC779"/>
    <w:rsid w:val="35EBCBA9"/>
    <w:rsid w:val="35EBF9B5"/>
    <w:rsid w:val="35F29057"/>
    <w:rsid w:val="35F6DF29"/>
    <w:rsid w:val="35F7CA15"/>
    <w:rsid w:val="35FDBE36"/>
    <w:rsid w:val="3605FFD0"/>
    <w:rsid w:val="36069D89"/>
    <w:rsid w:val="36078BC4"/>
    <w:rsid w:val="36081218"/>
    <w:rsid w:val="360DD5E1"/>
    <w:rsid w:val="3611D69F"/>
    <w:rsid w:val="36144CD1"/>
    <w:rsid w:val="361714B0"/>
    <w:rsid w:val="36225D60"/>
    <w:rsid w:val="3629440E"/>
    <w:rsid w:val="3631248C"/>
    <w:rsid w:val="363456A7"/>
    <w:rsid w:val="363C4A2A"/>
    <w:rsid w:val="363CC071"/>
    <w:rsid w:val="364233A6"/>
    <w:rsid w:val="3642C8C4"/>
    <w:rsid w:val="3644BB3A"/>
    <w:rsid w:val="36480FE7"/>
    <w:rsid w:val="3649C6EB"/>
    <w:rsid w:val="364D44E5"/>
    <w:rsid w:val="364F8B61"/>
    <w:rsid w:val="36500BE8"/>
    <w:rsid w:val="36507048"/>
    <w:rsid w:val="3650CA28"/>
    <w:rsid w:val="3650FA62"/>
    <w:rsid w:val="36542E71"/>
    <w:rsid w:val="3655A4D6"/>
    <w:rsid w:val="36580459"/>
    <w:rsid w:val="365CD365"/>
    <w:rsid w:val="365DCE10"/>
    <w:rsid w:val="365F3EC2"/>
    <w:rsid w:val="36647EF8"/>
    <w:rsid w:val="36689CD0"/>
    <w:rsid w:val="366B10F6"/>
    <w:rsid w:val="366DE4BD"/>
    <w:rsid w:val="367019BE"/>
    <w:rsid w:val="367F97D2"/>
    <w:rsid w:val="36806ADB"/>
    <w:rsid w:val="36807488"/>
    <w:rsid w:val="3682D710"/>
    <w:rsid w:val="368E6457"/>
    <w:rsid w:val="368EA9CA"/>
    <w:rsid w:val="368F51F0"/>
    <w:rsid w:val="3690D4B3"/>
    <w:rsid w:val="3691DB0B"/>
    <w:rsid w:val="369F7F31"/>
    <w:rsid w:val="36A742DA"/>
    <w:rsid w:val="36B21E02"/>
    <w:rsid w:val="36B44CA6"/>
    <w:rsid w:val="36BF8C04"/>
    <w:rsid w:val="36DAC641"/>
    <w:rsid w:val="36DAD572"/>
    <w:rsid w:val="36DAE668"/>
    <w:rsid w:val="36DB9ED7"/>
    <w:rsid w:val="36E04710"/>
    <w:rsid w:val="36E43ED5"/>
    <w:rsid w:val="36E7A469"/>
    <w:rsid w:val="36EC4ABA"/>
    <w:rsid w:val="36F1CB0C"/>
    <w:rsid w:val="36F63D0F"/>
    <w:rsid w:val="36F7CAE2"/>
    <w:rsid w:val="36FB7DE1"/>
    <w:rsid w:val="36FF83CF"/>
    <w:rsid w:val="3702666C"/>
    <w:rsid w:val="37042A1E"/>
    <w:rsid w:val="370B55E5"/>
    <w:rsid w:val="370E79E6"/>
    <w:rsid w:val="371B3F2F"/>
    <w:rsid w:val="371EE410"/>
    <w:rsid w:val="37237706"/>
    <w:rsid w:val="37259C6E"/>
    <w:rsid w:val="37296B36"/>
    <w:rsid w:val="373305C1"/>
    <w:rsid w:val="37342866"/>
    <w:rsid w:val="37370DF9"/>
    <w:rsid w:val="3738A999"/>
    <w:rsid w:val="37429F6D"/>
    <w:rsid w:val="374302BE"/>
    <w:rsid w:val="374383A0"/>
    <w:rsid w:val="3747BF2F"/>
    <w:rsid w:val="3748FEE7"/>
    <w:rsid w:val="374C2E57"/>
    <w:rsid w:val="3750B438"/>
    <w:rsid w:val="37511663"/>
    <w:rsid w:val="37514834"/>
    <w:rsid w:val="37587B01"/>
    <w:rsid w:val="375EF5FB"/>
    <w:rsid w:val="3762E56B"/>
    <w:rsid w:val="376437B3"/>
    <w:rsid w:val="3768F1EC"/>
    <w:rsid w:val="376942ED"/>
    <w:rsid w:val="376956FF"/>
    <w:rsid w:val="376B8631"/>
    <w:rsid w:val="376F824E"/>
    <w:rsid w:val="377C6224"/>
    <w:rsid w:val="3785A0B5"/>
    <w:rsid w:val="37860B40"/>
    <w:rsid w:val="37878E69"/>
    <w:rsid w:val="37890B74"/>
    <w:rsid w:val="378D1469"/>
    <w:rsid w:val="378EBDA1"/>
    <w:rsid w:val="37944714"/>
    <w:rsid w:val="379BEA06"/>
    <w:rsid w:val="379E81AB"/>
    <w:rsid w:val="379ECF18"/>
    <w:rsid w:val="37ADD43C"/>
    <w:rsid w:val="37B5680C"/>
    <w:rsid w:val="37B6CAA1"/>
    <w:rsid w:val="37C5146F"/>
    <w:rsid w:val="37C5B67C"/>
    <w:rsid w:val="37D00BB0"/>
    <w:rsid w:val="37DAE2F7"/>
    <w:rsid w:val="37DC482E"/>
    <w:rsid w:val="37E261DC"/>
    <w:rsid w:val="37EA0191"/>
    <w:rsid w:val="37EE5834"/>
    <w:rsid w:val="37F05C2C"/>
    <w:rsid w:val="37F2F0BA"/>
    <w:rsid w:val="37F2F773"/>
    <w:rsid w:val="37F46B03"/>
    <w:rsid w:val="37FA9C1B"/>
    <w:rsid w:val="37FCFDE9"/>
    <w:rsid w:val="38031C67"/>
    <w:rsid w:val="3805D222"/>
    <w:rsid w:val="3805E7B0"/>
    <w:rsid w:val="380E902F"/>
    <w:rsid w:val="3811FC79"/>
    <w:rsid w:val="38144E1D"/>
    <w:rsid w:val="3814ED9C"/>
    <w:rsid w:val="38151BC3"/>
    <w:rsid w:val="38164E5C"/>
    <w:rsid w:val="38214E52"/>
    <w:rsid w:val="382D159A"/>
    <w:rsid w:val="382D2573"/>
    <w:rsid w:val="383114FA"/>
    <w:rsid w:val="3831247A"/>
    <w:rsid w:val="38406804"/>
    <w:rsid w:val="3845A57C"/>
    <w:rsid w:val="3845D940"/>
    <w:rsid w:val="384950CE"/>
    <w:rsid w:val="384BE5F3"/>
    <w:rsid w:val="384D07D3"/>
    <w:rsid w:val="385B1B2A"/>
    <w:rsid w:val="385D4B57"/>
    <w:rsid w:val="385F221B"/>
    <w:rsid w:val="38625AB6"/>
    <w:rsid w:val="3862FE0B"/>
    <w:rsid w:val="386579D6"/>
    <w:rsid w:val="38695F21"/>
    <w:rsid w:val="38696BFF"/>
    <w:rsid w:val="3869D498"/>
    <w:rsid w:val="386E1F4F"/>
    <w:rsid w:val="386FEB87"/>
    <w:rsid w:val="387192B6"/>
    <w:rsid w:val="38743F79"/>
    <w:rsid w:val="387BF4E8"/>
    <w:rsid w:val="387C4651"/>
    <w:rsid w:val="38852F80"/>
    <w:rsid w:val="3887238F"/>
    <w:rsid w:val="3888CB7D"/>
    <w:rsid w:val="388AA0CE"/>
    <w:rsid w:val="388E00D0"/>
    <w:rsid w:val="38925434"/>
    <w:rsid w:val="389650DA"/>
    <w:rsid w:val="3897F6D5"/>
    <w:rsid w:val="38A06F8F"/>
    <w:rsid w:val="38AAC0D3"/>
    <w:rsid w:val="38AB1A49"/>
    <w:rsid w:val="38AB78C2"/>
    <w:rsid w:val="38AF85BC"/>
    <w:rsid w:val="38BA7829"/>
    <w:rsid w:val="38BCF7B7"/>
    <w:rsid w:val="38BD2113"/>
    <w:rsid w:val="38C2F885"/>
    <w:rsid w:val="38C73C0D"/>
    <w:rsid w:val="38C85578"/>
    <w:rsid w:val="38CC180A"/>
    <w:rsid w:val="38D0623C"/>
    <w:rsid w:val="38D87B24"/>
    <w:rsid w:val="38D88062"/>
    <w:rsid w:val="38D8CBF9"/>
    <w:rsid w:val="38DA478E"/>
    <w:rsid w:val="38DB5FCD"/>
    <w:rsid w:val="38E25D27"/>
    <w:rsid w:val="38E645DC"/>
    <w:rsid w:val="38F2AF1B"/>
    <w:rsid w:val="38F48430"/>
    <w:rsid w:val="38F74CC9"/>
    <w:rsid w:val="38FB7EC2"/>
    <w:rsid w:val="390D2128"/>
    <w:rsid w:val="390D577D"/>
    <w:rsid w:val="3911A975"/>
    <w:rsid w:val="391260B6"/>
    <w:rsid w:val="3915D684"/>
    <w:rsid w:val="3916049E"/>
    <w:rsid w:val="3917E06C"/>
    <w:rsid w:val="3919F9B2"/>
    <w:rsid w:val="391B4D1E"/>
    <w:rsid w:val="391C766B"/>
    <w:rsid w:val="391D5206"/>
    <w:rsid w:val="391D9E6E"/>
    <w:rsid w:val="392129C9"/>
    <w:rsid w:val="393120DA"/>
    <w:rsid w:val="3931F182"/>
    <w:rsid w:val="3932E738"/>
    <w:rsid w:val="3934BF78"/>
    <w:rsid w:val="393C843E"/>
    <w:rsid w:val="39412761"/>
    <w:rsid w:val="3943574C"/>
    <w:rsid w:val="3944EF52"/>
    <w:rsid w:val="39453B75"/>
    <w:rsid w:val="394586A3"/>
    <w:rsid w:val="39528402"/>
    <w:rsid w:val="395869CD"/>
    <w:rsid w:val="395CEB48"/>
    <w:rsid w:val="395ED1BC"/>
    <w:rsid w:val="39638DB2"/>
    <w:rsid w:val="396D1F7A"/>
    <w:rsid w:val="39710194"/>
    <w:rsid w:val="3974A658"/>
    <w:rsid w:val="397DBC79"/>
    <w:rsid w:val="397E5B8C"/>
    <w:rsid w:val="3984EDB9"/>
    <w:rsid w:val="3993832A"/>
    <w:rsid w:val="3994A85D"/>
    <w:rsid w:val="399730C8"/>
    <w:rsid w:val="39976A0F"/>
    <w:rsid w:val="39A0DE79"/>
    <w:rsid w:val="39A34966"/>
    <w:rsid w:val="39A6FA33"/>
    <w:rsid w:val="39AD9F10"/>
    <w:rsid w:val="39B21B00"/>
    <w:rsid w:val="39B623B3"/>
    <w:rsid w:val="39BAA892"/>
    <w:rsid w:val="39BBA4B1"/>
    <w:rsid w:val="39C0E74B"/>
    <w:rsid w:val="39C4E26E"/>
    <w:rsid w:val="39C9CD74"/>
    <w:rsid w:val="39D43E43"/>
    <w:rsid w:val="39D66523"/>
    <w:rsid w:val="39D89363"/>
    <w:rsid w:val="39DE8E12"/>
    <w:rsid w:val="39E1BCAA"/>
    <w:rsid w:val="39EA4C8C"/>
    <w:rsid w:val="39ED1BAF"/>
    <w:rsid w:val="39F4AC16"/>
    <w:rsid w:val="39F614F0"/>
    <w:rsid w:val="39F71892"/>
    <w:rsid w:val="39F9AE9D"/>
    <w:rsid w:val="3A01BD3C"/>
    <w:rsid w:val="3A075B83"/>
    <w:rsid w:val="3A0D246C"/>
    <w:rsid w:val="3A106463"/>
    <w:rsid w:val="3A182CE1"/>
    <w:rsid w:val="3A36BC2E"/>
    <w:rsid w:val="3A3CD3B6"/>
    <w:rsid w:val="3A3D6BA4"/>
    <w:rsid w:val="3A4517D3"/>
    <w:rsid w:val="3A49BD2E"/>
    <w:rsid w:val="3A4FC0BD"/>
    <w:rsid w:val="3A5D4E67"/>
    <w:rsid w:val="3A613635"/>
    <w:rsid w:val="3A636BF9"/>
    <w:rsid w:val="3A6A30FC"/>
    <w:rsid w:val="3A6CA644"/>
    <w:rsid w:val="3A712993"/>
    <w:rsid w:val="3A88768D"/>
    <w:rsid w:val="3A931378"/>
    <w:rsid w:val="3A95299A"/>
    <w:rsid w:val="3A963939"/>
    <w:rsid w:val="3A994284"/>
    <w:rsid w:val="3A9DAAA7"/>
    <w:rsid w:val="3AA1615E"/>
    <w:rsid w:val="3AA9C49B"/>
    <w:rsid w:val="3AAF11C8"/>
    <w:rsid w:val="3AB0896F"/>
    <w:rsid w:val="3AB7E883"/>
    <w:rsid w:val="3AB7F8E2"/>
    <w:rsid w:val="3ABD57D5"/>
    <w:rsid w:val="3ABFA744"/>
    <w:rsid w:val="3AC106F7"/>
    <w:rsid w:val="3AC115BA"/>
    <w:rsid w:val="3AC21E16"/>
    <w:rsid w:val="3AC5164D"/>
    <w:rsid w:val="3AC6EF39"/>
    <w:rsid w:val="3ACC9C1E"/>
    <w:rsid w:val="3ACD65DD"/>
    <w:rsid w:val="3AD1012D"/>
    <w:rsid w:val="3AD1A766"/>
    <w:rsid w:val="3AD5A3BC"/>
    <w:rsid w:val="3AD694F3"/>
    <w:rsid w:val="3AD70148"/>
    <w:rsid w:val="3ADDEF69"/>
    <w:rsid w:val="3ADE9961"/>
    <w:rsid w:val="3AE0C50B"/>
    <w:rsid w:val="3AE98785"/>
    <w:rsid w:val="3AECCBDC"/>
    <w:rsid w:val="3AF0579E"/>
    <w:rsid w:val="3AF0FF59"/>
    <w:rsid w:val="3AF8F776"/>
    <w:rsid w:val="3AFCED4A"/>
    <w:rsid w:val="3AFF35FB"/>
    <w:rsid w:val="3B0C6F22"/>
    <w:rsid w:val="3B14F735"/>
    <w:rsid w:val="3B1C8AD1"/>
    <w:rsid w:val="3B2A04F3"/>
    <w:rsid w:val="3B2D521E"/>
    <w:rsid w:val="3B2EA462"/>
    <w:rsid w:val="3B3485B2"/>
    <w:rsid w:val="3B350901"/>
    <w:rsid w:val="3B3AE730"/>
    <w:rsid w:val="3B3CC585"/>
    <w:rsid w:val="3B3D432E"/>
    <w:rsid w:val="3B3D5493"/>
    <w:rsid w:val="3B41EDC1"/>
    <w:rsid w:val="3B424C1C"/>
    <w:rsid w:val="3B42BB20"/>
    <w:rsid w:val="3B4668A7"/>
    <w:rsid w:val="3B4CB28C"/>
    <w:rsid w:val="3B5F750E"/>
    <w:rsid w:val="3B65BB8C"/>
    <w:rsid w:val="3B722527"/>
    <w:rsid w:val="3B74FD4D"/>
    <w:rsid w:val="3B789E62"/>
    <w:rsid w:val="3B796EDF"/>
    <w:rsid w:val="3B841F07"/>
    <w:rsid w:val="3B8450A8"/>
    <w:rsid w:val="3B88E34E"/>
    <w:rsid w:val="3B8992FD"/>
    <w:rsid w:val="3B8DB42D"/>
    <w:rsid w:val="3B96FEAF"/>
    <w:rsid w:val="3B97C44E"/>
    <w:rsid w:val="3BA3B7F7"/>
    <w:rsid w:val="3BA4BFA5"/>
    <w:rsid w:val="3BA5424A"/>
    <w:rsid w:val="3BA8BD6B"/>
    <w:rsid w:val="3BAAB2AA"/>
    <w:rsid w:val="3BB14427"/>
    <w:rsid w:val="3BB1A568"/>
    <w:rsid w:val="3BB50075"/>
    <w:rsid w:val="3BB9ECC0"/>
    <w:rsid w:val="3BBBF925"/>
    <w:rsid w:val="3BCBDF49"/>
    <w:rsid w:val="3BCF6583"/>
    <w:rsid w:val="3BD38600"/>
    <w:rsid w:val="3BDBA5C2"/>
    <w:rsid w:val="3BE3B126"/>
    <w:rsid w:val="3BE6A6F3"/>
    <w:rsid w:val="3BECD6F4"/>
    <w:rsid w:val="3BF7FC07"/>
    <w:rsid w:val="3BFB1379"/>
    <w:rsid w:val="3C099A17"/>
    <w:rsid w:val="3C0C0360"/>
    <w:rsid w:val="3C0F535A"/>
    <w:rsid w:val="3C0FA4B8"/>
    <w:rsid w:val="3C13BD47"/>
    <w:rsid w:val="3C1442B1"/>
    <w:rsid w:val="3C1D460D"/>
    <w:rsid w:val="3C230DFD"/>
    <w:rsid w:val="3C2B3A50"/>
    <w:rsid w:val="3C2C944E"/>
    <w:rsid w:val="3C2F5B5F"/>
    <w:rsid w:val="3C30E64E"/>
    <w:rsid w:val="3C3A062D"/>
    <w:rsid w:val="3C3B0E10"/>
    <w:rsid w:val="3C3BB950"/>
    <w:rsid w:val="3C3C295A"/>
    <w:rsid w:val="3C3C6367"/>
    <w:rsid w:val="3C4A369B"/>
    <w:rsid w:val="3C549956"/>
    <w:rsid w:val="3C58181D"/>
    <w:rsid w:val="3C5E516E"/>
    <w:rsid w:val="3C6B7C84"/>
    <w:rsid w:val="3C707AD3"/>
    <w:rsid w:val="3C71FF10"/>
    <w:rsid w:val="3C767AC7"/>
    <w:rsid w:val="3C79BB43"/>
    <w:rsid w:val="3C7A531A"/>
    <w:rsid w:val="3C7EF563"/>
    <w:rsid w:val="3C7F41BC"/>
    <w:rsid w:val="3C856E66"/>
    <w:rsid w:val="3C940005"/>
    <w:rsid w:val="3C9A32A8"/>
    <w:rsid w:val="3C9A6473"/>
    <w:rsid w:val="3C9C4B00"/>
    <w:rsid w:val="3CA096AD"/>
    <w:rsid w:val="3CA3DDB6"/>
    <w:rsid w:val="3CAA1DF3"/>
    <w:rsid w:val="3CAA943B"/>
    <w:rsid w:val="3CB03BBF"/>
    <w:rsid w:val="3CB3EE2E"/>
    <w:rsid w:val="3CB6AFEC"/>
    <w:rsid w:val="3CBF8EA7"/>
    <w:rsid w:val="3CC12BA2"/>
    <w:rsid w:val="3CCADECC"/>
    <w:rsid w:val="3CCB9F91"/>
    <w:rsid w:val="3CD5F00C"/>
    <w:rsid w:val="3CE5E6BC"/>
    <w:rsid w:val="3CE6B9BD"/>
    <w:rsid w:val="3CE7572C"/>
    <w:rsid w:val="3CEC63A3"/>
    <w:rsid w:val="3CEED168"/>
    <w:rsid w:val="3CEF9429"/>
    <w:rsid w:val="3CF1E823"/>
    <w:rsid w:val="3CF44E41"/>
    <w:rsid w:val="3CF5A34D"/>
    <w:rsid w:val="3CFC8DD3"/>
    <w:rsid w:val="3D09D8F3"/>
    <w:rsid w:val="3D108899"/>
    <w:rsid w:val="3D10B246"/>
    <w:rsid w:val="3D17C65E"/>
    <w:rsid w:val="3D18833E"/>
    <w:rsid w:val="3D1B9377"/>
    <w:rsid w:val="3D2173F3"/>
    <w:rsid w:val="3D219DB6"/>
    <w:rsid w:val="3D21FB02"/>
    <w:rsid w:val="3D23E993"/>
    <w:rsid w:val="3D2B56DF"/>
    <w:rsid w:val="3D2DF0F1"/>
    <w:rsid w:val="3D39FB2D"/>
    <w:rsid w:val="3D3C4F68"/>
    <w:rsid w:val="3D3F8225"/>
    <w:rsid w:val="3D4915A9"/>
    <w:rsid w:val="3D4F6146"/>
    <w:rsid w:val="3D542A65"/>
    <w:rsid w:val="3D574385"/>
    <w:rsid w:val="3D58AEDD"/>
    <w:rsid w:val="3D5F1269"/>
    <w:rsid w:val="3D5FDDE5"/>
    <w:rsid w:val="3D61E509"/>
    <w:rsid w:val="3D61F9E4"/>
    <w:rsid w:val="3D6AB0B3"/>
    <w:rsid w:val="3D75585D"/>
    <w:rsid w:val="3D758B2D"/>
    <w:rsid w:val="3D8070C0"/>
    <w:rsid w:val="3D8C7371"/>
    <w:rsid w:val="3D8FB962"/>
    <w:rsid w:val="3D9BA856"/>
    <w:rsid w:val="3D9CE1C2"/>
    <w:rsid w:val="3DAFB8F7"/>
    <w:rsid w:val="3DB1353E"/>
    <w:rsid w:val="3DB44399"/>
    <w:rsid w:val="3DBB8FB3"/>
    <w:rsid w:val="3DC4431A"/>
    <w:rsid w:val="3DD0BFB9"/>
    <w:rsid w:val="3DD48A92"/>
    <w:rsid w:val="3DE4DE4A"/>
    <w:rsid w:val="3DE630BB"/>
    <w:rsid w:val="3DEADBE2"/>
    <w:rsid w:val="3DEFA61B"/>
    <w:rsid w:val="3DF034AA"/>
    <w:rsid w:val="3DF0D248"/>
    <w:rsid w:val="3DF29CDB"/>
    <w:rsid w:val="3DF9DB5E"/>
    <w:rsid w:val="3DFA0766"/>
    <w:rsid w:val="3DFADA64"/>
    <w:rsid w:val="3DFDB702"/>
    <w:rsid w:val="3DFE29F4"/>
    <w:rsid w:val="3E03C74F"/>
    <w:rsid w:val="3E046152"/>
    <w:rsid w:val="3E086D4C"/>
    <w:rsid w:val="3E0C3689"/>
    <w:rsid w:val="3E0C7952"/>
    <w:rsid w:val="3E0CCE3E"/>
    <w:rsid w:val="3E0E9978"/>
    <w:rsid w:val="3E0FCD92"/>
    <w:rsid w:val="3E137DD8"/>
    <w:rsid w:val="3E1DEF25"/>
    <w:rsid w:val="3E1F8A1F"/>
    <w:rsid w:val="3E305254"/>
    <w:rsid w:val="3E344C93"/>
    <w:rsid w:val="3E35682C"/>
    <w:rsid w:val="3E3ADD69"/>
    <w:rsid w:val="3E3C743B"/>
    <w:rsid w:val="3E4163CE"/>
    <w:rsid w:val="3E446ADD"/>
    <w:rsid w:val="3E457675"/>
    <w:rsid w:val="3E4ED147"/>
    <w:rsid w:val="3E520375"/>
    <w:rsid w:val="3E52804D"/>
    <w:rsid w:val="3E52E6D1"/>
    <w:rsid w:val="3E5CC360"/>
    <w:rsid w:val="3E68F841"/>
    <w:rsid w:val="3E6A0D05"/>
    <w:rsid w:val="3E6EEF12"/>
    <w:rsid w:val="3E70E66D"/>
    <w:rsid w:val="3E71457E"/>
    <w:rsid w:val="3E71B413"/>
    <w:rsid w:val="3E726B82"/>
    <w:rsid w:val="3E72F660"/>
    <w:rsid w:val="3E752E71"/>
    <w:rsid w:val="3E760DA4"/>
    <w:rsid w:val="3E783C21"/>
    <w:rsid w:val="3E7BC2CA"/>
    <w:rsid w:val="3E7C0595"/>
    <w:rsid w:val="3E7F8125"/>
    <w:rsid w:val="3E826E93"/>
    <w:rsid w:val="3E83299A"/>
    <w:rsid w:val="3E8E0E23"/>
    <w:rsid w:val="3E935A87"/>
    <w:rsid w:val="3E945B00"/>
    <w:rsid w:val="3E959C97"/>
    <w:rsid w:val="3E975960"/>
    <w:rsid w:val="3E9D4D89"/>
    <w:rsid w:val="3E9D61F4"/>
    <w:rsid w:val="3EA1C147"/>
    <w:rsid w:val="3EA3E634"/>
    <w:rsid w:val="3EA45250"/>
    <w:rsid w:val="3EA7D775"/>
    <w:rsid w:val="3EA9C4CC"/>
    <w:rsid w:val="3EAF13A6"/>
    <w:rsid w:val="3EB13173"/>
    <w:rsid w:val="3EB4A60E"/>
    <w:rsid w:val="3EB87B90"/>
    <w:rsid w:val="3ECE73D2"/>
    <w:rsid w:val="3ECEF00E"/>
    <w:rsid w:val="3ED09C3B"/>
    <w:rsid w:val="3ED0C6FB"/>
    <w:rsid w:val="3EE3D3D8"/>
    <w:rsid w:val="3EF2CFFD"/>
    <w:rsid w:val="3EF5CC13"/>
    <w:rsid w:val="3EFAAC02"/>
    <w:rsid w:val="3EFEDABF"/>
    <w:rsid w:val="3F02FEE5"/>
    <w:rsid w:val="3F097121"/>
    <w:rsid w:val="3F0DE177"/>
    <w:rsid w:val="3F0E442D"/>
    <w:rsid w:val="3F10F028"/>
    <w:rsid w:val="3F1408DC"/>
    <w:rsid w:val="3F19AAA8"/>
    <w:rsid w:val="3F1DFCA4"/>
    <w:rsid w:val="3F1FF518"/>
    <w:rsid w:val="3F2284F9"/>
    <w:rsid w:val="3F23B48E"/>
    <w:rsid w:val="3F25E25D"/>
    <w:rsid w:val="3F3290C5"/>
    <w:rsid w:val="3F334BE3"/>
    <w:rsid w:val="3F373E25"/>
    <w:rsid w:val="3F48E757"/>
    <w:rsid w:val="3F54951D"/>
    <w:rsid w:val="3F5969B4"/>
    <w:rsid w:val="3F5AEFCD"/>
    <w:rsid w:val="3F5F6CE4"/>
    <w:rsid w:val="3F60FFF8"/>
    <w:rsid w:val="3F618F5C"/>
    <w:rsid w:val="3F6303D8"/>
    <w:rsid w:val="3F64D623"/>
    <w:rsid w:val="3F6A05BD"/>
    <w:rsid w:val="3F6DD69A"/>
    <w:rsid w:val="3F728428"/>
    <w:rsid w:val="3F7856AC"/>
    <w:rsid w:val="3F8FFA07"/>
    <w:rsid w:val="3F9525A4"/>
    <w:rsid w:val="3F982A46"/>
    <w:rsid w:val="3F9963B1"/>
    <w:rsid w:val="3F99FA34"/>
    <w:rsid w:val="3F9DC9CA"/>
    <w:rsid w:val="3FAEA1A9"/>
    <w:rsid w:val="3FB70D4D"/>
    <w:rsid w:val="3FBA7948"/>
    <w:rsid w:val="3FBA865A"/>
    <w:rsid w:val="3FBFF372"/>
    <w:rsid w:val="3FCDC3BD"/>
    <w:rsid w:val="3FD9575A"/>
    <w:rsid w:val="3FDC8F31"/>
    <w:rsid w:val="3FDCDFF4"/>
    <w:rsid w:val="3FDDB8A8"/>
    <w:rsid w:val="3FE01CE1"/>
    <w:rsid w:val="3FE04C83"/>
    <w:rsid w:val="3FE8C443"/>
    <w:rsid w:val="3FE9C909"/>
    <w:rsid w:val="3FEE56DC"/>
    <w:rsid w:val="3FFF4EE5"/>
    <w:rsid w:val="4007B9B6"/>
    <w:rsid w:val="4009DAF4"/>
    <w:rsid w:val="400F2C01"/>
    <w:rsid w:val="4010D07C"/>
    <w:rsid w:val="40145049"/>
    <w:rsid w:val="40187F7C"/>
    <w:rsid w:val="402F7EC6"/>
    <w:rsid w:val="4033D464"/>
    <w:rsid w:val="40409007"/>
    <w:rsid w:val="40436A2B"/>
    <w:rsid w:val="404EFB01"/>
    <w:rsid w:val="4055D2A7"/>
    <w:rsid w:val="405A6D5F"/>
    <w:rsid w:val="405A9B4D"/>
    <w:rsid w:val="405E16D8"/>
    <w:rsid w:val="405F1C27"/>
    <w:rsid w:val="4069F98E"/>
    <w:rsid w:val="406A92D6"/>
    <w:rsid w:val="406F5E3A"/>
    <w:rsid w:val="407344EB"/>
    <w:rsid w:val="4073CED9"/>
    <w:rsid w:val="40761918"/>
    <w:rsid w:val="407CBD81"/>
    <w:rsid w:val="4080101D"/>
    <w:rsid w:val="40807CB1"/>
    <w:rsid w:val="4083AEBC"/>
    <w:rsid w:val="408B3B73"/>
    <w:rsid w:val="408E0D16"/>
    <w:rsid w:val="4093B8BC"/>
    <w:rsid w:val="40966B9B"/>
    <w:rsid w:val="40981955"/>
    <w:rsid w:val="409B6B1E"/>
    <w:rsid w:val="409D87DE"/>
    <w:rsid w:val="40A00D4D"/>
    <w:rsid w:val="40A32821"/>
    <w:rsid w:val="40A42D80"/>
    <w:rsid w:val="40A7529C"/>
    <w:rsid w:val="40B2ED16"/>
    <w:rsid w:val="40BFCB4F"/>
    <w:rsid w:val="40C95065"/>
    <w:rsid w:val="40CD7AE5"/>
    <w:rsid w:val="40D9BAA7"/>
    <w:rsid w:val="40E17D87"/>
    <w:rsid w:val="40E2E125"/>
    <w:rsid w:val="40E8B859"/>
    <w:rsid w:val="40E955EF"/>
    <w:rsid w:val="40ECCEB1"/>
    <w:rsid w:val="40F0155D"/>
    <w:rsid w:val="40F28B15"/>
    <w:rsid w:val="40F7DAA2"/>
    <w:rsid w:val="40F7ECD7"/>
    <w:rsid w:val="40FAC0BC"/>
    <w:rsid w:val="41039DCB"/>
    <w:rsid w:val="4108312A"/>
    <w:rsid w:val="4109021B"/>
    <w:rsid w:val="41102FC5"/>
    <w:rsid w:val="41135098"/>
    <w:rsid w:val="411BF591"/>
    <w:rsid w:val="411CD8AD"/>
    <w:rsid w:val="41210CC3"/>
    <w:rsid w:val="41249E39"/>
    <w:rsid w:val="4127086C"/>
    <w:rsid w:val="412A35F5"/>
    <w:rsid w:val="4130714C"/>
    <w:rsid w:val="41359EF3"/>
    <w:rsid w:val="41389FC1"/>
    <w:rsid w:val="413960EF"/>
    <w:rsid w:val="413CFF84"/>
    <w:rsid w:val="413D82CB"/>
    <w:rsid w:val="41477189"/>
    <w:rsid w:val="41481075"/>
    <w:rsid w:val="414E7D23"/>
    <w:rsid w:val="414EF299"/>
    <w:rsid w:val="41527F1A"/>
    <w:rsid w:val="4153F0D6"/>
    <w:rsid w:val="415DB352"/>
    <w:rsid w:val="415FF68F"/>
    <w:rsid w:val="41647259"/>
    <w:rsid w:val="4169B130"/>
    <w:rsid w:val="4175EB1C"/>
    <w:rsid w:val="417ACD45"/>
    <w:rsid w:val="4186DD39"/>
    <w:rsid w:val="418C6C08"/>
    <w:rsid w:val="419528F2"/>
    <w:rsid w:val="419AA8AD"/>
    <w:rsid w:val="419EFD89"/>
    <w:rsid w:val="41A42731"/>
    <w:rsid w:val="41A7F979"/>
    <w:rsid w:val="41A9E087"/>
    <w:rsid w:val="41B0926B"/>
    <w:rsid w:val="41B58E35"/>
    <w:rsid w:val="41B8DE88"/>
    <w:rsid w:val="41C167C8"/>
    <w:rsid w:val="41C56465"/>
    <w:rsid w:val="41C99AA1"/>
    <w:rsid w:val="41CAC438"/>
    <w:rsid w:val="41CDC763"/>
    <w:rsid w:val="41CE6211"/>
    <w:rsid w:val="41D5EE13"/>
    <w:rsid w:val="41D6C47C"/>
    <w:rsid w:val="41D79B06"/>
    <w:rsid w:val="41DB3522"/>
    <w:rsid w:val="41E077AD"/>
    <w:rsid w:val="41E58807"/>
    <w:rsid w:val="41E7C526"/>
    <w:rsid w:val="41E96F36"/>
    <w:rsid w:val="41E9BC8F"/>
    <w:rsid w:val="41EA285F"/>
    <w:rsid w:val="41EA6351"/>
    <w:rsid w:val="41ED4F7A"/>
    <w:rsid w:val="41F47BEF"/>
    <w:rsid w:val="41FA1DAD"/>
    <w:rsid w:val="41FE818F"/>
    <w:rsid w:val="420713A0"/>
    <w:rsid w:val="42095FA9"/>
    <w:rsid w:val="420DCAE9"/>
    <w:rsid w:val="42191E6B"/>
    <w:rsid w:val="421B5422"/>
    <w:rsid w:val="4221338A"/>
    <w:rsid w:val="4221D700"/>
    <w:rsid w:val="4222791F"/>
    <w:rsid w:val="4249364A"/>
    <w:rsid w:val="424C7B1B"/>
    <w:rsid w:val="4252DDEC"/>
    <w:rsid w:val="4253B821"/>
    <w:rsid w:val="4261F3E9"/>
    <w:rsid w:val="42632A19"/>
    <w:rsid w:val="426447F8"/>
    <w:rsid w:val="426543E2"/>
    <w:rsid w:val="42729A75"/>
    <w:rsid w:val="427796A5"/>
    <w:rsid w:val="4278223A"/>
    <w:rsid w:val="427C4E34"/>
    <w:rsid w:val="427ECFE2"/>
    <w:rsid w:val="4283F2AC"/>
    <w:rsid w:val="428972CD"/>
    <w:rsid w:val="429DA62E"/>
    <w:rsid w:val="429F0DBB"/>
    <w:rsid w:val="42A09223"/>
    <w:rsid w:val="42B42424"/>
    <w:rsid w:val="42BC6444"/>
    <w:rsid w:val="42BDC1CE"/>
    <w:rsid w:val="42C02A6E"/>
    <w:rsid w:val="42C3C6FF"/>
    <w:rsid w:val="42C41753"/>
    <w:rsid w:val="42C57D23"/>
    <w:rsid w:val="42D0AF16"/>
    <w:rsid w:val="42D81B95"/>
    <w:rsid w:val="42E2A05C"/>
    <w:rsid w:val="42E33FD0"/>
    <w:rsid w:val="42E52C9C"/>
    <w:rsid w:val="42EC3234"/>
    <w:rsid w:val="42EC8310"/>
    <w:rsid w:val="42EF49BB"/>
    <w:rsid w:val="42F636B7"/>
    <w:rsid w:val="42F77311"/>
    <w:rsid w:val="42FA163E"/>
    <w:rsid w:val="430133D6"/>
    <w:rsid w:val="4301B15E"/>
    <w:rsid w:val="430C8F74"/>
    <w:rsid w:val="43148DE9"/>
    <w:rsid w:val="4314BE1E"/>
    <w:rsid w:val="4317A709"/>
    <w:rsid w:val="431AF27E"/>
    <w:rsid w:val="431FCB45"/>
    <w:rsid w:val="43267BBD"/>
    <w:rsid w:val="4326F352"/>
    <w:rsid w:val="4326F3C7"/>
    <w:rsid w:val="43287561"/>
    <w:rsid w:val="433B5A72"/>
    <w:rsid w:val="433B986B"/>
    <w:rsid w:val="433CC1C6"/>
    <w:rsid w:val="434308F6"/>
    <w:rsid w:val="434471FF"/>
    <w:rsid w:val="43462E87"/>
    <w:rsid w:val="434D5011"/>
    <w:rsid w:val="434EDD72"/>
    <w:rsid w:val="4355D9EB"/>
    <w:rsid w:val="4356068C"/>
    <w:rsid w:val="43608475"/>
    <w:rsid w:val="4364B873"/>
    <w:rsid w:val="436F321B"/>
    <w:rsid w:val="436F877E"/>
    <w:rsid w:val="436FABA6"/>
    <w:rsid w:val="436FC5B6"/>
    <w:rsid w:val="4383E5DD"/>
    <w:rsid w:val="4389FB57"/>
    <w:rsid w:val="438B76C4"/>
    <w:rsid w:val="438D7369"/>
    <w:rsid w:val="438E21B3"/>
    <w:rsid w:val="438EB369"/>
    <w:rsid w:val="439084F5"/>
    <w:rsid w:val="4395141F"/>
    <w:rsid w:val="43AA44BC"/>
    <w:rsid w:val="43ADD011"/>
    <w:rsid w:val="43B164AE"/>
    <w:rsid w:val="43B5C3A7"/>
    <w:rsid w:val="43B80F8D"/>
    <w:rsid w:val="43BCD1D5"/>
    <w:rsid w:val="43BCF898"/>
    <w:rsid w:val="43BEFA77"/>
    <w:rsid w:val="43BEFC5C"/>
    <w:rsid w:val="43C07E54"/>
    <w:rsid w:val="43C137CC"/>
    <w:rsid w:val="43C4B246"/>
    <w:rsid w:val="43C84DFB"/>
    <w:rsid w:val="43CE7C35"/>
    <w:rsid w:val="43CEFBC6"/>
    <w:rsid w:val="43D52CCC"/>
    <w:rsid w:val="43D7DA9D"/>
    <w:rsid w:val="43E8096D"/>
    <w:rsid w:val="43EAE832"/>
    <w:rsid w:val="43EBFC93"/>
    <w:rsid w:val="43F9FF22"/>
    <w:rsid w:val="43FA2430"/>
    <w:rsid w:val="43FB0376"/>
    <w:rsid w:val="43FB11A9"/>
    <w:rsid w:val="43FE2F08"/>
    <w:rsid w:val="43FFF945"/>
    <w:rsid w:val="440837DA"/>
    <w:rsid w:val="440BBFB9"/>
    <w:rsid w:val="440E0378"/>
    <w:rsid w:val="44162A23"/>
    <w:rsid w:val="441EC38C"/>
    <w:rsid w:val="441F1D25"/>
    <w:rsid w:val="44219749"/>
    <w:rsid w:val="44228C6A"/>
    <w:rsid w:val="44256453"/>
    <w:rsid w:val="4425F940"/>
    <w:rsid w:val="4427E499"/>
    <w:rsid w:val="442C31C9"/>
    <w:rsid w:val="44343407"/>
    <w:rsid w:val="443D1E20"/>
    <w:rsid w:val="443D6B20"/>
    <w:rsid w:val="4443F027"/>
    <w:rsid w:val="444691C0"/>
    <w:rsid w:val="444946BF"/>
    <w:rsid w:val="44501059"/>
    <w:rsid w:val="4458527F"/>
    <w:rsid w:val="445B3FE2"/>
    <w:rsid w:val="445B7630"/>
    <w:rsid w:val="445C8884"/>
    <w:rsid w:val="4468B6D0"/>
    <w:rsid w:val="446D2CC8"/>
    <w:rsid w:val="446D7D41"/>
    <w:rsid w:val="446EF8B8"/>
    <w:rsid w:val="4473CB4F"/>
    <w:rsid w:val="4476C807"/>
    <w:rsid w:val="447BFE1C"/>
    <w:rsid w:val="447F3057"/>
    <w:rsid w:val="447FA639"/>
    <w:rsid w:val="44987231"/>
    <w:rsid w:val="4498E395"/>
    <w:rsid w:val="4499457C"/>
    <w:rsid w:val="449ACBA6"/>
    <w:rsid w:val="44A26AAE"/>
    <w:rsid w:val="44A6BF3B"/>
    <w:rsid w:val="44AB7628"/>
    <w:rsid w:val="44AD1E57"/>
    <w:rsid w:val="44AF0C59"/>
    <w:rsid w:val="44BA1D81"/>
    <w:rsid w:val="44BE06B4"/>
    <w:rsid w:val="44C07153"/>
    <w:rsid w:val="44C3B4C6"/>
    <w:rsid w:val="44CD8FD0"/>
    <w:rsid w:val="44D0E067"/>
    <w:rsid w:val="44D29950"/>
    <w:rsid w:val="44DBA209"/>
    <w:rsid w:val="44E1ECB9"/>
    <w:rsid w:val="44E37628"/>
    <w:rsid w:val="44ED0131"/>
    <w:rsid w:val="44F48E3B"/>
    <w:rsid w:val="44FC66F8"/>
    <w:rsid w:val="44FCC703"/>
    <w:rsid w:val="44FE092D"/>
    <w:rsid w:val="44FF96E5"/>
    <w:rsid w:val="45070897"/>
    <w:rsid w:val="450A85B0"/>
    <w:rsid w:val="45180885"/>
    <w:rsid w:val="451A1BFE"/>
    <w:rsid w:val="451F296A"/>
    <w:rsid w:val="45209F07"/>
    <w:rsid w:val="45245ECF"/>
    <w:rsid w:val="4526004A"/>
    <w:rsid w:val="4526FEBC"/>
    <w:rsid w:val="452CB21B"/>
    <w:rsid w:val="453A2042"/>
    <w:rsid w:val="4540E48D"/>
    <w:rsid w:val="45447285"/>
    <w:rsid w:val="4547AE25"/>
    <w:rsid w:val="45489727"/>
    <w:rsid w:val="454A8D2B"/>
    <w:rsid w:val="454FBDB1"/>
    <w:rsid w:val="45549960"/>
    <w:rsid w:val="4557883D"/>
    <w:rsid w:val="4558CD28"/>
    <w:rsid w:val="45603D63"/>
    <w:rsid w:val="4564687F"/>
    <w:rsid w:val="457287A6"/>
    <w:rsid w:val="4578CE0C"/>
    <w:rsid w:val="457E25F1"/>
    <w:rsid w:val="45883138"/>
    <w:rsid w:val="458B876E"/>
    <w:rsid w:val="458C834A"/>
    <w:rsid w:val="459112D6"/>
    <w:rsid w:val="45949D6A"/>
    <w:rsid w:val="45958767"/>
    <w:rsid w:val="45991654"/>
    <w:rsid w:val="459DEA6D"/>
    <w:rsid w:val="459F8610"/>
    <w:rsid w:val="45A246E5"/>
    <w:rsid w:val="45A67B5D"/>
    <w:rsid w:val="45AB1327"/>
    <w:rsid w:val="45ACCB84"/>
    <w:rsid w:val="45B166B6"/>
    <w:rsid w:val="45B70C0E"/>
    <w:rsid w:val="45BE73B7"/>
    <w:rsid w:val="45C705F4"/>
    <w:rsid w:val="45C7FCDC"/>
    <w:rsid w:val="45C9E343"/>
    <w:rsid w:val="45CB2520"/>
    <w:rsid w:val="45CF0C9D"/>
    <w:rsid w:val="45D04F2D"/>
    <w:rsid w:val="45D167C3"/>
    <w:rsid w:val="45D862BC"/>
    <w:rsid w:val="45DCDAD8"/>
    <w:rsid w:val="45E26B48"/>
    <w:rsid w:val="45E68F63"/>
    <w:rsid w:val="45FA1A47"/>
    <w:rsid w:val="45FBF9E6"/>
    <w:rsid w:val="4601E580"/>
    <w:rsid w:val="460294A1"/>
    <w:rsid w:val="4611E6AB"/>
    <w:rsid w:val="4613571E"/>
    <w:rsid w:val="4613EDCC"/>
    <w:rsid w:val="462665D5"/>
    <w:rsid w:val="46286A1D"/>
    <w:rsid w:val="462B5A6A"/>
    <w:rsid w:val="462FB31B"/>
    <w:rsid w:val="46338D65"/>
    <w:rsid w:val="463A9E95"/>
    <w:rsid w:val="463DF58C"/>
    <w:rsid w:val="4646B084"/>
    <w:rsid w:val="464A4971"/>
    <w:rsid w:val="464D9195"/>
    <w:rsid w:val="464DC1F8"/>
    <w:rsid w:val="46569B0E"/>
    <w:rsid w:val="465756A8"/>
    <w:rsid w:val="4662383F"/>
    <w:rsid w:val="46660397"/>
    <w:rsid w:val="466A13A5"/>
    <w:rsid w:val="4677F564"/>
    <w:rsid w:val="467A697C"/>
    <w:rsid w:val="468BA282"/>
    <w:rsid w:val="468FFBED"/>
    <w:rsid w:val="4695AA7F"/>
    <w:rsid w:val="4697D1CC"/>
    <w:rsid w:val="469BEC27"/>
    <w:rsid w:val="46A23701"/>
    <w:rsid w:val="46A62876"/>
    <w:rsid w:val="46AF26DF"/>
    <w:rsid w:val="46B252A1"/>
    <w:rsid w:val="46B5E7A8"/>
    <w:rsid w:val="46B87B3D"/>
    <w:rsid w:val="46BB7F86"/>
    <w:rsid w:val="46C0AC29"/>
    <w:rsid w:val="46C1DD32"/>
    <w:rsid w:val="46C2A2FB"/>
    <w:rsid w:val="46C68268"/>
    <w:rsid w:val="46C6A215"/>
    <w:rsid w:val="46C98DB3"/>
    <w:rsid w:val="46CC837C"/>
    <w:rsid w:val="46CCAED3"/>
    <w:rsid w:val="46CD1F1F"/>
    <w:rsid w:val="46D0369B"/>
    <w:rsid w:val="46D1ADA9"/>
    <w:rsid w:val="46D5FC47"/>
    <w:rsid w:val="46D88BE7"/>
    <w:rsid w:val="46E01F51"/>
    <w:rsid w:val="46E386AD"/>
    <w:rsid w:val="46E7EED7"/>
    <w:rsid w:val="46E8F6F2"/>
    <w:rsid w:val="46EC16DC"/>
    <w:rsid w:val="46F04FF0"/>
    <w:rsid w:val="46FB49CB"/>
    <w:rsid w:val="46FB77AF"/>
    <w:rsid w:val="4701D404"/>
    <w:rsid w:val="47062D2D"/>
    <w:rsid w:val="47117F6A"/>
    <w:rsid w:val="4711AD16"/>
    <w:rsid w:val="47146954"/>
    <w:rsid w:val="4714C7A7"/>
    <w:rsid w:val="471B6D88"/>
    <w:rsid w:val="47289AA7"/>
    <w:rsid w:val="47303F42"/>
    <w:rsid w:val="47365FF7"/>
    <w:rsid w:val="47377A3D"/>
    <w:rsid w:val="4739FEDC"/>
    <w:rsid w:val="473DD8B0"/>
    <w:rsid w:val="47471AEB"/>
    <w:rsid w:val="4749B933"/>
    <w:rsid w:val="475B4050"/>
    <w:rsid w:val="475F9A2F"/>
    <w:rsid w:val="4762688C"/>
    <w:rsid w:val="47659C8D"/>
    <w:rsid w:val="4768D1CB"/>
    <w:rsid w:val="4768FE83"/>
    <w:rsid w:val="476B3F3A"/>
    <w:rsid w:val="476D854E"/>
    <w:rsid w:val="47797E70"/>
    <w:rsid w:val="477CFB16"/>
    <w:rsid w:val="477EDE43"/>
    <w:rsid w:val="47825453"/>
    <w:rsid w:val="4783CB7D"/>
    <w:rsid w:val="478715E6"/>
    <w:rsid w:val="478B4280"/>
    <w:rsid w:val="478FB8F2"/>
    <w:rsid w:val="479AC460"/>
    <w:rsid w:val="479BA402"/>
    <w:rsid w:val="479F7B74"/>
    <w:rsid w:val="47A736B2"/>
    <w:rsid w:val="47A90018"/>
    <w:rsid w:val="47AF277F"/>
    <w:rsid w:val="47AF3D03"/>
    <w:rsid w:val="47B048B8"/>
    <w:rsid w:val="47B5C8C2"/>
    <w:rsid w:val="47B7163B"/>
    <w:rsid w:val="47BA0907"/>
    <w:rsid w:val="47CAAE27"/>
    <w:rsid w:val="47CB4540"/>
    <w:rsid w:val="47CE3F32"/>
    <w:rsid w:val="47EADE73"/>
    <w:rsid w:val="47F3E50C"/>
    <w:rsid w:val="47F66CC4"/>
    <w:rsid w:val="47F85EE0"/>
    <w:rsid w:val="47F90CF6"/>
    <w:rsid w:val="480807EA"/>
    <w:rsid w:val="48098C29"/>
    <w:rsid w:val="480BF403"/>
    <w:rsid w:val="480DA3AA"/>
    <w:rsid w:val="4810C7B9"/>
    <w:rsid w:val="481FF480"/>
    <w:rsid w:val="48224342"/>
    <w:rsid w:val="4824CFB9"/>
    <w:rsid w:val="4824EDB8"/>
    <w:rsid w:val="48260291"/>
    <w:rsid w:val="4827BB74"/>
    <w:rsid w:val="48285046"/>
    <w:rsid w:val="482F1CDE"/>
    <w:rsid w:val="482F3984"/>
    <w:rsid w:val="4830A23E"/>
    <w:rsid w:val="4838EBEE"/>
    <w:rsid w:val="483C0EB2"/>
    <w:rsid w:val="48410C13"/>
    <w:rsid w:val="4841EE32"/>
    <w:rsid w:val="4847BC2F"/>
    <w:rsid w:val="4848435F"/>
    <w:rsid w:val="484C31E1"/>
    <w:rsid w:val="485038B5"/>
    <w:rsid w:val="4850B78C"/>
    <w:rsid w:val="4857093B"/>
    <w:rsid w:val="485C39E6"/>
    <w:rsid w:val="485FBB51"/>
    <w:rsid w:val="486575C3"/>
    <w:rsid w:val="486936DA"/>
    <w:rsid w:val="486F0065"/>
    <w:rsid w:val="4874C5CC"/>
    <w:rsid w:val="4875D4A4"/>
    <w:rsid w:val="48797846"/>
    <w:rsid w:val="4883EA36"/>
    <w:rsid w:val="4889878F"/>
    <w:rsid w:val="489C439B"/>
    <w:rsid w:val="489C695E"/>
    <w:rsid w:val="489C9A14"/>
    <w:rsid w:val="48AE5F15"/>
    <w:rsid w:val="48B07E46"/>
    <w:rsid w:val="48B25F95"/>
    <w:rsid w:val="48B3BCC2"/>
    <w:rsid w:val="48B76179"/>
    <w:rsid w:val="48BAA9FD"/>
    <w:rsid w:val="48BB2B33"/>
    <w:rsid w:val="48C24892"/>
    <w:rsid w:val="48C7F267"/>
    <w:rsid w:val="48CC0FA3"/>
    <w:rsid w:val="48CC3E40"/>
    <w:rsid w:val="48CFE767"/>
    <w:rsid w:val="48D3784B"/>
    <w:rsid w:val="48DEE48A"/>
    <w:rsid w:val="48DFBF80"/>
    <w:rsid w:val="48E28DEE"/>
    <w:rsid w:val="48E37A9C"/>
    <w:rsid w:val="48F11C0E"/>
    <w:rsid w:val="48F58DF6"/>
    <w:rsid w:val="48F6EDA6"/>
    <w:rsid w:val="48F7B3E6"/>
    <w:rsid w:val="4901C4C2"/>
    <w:rsid w:val="490209AC"/>
    <w:rsid w:val="49040C11"/>
    <w:rsid w:val="4904320C"/>
    <w:rsid w:val="490446D0"/>
    <w:rsid w:val="49066EA3"/>
    <w:rsid w:val="491D10FE"/>
    <w:rsid w:val="4925AB35"/>
    <w:rsid w:val="4925EB68"/>
    <w:rsid w:val="4934DB2F"/>
    <w:rsid w:val="4935B196"/>
    <w:rsid w:val="4936CE53"/>
    <w:rsid w:val="493C04E5"/>
    <w:rsid w:val="493DC339"/>
    <w:rsid w:val="49400B7C"/>
    <w:rsid w:val="49475A92"/>
    <w:rsid w:val="4950C34D"/>
    <w:rsid w:val="4953CAB8"/>
    <w:rsid w:val="49625D46"/>
    <w:rsid w:val="49692AC0"/>
    <w:rsid w:val="4970D669"/>
    <w:rsid w:val="49712237"/>
    <w:rsid w:val="4971D872"/>
    <w:rsid w:val="4973EA73"/>
    <w:rsid w:val="49765481"/>
    <w:rsid w:val="49788724"/>
    <w:rsid w:val="498261FD"/>
    <w:rsid w:val="49848418"/>
    <w:rsid w:val="4989EE77"/>
    <w:rsid w:val="498C51BE"/>
    <w:rsid w:val="499A37F5"/>
    <w:rsid w:val="499D9082"/>
    <w:rsid w:val="49A12A43"/>
    <w:rsid w:val="49A448F4"/>
    <w:rsid w:val="49A4902E"/>
    <w:rsid w:val="49A4FB45"/>
    <w:rsid w:val="49AD8425"/>
    <w:rsid w:val="49AE26EB"/>
    <w:rsid w:val="49B155C9"/>
    <w:rsid w:val="49B5F24E"/>
    <w:rsid w:val="49B66F9A"/>
    <w:rsid w:val="49BA1911"/>
    <w:rsid w:val="49BB7A92"/>
    <w:rsid w:val="49C4A331"/>
    <w:rsid w:val="49CBF52E"/>
    <w:rsid w:val="49CC97F0"/>
    <w:rsid w:val="49CEDAFE"/>
    <w:rsid w:val="49CEF242"/>
    <w:rsid w:val="49CFE049"/>
    <w:rsid w:val="49DEBADE"/>
    <w:rsid w:val="49E30728"/>
    <w:rsid w:val="49E63150"/>
    <w:rsid w:val="49E81BBE"/>
    <w:rsid w:val="49EA924F"/>
    <w:rsid w:val="49EE59CE"/>
    <w:rsid w:val="49FBB3E8"/>
    <w:rsid w:val="4A01EF3E"/>
    <w:rsid w:val="4A0D65AA"/>
    <w:rsid w:val="4A14B314"/>
    <w:rsid w:val="4A1FAD80"/>
    <w:rsid w:val="4A267FBB"/>
    <w:rsid w:val="4A2D8B04"/>
    <w:rsid w:val="4A2E0CC3"/>
    <w:rsid w:val="4A3A35C1"/>
    <w:rsid w:val="4A416007"/>
    <w:rsid w:val="4A443898"/>
    <w:rsid w:val="4A4BE01A"/>
    <w:rsid w:val="4A4BF8B3"/>
    <w:rsid w:val="4A4FA82E"/>
    <w:rsid w:val="4A5077D8"/>
    <w:rsid w:val="4A52303A"/>
    <w:rsid w:val="4A54482F"/>
    <w:rsid w:val="4A599FB4"/>
    <w:rsid w:val="4A6424E9"/>
    <w:rsid w:val="4A683E49"/>
    <w:rsid w:val="4A6C465E"/>
    <w:rsid w:val="4A6DA193"/>
    <w:rsid w:val="4A6F1D4E"/>
    <w:rsid w:val="4A833009"/>
    <w:rsid w:val="4A858729"/>
    <w:rsid w:val="4A85FD3E"/>
    <w:rsid w:val="4A8DFD18"/>
    <w:rsid w:val="4A927837"/>
    <w:rsid w:val="4A9350D8"/>
    <w:rsid w:val="4A959C51"/>
    <w:rsid w:val="4A9C9AD2"/>
    <w:rsid w:val="4AA61646"/>
    <w:rsid w:val="4AA9D070"/>
    <w:rsid w:val="4AAACEA4"/>
    <w:rsid w:val="4AAC8D9E"/>
    <w:rsid w:val="4AADE4F9"/>
    <w:rsid w:val="4AAF7066"/>
    <w:rsid w:val="4AB0BE6A"/>
    <w:rsid w:val="4AB392FC"/>
    <w:rsid w:val="4AB77547"/>
    <w:rsid w:val="4ABE4002"/>
    <w:rsid w:val="4ABF65F3"/>
    <w:rsid w:val="4AC9D052"/>
    <w:rsid w:val="4ACC22BB"/>
    <w:rsid w:val="4ACD4004"/>
    <w:rsid w:val="4ACE0554"/>
    <w:rsid w:val="4ACF47D5"/>
    <w:rsid w:val="4AD56DED"/>
    <w:rsid w:val="4AD93CF5"/>
    <w:rsid w:val="4ADEACC2"/>
    <w:rsid w:val="4AE330D9"/>
    <w:rsid w:val="4AE56E9D"/>
    <w:rsid w:val="4AEC95FD"/>
    <w:rsid w:val="4AF02502"/>
    <w:rsid w:val="4AF76E9F"/>
    <w:rsid w:val="4AFAD870"/>
    <w:rsid w:val="4AFBFAC1"/>
    <w:rsid w:val="4AFF7D19"/>
    <w:rsid w:val="4B07B2E3"/>
    <w:rsid w:val="4B0E247D"/>
    <w:rsid w:val="4B0FC3E2"/>
    <w:rsid w:val="4B1F20D9"/>
    <w:rsid w:val="4B2ACAFC"/>
    <w:rsid w:val="4B358742"/>
    <w:rsid w:val="4B3756F1"/>
    <w:rsid w:val="4B47E638"/>
    <w:rsid w:val="4B4811A4"/>
    <w:rsid w:val="4B4B3D8B"/>
    <w:rsid w:val="4B4CB1EE"/>
    <w:rsid w:val="4B6C107F"/>
    <w:rsid w:val="4B6F30FD"/>
    <w:rsid w:val="4B72F5B1"/>
    <w:rsid w:val="4B7526A8"/>
    <w:rsid w:val="4B753105"/>
    <w:rsid w:val="4B7851D8"/>
    <w:rsid w:val="4B788ECC"/>
    <w:rsid w:val="4B8FFA10"/>
    <w:rsid w:val="4B92BCFE"/>
    <w:rsid w:val="4B95DACC"/>
    <w:rsid w:val="4B98D755"/>
    <w:rsid w:val="4BA341BA"/>
    <w:rsid w:val="4BA68D6E"/>
    <w:rsid w:val="4BAE81A9"/>
    <w:rsid w:val="4BAE8D38"/>
    <w:rsid w:val="4BAFEA97"/>
    <w:rsid w:val="4BB80556"/>
    <w:rsid w:val="4BBFC298"/>
    <w:rsid w:val="4BC5E572"/>
    <w:rsid w:val="4BCCEEDD"/>
    <w:rsid w:val="4BD6DDEC"/>
    <w:rsid w:val="4BD6F115"/>
    <w:rsid w:val="4BDBB23D"/>
    <w:rsid w:val="4BDF8DC9"/>
    <w:rsid w:val="4BE1E0BA"/>
    <w:rsid w:val="4BFC37D8"/>
    <w:rsid w:val="4BFC8D7F"/>
    <w:rsid w:val="4C005E60"/>
    <w:rsid w:val="4C08C3B3"/>
    <w:rsid w:val="4C0AA73E"/>
    <w:rsid w:val="4C0D83EB"/>
    <w:rsid w:val="4C0F72F4"/>
    <w:rsid w:val="4C10D8BB"/>
    <w:rsid w:val="4C112AEC"/>
    <w:rsid w:val="4C140DA8"/>
    <w:rsid w:val="4C142A8F"/>
    <w:rsid w:val="4C14DF56"/>
    <w:rsid w:val="4C189600"/>
    <w:rsid w:val="4C19AFB2"/>
    <w:rsid w:val="4C19D459"/>
    <w:rsid w:val="4C1BDF6F"/>
    <w:rsid w:val="4C1F6FE7"/>
    <w:rsid w:val="4C200AA4"/>
    <w:rsid w:val="4C206025"/>
    <w:rsid w:val="4C2A5FDA"/>
    <w:rsid w:val="4C37F59D"/>
    <w:rsid w:val="4C3A8BBF"/>
    <w:rsid w:val="4C3E1ED3"/>
    <w:rsid w:val="4C414D24"/>
    <w:rsid w:val="4C479904"/>
    <w:rsid w:val="4C4E7225"/>
    <w:rsid w:val="4C513DCF"/>
    <w:rsid w:val="4C63268C"/>
    <w:rsid w:val="4C6DD622"/>
    <w:rsid w:val="4C6F6EB1"/>
    <w:rsid w:val="4C6FCBAA"/>
    <w:rsid w:val="4C747831"/>
    <w:rsid w:val="4C75C919"/>
    <w:rsid w:val="4C75CC5D"/>
    <w:rsid w:val="4C788C9E"/>
    <w:rsid w:val="4C7B54D4"/>
    <w:rsid w:val="4C7F681D"/>
    <w:rsid w:val="4C83F225"/>
    <w:rsid w:val="4C84499F"/>
    <w:rsid w:val="4C846F51"/>
    <w:rsid w:val="4C86BC2E"/>
    <w:rsid w:val="4C896F3C"/>
    <w:rsid w:val="4C898627"/>
    <w:rsid w:val="4C8AAB12"/>
    <w:rsid w:val="4C90E2F9"/>
    <w:rsid w:val="4C9CDE5F"/>
    <w:rsid w:val="4CA0AC34"/>
    <w:rsid w:val="4CA11030"/>
    <w:rsid w:val="4CA12D43"/>
    <w:rsid w:val="4CA9F030"/>
    <w:rsid w:val="4CB103FA"/>
    <w:rsid w:val="4CB196D4"/>
    <w:rsid w:val="4CB4EE80"/>
    <w:rsid w:val="4CBCD2DC"/>
    <w:rsid w:val="4CBCD9A0"/>
    <w:rsid w:val="4CBF48BB"/>
    <w:rsid w:val="4CCB6089"/>
    <w:rsid w:val="4CD5B050"/>
    <w:rsid w:val="4CD7CD8F"/>
    <w:rsid w:val="4CDD5F96"/>
    <w:rsid w:val="4CDF27F3"/>
    <w:rsid w:val="4CE5F0E3"/>
    <w:rsid w:val="4CE8980C"/>
    <w:rsid w:val="4CECB009"/>
    <w:rsid w:val="4CECD161"/>
    <w:rsid w:val="4CFD5965"/>
    <w:rsid w:val="4D013C48"/>
    <w:rsid w:val="4D051F1A"/>
    <w:rsid w:val="4D06FEA0"/>
    <w:rsid w:val="4D075B7F"/>
    <w:rsid w:val="4D09070A"/>
    <w:rsid w:val="4D17C86C"/>
    <w:rsid w:val="4D1B5B10"/>
    <w:rsid w:val="4D1E8EA3"/>
    <w:rsid w:val="4D244E82"/>
    <w:rsid w:val="4D257181"/>
    <w:rsid w:val="4D26B971"/>
    <w:rsid w:val="4D3483BC"/>
    <w:rsid w:val="4D3BA7A9"/>
    <w:rsid w:val="4D3DB9F4"/>
    <w:rsid w:val="4D3EF58F"/>
    <w:rsid w:val="4D576B9C"/>
    <w:rsid w:val="4D5D89A8"/>
    <w:rsid w:val="4D611AEA"/>
    <w:rsid w:val="4D6680DA"/>
    <w:rsid w:val="4D68EE69"/>
    <w:rsid w:val="4D71CC10"/>
    <w:rsid w:val="4D784CE0"/>
    <w:rsid w:val="4D78E015"/>
    <w:rsid w:val="4D80723A"/>
    <w:rsid w:val="4D87B503"/>
    <w:rsid w:val="4D88477E"/>
    <w:rsid w:val="4D8914CF"/>
    <w:rsid w:val="4D8B167A"/>
    <w:rsid w:val="4D8E3E56"/>
    <w:rsid w:val="4D927285"/>
    <w:rsid w:val="4DA0AAA8"/>
    <w:rsid w:val="4DA4C589"/>
    <w:rsid w:val="4DA6EE0D"/>
    <w:rsid w:val="4DA8C8CF"/>
    <w:rsid w:val="4DAA7678"/>
    <w:rsid w:val="4DB0B236"/>
    <w:rsid w:val="4DB145B6"/>
    <w:rsid w:val="4DB8D01B"/>
    <w:rsid w:val="4DC1A4A4"/>
    <w:rsid w:val="4DC3F50B"/>
    <w:rsid w:val="4DCBECD8"/>
    <w:rsid w:val="4DD1CE4C"/>
    <w:rsid w:val="4DD3916F"/>
    <w:rsid w:val="4DD6B505"/>
    <w:rsid w:val="4DDB0284"/>
    <w:rsid w:val="4DDD8871"/>
    <w:rsid w:val="4DDDF695"/>
    <w:rsid w:val="4DE2B31A"/>
    <w:rsid w:val="4DE3108C"/>
    <w:rsid w:val="4DEB32E5"/>
    <w:rsid w:val="4DF1B550"/>
    <w:rsid w:val="4DF1EF86"/>
    <w:rsid w:val="4DF5A3C1"/>
    <w:rsid w:val="4DF5BBF3"/>
    <w:rsid w:val="4DF6BB07"/>
    <w:rsid w:val="4DF7DC2C"/>
    <w:rsid w:val="4DFDB606"/>
    <w:rsid w:val="4E08761C"/>
    <w:rsid w:val="4E0B110C"/>
    <w:rsid w:val="4E11C58C"/>
    <w:rsid w:val="4E160590"/>
    <w:rsid w:val="4E168C82"/>
    <w:rsid w:val="4E1B57CA"/>
    <w:rsid w:val="4E1DA33B"/>
    <w:rsid w:val="4E20251F"/>
    <w:rsid w:val="4E20D38A"/>
    <w:rsid w:val="4E278309"/>
    <w:rsid w:val="4E2E55CA"/>
    <w:rsid w:val="4E31AC94"/>
    <w:rsid w:val="4E33145B"/>
    <w:rsid w:val="4E3E8E07"/>
    <w:rsid w:val="4E40DFB0"/>
    <w:rsid w:val="4E48FF6E"/>
    <w:rsid w:val="4E4B1C34"/>
    <w:rsid w:val="4E4FA2FF"/>
    <w:rsid w:val="4E531D38"/>
    <w:rsid w:val="4E5458B3"/>
    <w:rsid w:val="4E58FFC3"/>
    <w:rsid w:val="4E59EDCB"/>
    <w:rsid w:val="4E5D31FF"/>
    <w:rsid w:val="4E5E4773"/>
    <w:rsid w:val="4E5F5539"/>
    <w:rsid w:val="4E6B8605"/>
    <w:rsid w:val="4E71D493"/>
    <w:rsid w:val="4E75AD83"/>
    <w:rsid w:val="4E7DDFC2"/>
    <w:rsid w:val="4E7F9908"/>
    <w:rsid w:val="4E80FDBD"/>
    <w:rsid w:val="4E812D12"/>
    <w:rsid w:val="4E85DD54"/>
    <w:rsid w:val="4E8DD389"/>
    <w:rsid w:val="4E8FFB35"/>
    <w:rsid w:val="4E8FFCF8"/>
    <w:rsid w:val="4E9005FC"/>
    <w:rsid w:val="4E94C63C"/>
    <w:rsid w:val="4E961D4C"/>
    <w:rsid w:val="4E9B913E"/>
    <w:rsid w:val="4E9D5F6A"/>
    <w:rsid w:val="4EA41DF6"/>
    <w:rsid w:val="4EAAAF77"/>
    <w:rsid w:val="4EB0AEDC"/>
    <w:rsid w:val="4EB29708"/>
    <w:rsid w:val="4EB4CDC1"/>
    <w:rsid w:val="4EB705DF"/>
    <w:rsid w:val="4EB7F033"/>
    <w:rsid w:val="4EBD51E0"/>
    <w:rsid w:val="4EC2E3FD"/>
    <w:rsid w:val="4EC8EE6E"/>
    <w:rsid w:val="4EC95B53"/>
    <w:rsid w:val="4ED5D9FA"/>
    <w:rsid w:val="4ED7A934"/>
    <w:rsid w:val="4EDAFF35"/>
    <w:rsid w:val="4EDC5E8A"/>
    <w:rsid w:val="4EDF5AD6"/>
    <w:rsid w:val="4EE29C0C"/>
    <w:rsid w:val="4EE37E61"/>
    <w:rsid w:val="4EEE0D7A"/>
    <w:rsid w:val="4EEEBE86"/>
    <w:rsid w:val="4EEF6359"/>
    <w:rsid w:val="4EF2971C"/>
    <w:rsid w:val="4EFAFA90"/>
    <w:rsid w:val="4EFBCD52"/>
    <w:rsid w:val="4F042B80"/>
    <w:rsid w:val="4F0846E5"/>
    <w:rsid w:val="4F12AE95"/>
    <w:rsid w:val="4F13F13C"/>
    <w:rsid w:val="4F169C73"/>
    <w:rsid w:val="4F1736FE"/>
    <w:rsid w:val="4F1939EF"/>
    <w:rsid w:val="4F1C094A"/>
    <w:rsid w:val="4F1FEF4E"/>
    <w:rsid w:val="4F214785"/>
    <w:rsid w:val="4F24965A"/>
    <w:rsid w:val="4F29AB3D"/>
    <w:rsid w:val="4F384827"/>
    <w:rsid w:val="4F3EB3C6"/>
    <w:rsid w:val="4F3F5C68"/>
    <w:rsid w:val="4F408AD3"/>
    <w:rsid w:val="4F44530B"/>
    <w:rsid w:val="4F4678E4"/>
    <w:rsid w:val="4F4FB3D3"/>
    <w:rsid w:val="4F51555A"/>
    <w:rsid w:val="4F54DC72"/>
    <w:rsid w:val="4F63867E"/>
    <w:rsid w:val="4F6CCF1B"/>
    <w:rsid w:val="4F7607CB"/>
    <w:rsid w:val="4F7BAB5B"/>
    <w:rsid w:val="4F830394"/>
    <w:rsid w:val="4F83C8CD"/>
    <w:rsid w:val="4F883F44"/>
    <w:rsid w:val="4F8FAC67"/>
    <w:rsid w:val="4F9129CA"/>
    <w:rsid w:val="4F9449C1"/>
    <w:rsid w:val="4FA07827"/>
    <w:rsid w:val="4FB5E171"/>
    <w:rsid w:val="4FB81933"/>
    <w:rsid w:val="4FB953CB"/>
    <w:rsid w:val="4FBAD6F1"/>
    <w:rsid w:val="4FBB7816"/>
    <w:rsid w:val="4FCCB324"/>
    <w:rsid w:val="4FCD9472"/>
    <w:rsid w:val="4FD36605"/>
    <w:rsid w:val="4FD90DA7"/>
    <w:rsid w:val="4FDD75BA"/>
    <w:rsid w:val="4FED61E1"/>
    <w:rsid w:val="4FEF4E0E"/>
    <w:rsid w:val="4FF1CF2C"/>
    <w:rsid w:val="4FF41533"/>
    <w:rsid w:val="4FF61FB3"/>
    <w:rsid w:val="4FFEE4B2"/>
    <w:rsid w:val="50007999"/>
    <w:rsid w:val="5000CE50"/>
    <w:rsid w:val="500412DA"/>
    <w:rsid w:val="5007932F"/>
    <w:rsid w:val="500BC22E"/>
    <w:rsid w:val="50121ADD"/>
    <w:rsid w:val="5013166A"/>
    <w:rsid w:val="5016AF28"/>
    <w:rsid w:val="501DB9C5"/>
    <w:rsid w:val="5024628B"/>
    <w:rsid w:val="50274B25"/>
    <w:rsid w:val="502F44F8"/>
    <w:rsid w:val="5032C3DA"/>
    <w:rsid w:val="50342478"/>
    <w:rsid w:val="5042DAFF"/>
    <w:rsid w:val="5043BFA2"/>
    <w:rsid w:val="504C5DB7"/>
    <w:rsid w:val="50551D54"/>
    <w:rsid w:val="50598DFF"/>
    <w:rsid w:val="505B33D9"/>
    <w:rsid w:val="505C8730"/>
    <w:rsid w:val="505F4430"/>
    <w:rsid w:val="506A1007"/>
    <w:rsid w:val="506C92AD"/>
    <w:rsid w:val="5079C623"/>
    <w:rsid w:val="5081483C"/>
    <w:rsid w:val="50847D6A"/>
    <w:rsid w:val="5088E2B8"/>
    <w:rsid w:val="5089F260"/>
    <w:rsid w:val="508B5A41"/>
    <w:rsid w:val="50936766"/>
    <w:rsid w:val="5095C79F"/>
    <w:rsid w:val="50964099"/>
    <w:rsid w:val="50980A7C"/>
    <w:rsid w:val="50A7568F"/>
    <w:rsid w:val="50A85DF4"/>
    <w:rsid w:val="50B1A17F"/>
    <w:rsid w:val="50C1E521"/>
    <w:rsid w:val="50C5C319"/>
    <w:rsid w:val="50C9D1BC"/>
    <w:rsid w:val="50CAFB59"/>
    <w:rsid w:val="50CB0B0D"/>
    <w:rsid w:val="50D4CCD7"/>
    <w:rsid w:val="50D5B5E4"/>
    <w:rsid w:val="50EB3ED2"/>
    <w:rsid w:val="50EEDE55"/>
    <w:rsid w:val="50EF67E6"/>
    <w:rsid w:val="50F0157F"/>
    <w:rsid w:val="50F0D7AE"/>
    <w:rsid w:val="50F85AB8"/>
    <w:rsid w:val="50F9E712"/>
    <w:rsid w:val="50FE7A6F"/>
    <w:rsid w:val="5107435C"/>
    <w:rsid w:val="510B5E9A"/>
    <w:rsid w:val="5110AC28"/>
    <w:rsid w:val="5110D05B"/>
    <w:rsid w:val="51185644"/>
    <w:rsid w:val="51200515"/>
    <w:rsid w:val="5120927F"/>
    <w:rsid w:val="51251616"/>
    <w:rsid w:val="5135CA71"/>
    <w:rsid w:val="5136C9D2"/>
    <w:rsid w:val="513A0BBC"/>
    <w:rsid w:val="5141FA27"/>
    <w:rsid w:val="51429004"/>
    <w:rsid w:val="514BFB34"/>
    <w:rsid w:val="5151BEFE"/>
    <w:rsid w:val="51531348"/>
    <w:rsid w:val="515636EB"/>
    <w:rsid w:val="51589064"/>
    <w:rsid w:val="515F6616"/>
    <w:rsid w:val="51617461"/>
    <w:rsid w:val="516295DA"/>
    <w:rsid w:val="516CFCEB"/>
    <w:rsid w:val="51705404"/>
    <w:rsid w:val="51771C98"/>
    <w:rsid w:val="517CBD03"/>
    <w:rsid w:val="517F6506"/>
    <w:rsid w:val="5181F3D8"/>
    <w:rsid w:val="51842E2E"/>
    <w:rsid w:val="5184751E"/>
    <w:rsid w:val="518A6816"/>
    <w:rsid w:val="5199A5C9"/>
    <w:rsid w:val="51A74764"/>
    <w:rsid w:val="51AA53BD"/>
    <w:rsid w:val="51AC071F"/>
    <w:rsid w:val="51B34222"/>
    <w:rsid w:val="51BA9D1C"/>
    <w:rsid w:val="51BB1282"/>
    <w:rsid w:val="51C6DA8A"/>
    <w:rsid w:val="51D34AAB"/>
    <w:rsid w:val="51DBCFEA"/>
    <w:rsid w:val="51DDC02C"/>
    <w:rsid w:val="51DE299B"/>
    <w:rsid w:val="51DE7281"/>
    <w:rsid w:val="51E11F4A"/>
    <w:rsid w:val="51E35A7E"/>
    <w:rsid w:val="51E372D0"/>
    <w:rsid w:val="51E97303"/>
    <w:rsid w:val="51EAAD7A"/>
    <w:rsid w:val="51EB6D78"/>
    <w:rsid w:val="51F61326"/>
    <w:rsid w:val="51F6857F"/>
    <w:rsid w:val="51FAD2B2"/>
    <w:rsid w:val="51FAF503"/>
    <w:rsid w:val="51FC8048"/>
    <w:rsid w:val="51FD9BAE"/>
    <w:rsid w:val="520440F9"/>
    <w:rsid w:val="520C1165"/>
    <w:rsid w:val="520E20FF"/>
    <w:rsid w:val="520E4D45"/>
    <w:rsid w:val="520F92BA"/>
    <w:rsid w:val="52112FD8"/>
    <w:rsid w:val="521AAEA8"/>
    <w:rsid w:val="521B74F6"/>
    <w:rsid w:val="52246462"/>
    <w:rsid w:val="52278197"/>
    <w:rsid w:val="5236D867"/>
    <w:rsid w:val="523E32FB"/>
    <w:rsid w:val="5240D9EE"/>
    <w:rsid w:val="524AF746"/>
    <w:rsid w:val="524D352C"/>
    <w:rsid w:val="5256D07F"/>
    <w:rsid w:val="52578D83"/>
    <w:rsid w:val="5257BCC1"/>
    <w:rsid w:val="52584299"/>
    <w:rsid w:val="5259D452"/>
    <w:rsid w:val="525D7A7F"/>
    <w:rsid w:val="525FF62D"/>
    <w:rsid w:val="52611E9D"/>
    <w:rsid w:val="5263E847"/>
    <w:rsid w:val="52658C3D"/>
    <w:rsid w:val="526EC05C"/>
    <w:rsid w:val="52765985"/>
    <w:rsid w:val="5276865B"/>
    <w:rsid w:val="527D22F3"/>
    <w:rsid w:val="52802094"/>
    <w:rsid w:val="52831265"/>
    <w:rsid w:val="5288C6FB"/>
    <w:rsid w:val="528C652E"/>
    <w:rsid w:val="528F2FE0"/>
    <w:rsid w:val="5291F397"/>
    <w:rsid w:val="52985974"/>
    <w:rsid w:val="52A47818"/>
    <w:rsid w:val="52A640B9"/>
    <w:rsid w:val="52AD55E4"/>
    <w:rsid w:val="52AFDE52"/>
    <w:rsid w:val="52AFDE5E"/>
    <w:rsid w:val="52B0E95B"/>
    <w:rsid w:val="52B4F353"/>
    <w:rsid w:val="52BABB6C"/>
    <w:rsid w:val="52C5335D"/>
    <w:rsid w:val="52D85E12"/>
    <w:rsid w:val="52D8C5A5"/>
    <w:rsid w:val="52E00A61"/>
    <w:rsid w:val="52E0F384"/>
    <w:rsid w:val="52E424FB"/>
    <w:rsid w:val="52E5C552"/>
    <w:rsid w:val="52E8A223"/>
    <w:rsid w:val="52EAA889"/>
    <w:rsid w:val="52EFFB12"/>
    <w:rsid w:val="52F14786"/>
    <w:rsid w:val="52F37DD0"/>
    <w:rsid w:val="52F8501E"/>
    <w:rsid w:val="52FD2D23"/>
    <w:rsid w:val="53006EF5"/>
    <w:rsid w:val="5304FC3E"/>
    <w:rsid w:val="5309245E"/>
    <w:rsid w:val="53159A6B"/>
    <w:rsid w:val="5316550B"/>
    <w:rsid w:val="531B20F8"/>
    <w:rsid w:val="532F18D5"/>
    <w:rsid w:val="5334C713"/>
    <w:rsid w:val="533CCB31"/>
    <w:rsid w:val="533D8092"/>
    <w:rsid w:val="534B024F"/>
    <w:rsid w:val="5352A2FB"/>
    <w:rsid w:val="5353C1EF"/>
    <w:rsid w:val="53581428"/>
    <w:rsid w:val="535DCD56"/>
    <w:rsid w:val="5361FEFD"/>
    <w:rsid w:val="53627D49"/>
    <w:rsid w:val="5363DFEC"/>
    <w:rsid w:val="536C5DD4"/>
    <w:rsid w:val="536EFF20"/>
    <w:rsid w:val="5373760D"/>
    <w:rsid w:val="5377BF5C"/>
    <w:rsid w:val="537ACC06"/>
    <w:rsid w:val="537D92D9"/>
    <w:rsid w:val="5384ECCB"/>
    <w:rsid w:val="538678E8"/>
    <w:rsid w:val="5387402C"/>
    <w:rsid w:val="53895416"/>
    <w:rsid w:val="538EFB97"/>
    <w:rsid w:val="53920B7D"/>
    <w:rsid w:val="5395B83F"/>
    <w:rsid w:val="539E0578"/>
    <w:rsid w:val="53A5B3D6"/>
    <w:rsid w:val="53A5EEBD"/>
    <w:rsid w:val="53A6A9F8"/>
    <w:rsid w:val="53A90DCD"/>
    <w:rsid w:val="53AD06A9"/>
    <w:rsid w:val="53B58998"/>
    <w:rsid w:val="53BBB08B"/>
    <w:rsid w:val="53BD4378"/>
    <w:rsid w:val="53BFF503"/>
    <w:rsid w:val="53C0A85E"/>
    <w:rsid w:val="53C0D376"/>
    <w:rsid w:val="53C36810"/>
    <w:rsid w:val="53C91B9B"/>
    <w:rsid w:val="53CC03B9"/>
    <w:rsid w:val="53D2151B"/>
    <w:rsid w:val="53D869A4"/>
    <w:rsid w:val="53E94841"/>
    <w:rsid w:val="53EE4B74"/>
    <w:rsid w:val="54068706"/>
    <w:rsid w:val="5410A84A"/>
    <w:rsid w:val="5419982F"/>
    <w:rsid w:val="541B341C"/>
    <w:rsid w:val="541C5709"/>
    <w:rsid w:val="54233151"/>
    <w:rsid w:val="542FE915"/>
    <w:rsid w:val="5439FE68"/>
    <w:rsid w:val="543BB38D"/>
    <w:rsid w:val="543C0AEA"/>
    <w:rsid w:val="543E4350"/>
    <w:rsid w:val="5442A413"/>
    <w:rsid w:val="544A07F5"/>
    <w:rsid w:val="5456B324"/>
    <w:rsid w:val="545C3A25"/>
    <w:rsid w:val="54626A68"/>
    <w:rsid w:val="5464E2E0"/>
    <w:rsid w:val="546815DB"/>
    <w:rsid w:val="546CA82A"/>
    <w:rsid w:val="546CC0AA"/>
    <w:rsid w:val="5472AFE3"/>
    <w:rsid w:val="54731D01"/>
    <w:rsid w:val="5473F13C"/>
    <w:rsid w:val="54773C0D"/>
    <w:rsid w:val="547A0228"/>
    <w:rsid w:val="547AD328"/>
    <w:rsid w:val="547E31C9"/>
    <w:rsid w:val="548145A7"/>
    <w:rsid w:val="548978B9"/>
    <w:rsid w:val="548A17A9"/>
    <w:rsid w:val="548AEE5E"/>
    <w:rsid w:val="549B065C"/>
    <w:rsid w:val="54A1A63D"/>
    <w:rsid w:val="54A23CA6"/>
    <w:rsid w:val="54A510D7"/>
    <w:rsid w:val="54A940B5"/>
    <w:rsid w:val="54A94932"/>
    <w:rsid w:val="54AA4286"/>
    <w:rsid w:val="54B96094"/>
    <w:rsid w:val="54C70C2C"/>
    <w:rsid w:val="54CCC221"/>
    <w:rsid w:val="54D53F7E"/>
    <w:rsid w:val="54D79228"/>
    <w:rsid w:val="54DEB141"/>
    <w:rsid w:val="54E213C1"/>
    <w:rsid w:val="54E35324"/>
    <w:rsid w:val="54E5BC4A"/>
    <w:rsid w:val="54EC7A47"/>
    <w:rsid w:val="54EEED68"/>
    <w:rsid w:val="54F0840C"/>
    <w:rsid w:val="54F3DFDB"/>
    <w:rsid w:val="54F5E940"/>
    <w:rsid w:val="54F78609"/>
    <w:rsid w:val="54F9104B"/>
    <w:rsid w:val="54FAD351"/>
    <w:rsid w:val="54FAEEA7"/>
    <w:rsid w:val="54FC2D12"/>
    <w:rsid w:val="550D8F26"/>
    <w:rsid w:val="551157F1"/>
    <w:rsid w:val="55185A6B"/>
    <w:rsid w:val="551AA605"/>
    <w:rsid w:val="551D3F8A"/>
    <w:rsid w:val="551DC9EC"/>
    <w:rsid w:val="55206A1B"/>
    <w:rsid w:val="55235053"/>
    <w:rsid w:val="55252FF7"/>
    <w:rsid w:val="5528078A"/>
    <w:rsid w:val="55305E46"/>
    <w:rsid w:val="55327A82"/>
    <w:rsid w:val="553B4DCC"/>
    <w:rsid w:val="553CD385"/>
    <w:rsid w:val="553EB953"/>
    <w:rsid w:val="55418644"/>
    <w:rsid w:val="5544BAF3"/>
    <w:rsid w:val="554D3746"/>
    <w:rsid w:val="5556FE89"/>
    <w:rsid w:val="5560E27D"/>
    <w:rsid w:val="55679F1A"/>
    <w:rsid w:val="556CF327"/>
    <w:rsid w:val="5579F180"/>
    <w:rsid w:val="557B5E32"/>
    <w:rsid w:val="557DFA8F"/>
    <w:rsid w:val="55862EB4"/>
    <w:rsid w:val="558954DB"/>
    <w:rsid w:val="558C2EC3"/>
    <w:rsid w:val="558E698B"/>
    <w:rsid w:val="558EA02B"/>
    <w:rsid w:val="55A55196"/>
    <w:rsid w:val="55B563B4"/>
    <w:rsid w:val="55B96C1B"/>
    <w:rsid w:val="55BBD85D"/>
    <w:rsid w:val="55BDB10E"/>
    <w:rsid w:val="55BEC793"/>
    <w:rsid w:val="55BF0DE6"/>
    <w:rsid w:val="55BFCDCC"/>
    <w:rsid w:val="55C1BB6D"/>
    <w:rsid w:val="55C549DE"/>
    <w:rsid w:val="55C763F4"/>
    <w:rsid w:val="55DBE60B"/>
    <w:rsid w:val="55E16432"/>
    <w:rsid w:val="55E38D4A"/>
    <w:rsid w:val="55E8654D"/>
    <w:rsid w:val="55E87123"/>
    <w:rsid w:val="55E91B27"/>
    <w:rsid w:val="55F0AF86"/>
    <w:rsid w:val="55F15470"/>
    <w:rsid w:val="55F21B57"/>
    <w:rsid w:val="55F3C293"/>
    <w:rsid w:val="55F4B813"/>
    <w:rsid w:val="56028225"/>
    <w:rsid w:val="560559C3"/>
    <w:rsid w:val="560BE060"/>
    <w:rsid w:val="560C17DE"/>
    <w:rsid w:val="560CB4D8"/>
    <w:rsid w:val="560D08DE"/>
    <w:rsid w:val="560FEDCE"/>
    <w:rsid w:val="56142FA2"/>
    <w:rsid w:val="56181FE0"/>
    <w:rsid w:val="5621A291"/>
    <w:rsid w:val="562489D5"/>
    <w:rsid w:val="562D0300"/>
    <w:rsid w:val="562FD3B7"/>
    <w:rsid w:val="5633CAAC"/>
    <w:rsid w:val="56367967"/>
    <w:rsid w:val="56384472"/>
    <w:rsid w:val="563DB09E"/>
    <w:rsid w:val="563DC3F0"/>
    <w:rsid w:val="56400DC4"/>
    <w:rsid w:val="564A025F"/>
    <w:rsid w:val="564DEFB8"/>
    <w:rsid w:val="564FCFFF"/>
    <w:rsid w:val="56528B41"/>
    <w:rsid w:val="56546908"/>
    <w:rsid w:val="5656E918"/>
    <w:rsid w:val="565F06D0"/>
    <w:rsid w:val="566501CB"/>
    <w:rsid w:val="566643A6"/>
    <w:rsid w:val="566751EC"/>
    <w:rsid w:val="5669731E"/>
    <w:rsid w:val="566EC97F"/>
    <w:rsid w:val="567A210F"/>
    <w:rsid w:val="567C4C5C"/>
    <w:rsid w:val="56897F19"/>
    <w:rsid w:val="568A4043"/>
    <w:rsid w:val="568EE4FB"/>
    <w:rsid w:val="56944C34"/>
    <w:rsid w:val="5699810F"/>
    <w:rsid w:val="569C5A39"/>
    <w:rsid w:val="569D7C76"/>
    <w:rsid w:val="56A05421"/>
    <w:rsid w:val="56A2F2C6"/>
    <w:rsid w:val="56A4BC1A"/>
    <w:rsid w:val="56A8FBC0"/>
    <w:rsid w:val="56AB7699"/>
    <w:rsid w:val="56AFF619"/>
    <w:rsid w:val="56B07328"/>
    <w:rsid w:val="56BEF9FE"/>
    <w:rsid w:val="56C20F98"/>
    <w:rsid w:val="56C23302"/>
    <w:rsid w:val="56C2AE4B"/>
    <w:rsid w:val="56C9796C"/>
    <w:rsid w:val="56CC7D21"/>
    <w:rsid w:val="56CDB887"/>
    <w:rsid w:val="56D19A43"/>
    <w:rsid w:val="56D5A8F8"/>
    <w:rsid w:val="56DA6F3C"/>
    <w:rsid w:val="56DC5839"/>
    <w:rsid w:val="56E0FE11"/>
    <w:rsid w:val="56E32561"/>
    <w:rsid w:val="56EA9301"/>
    <w:rsid w:val="56F130FD"/>
    <w:rsid w:val="56F271FF"/>
    <w:rsid w:val="57019F30"/>
    <w:rsid w:val="5703AA54"/>
    <w:rsid w:val="57050B0C"/>
    <w:rsid w:val="5705A16D"/>
    <w:rsid w:val="5706BC0D"/>
    <w:rsid w:val="570C2B01"/>
    <w:rsid w:val="5715C003"/>
    <w:rsid w:val="57161C4C"/>
    <w:rsid w:val="571B70E2"/>
    <w:rsid w:val="571BDB64"/>
    <w:rsid w:val="571C1639"/>
    <w:rsid w:val="571C413B"/>
    <w:rsid w:val="571CEF33"/>
    <w:rsid w:val="571D6490"/>
    <w:rsid w:val="5720F103"/>
    <w:rsid w:val="572FDF39"/>
    <w:rsid w:val="57311761"/>
    <w:rsid w:val="5734DBB2"/>
    <w:rsid w:val="573582A1"/>
    <w:rsid w:val="573A581A"/>
    <w:rsid w:val="573D7BD3"/>
    <w:rsid w:val="57447375"/>
    <w:rsid w:val="5744DBE1"/>
    <w:rsid w:val="57484033"/>
    <w:rsid w:val="5748B11D"/>
    <w:rsid w:val="574A54F7"/>
    <w:rsid w:val="57503922"/>
    <w:rsid w:val="5752EE14"/>
    <w:rsid w:val="575D383A"/>
    <w:rsid w:val="575DBA82"/>
    <w:rsid w:val="575FCD81"/>
    <w:rsid w:val="5760106F"/>
    <w:rsid w:val="5765F856"/>
    <w:rsid w:val="576B60D6"/>
    <w:rsid w:val="576F3E23"/>
    <w:rsid w:val="5775DF11"/>
    <w:rsid w:val="577B4386"/>
    <w:rsid w:val="5781167B"/>
    <w:rsid w:val="5783DA2C"/>
    <w:rsid w:val="5784C8D5"/>
    <w:rsid w:val="57862F28"/>
    <w:rsid w:val="578640BC"/>
    <w:rsid w:val="578A1191"/>
    <w:rsid w:val="578DE756"/>
    <w:rsid w:val="578E039B"/>
    <w:rsid w:val="57959AFC"/>
    <w:rsid w:val="57962FAE"/>
    <w:rsid w:val="57A92668"/>
    <w:rsid w:val="57B89BCF"/>
    <w:rsid w:val="57BC3B99"/>
    <w:rsid w:val="57BE68E2"/>
    <w:rsid w:val="57C53E08"/>
    <w:rsid w:val="57C87314"/>
    <w:rsid w:val="57CA40A7"/>
    <w:rsid w:val="57CD122B"/>
    <w:rsid w:val="57CE8BB9"/>
    <w:rsid w:val="57D17F7A"/>
    <w:rsid w:val="57DF4B69"/>
    <w:rsid w:val="57E0DA39"/>
    <w:rsid w:val="57E12FC9"/>
    <w:rsid w:val="57E43B95"/>
    <w:rsid w:val="57E915BC"/>
    <w:rsid w:val="57ED1313"/>
    <w:rsid w:val="57EE4CBC"/>
    <w:rsid w:val="57F77844"/>
    <w:rsid w:val="57FCE20B"/>
    <w:rsid w:val="5801838F"/>
    <w:rsid w:val="5804116B"/>
    <w:rsid w:val="580704EC"/>
    <w:rsid w:val="58126B53"/>
    <w:rsid w:val="581A231A"/>
    <w:rsid w:val="5821FBE0"/>
    <w:rsid w:val="582BBE9C"/>
    <w:rsid w:val="582C1D12"/>
    <w:rsid w:val="582F9AE3"/>
    <w:rsid w:val="5830CCD5"/>
    <w:rsid w:val="583230A0"/>
    <w:rsid w:val="58379AC4"/>
    <w:rsid w:val="583967A0"/>
    <w:rsid w:val="583BA458"/>
    <w:rsid w:val="5841DEB0"/>
    <w:rsid w:val="58492092"/>
    <w:rsid w:val="584A3046"/>
    <w:rsid w:val="584F7348"/>
    <w:rsid w:val="5851A86B"/>
    <w:rsid w:val="58542E58"/>
    <w:rsid w:val="58568575"/>
    <w:rsid w:val="5857A7C3"/>
    <w:rsid w:val="585D3CBE"/>
    <w:rsid w:val="58646736"/>
    <w:rsid w:val="58657AA1"/>
    <w:rsid w:val="58665BE7"/>
    <w:rsid w:val="58691930"/>
    <w:rsid w:val="586978BD"/>
    <w:rsid w:val="586C22AA"/>
    <w:rsid w:val="586FDB1E"/>
    <w:rsid w:val="587275D1"/>
    <w:rsid w:val="5872D533"/>
    <w:rsid w:val="5876F120"/>
    <w:rsid w:val="5877EFE1"/>
    <w:rsid w:val="5878E89A"/>
    <w:rsid w:val="587C2629"/>
    <w:rsid w:val="587F79EF"/>
    <w:rsid w:val="58814407"/>
    <w:rsid w:val="5883EC19"/>
    <w:rsid w:val="5886ECD1"/>
    <w:rsid w:val="58879FFA"/>
    <w:rsid w:val="5888B5DB"/>
    <w:rsid w:val="5894F358"/>
    <w:rsid w:val="589A8C4C"/>
    <w:rsid w:val="589F0CB1"/>
    <w:rsid w:val="589F4584"/>
    <w:rsid w:val="58AA894E"/>
    <w:rsid w:val="58AD0374"/>
    <w:rsid w:val="58AEFCBE"/>
    <w:rsid w:val="58BA326A"/>
    <w:rsid w:val="58BBDEF2"/>
    <w:rsid w:val="58BFD899"/>
    <w:rsid w:val="58C0B221"/>
    <w:rsid w:val="58C1CE88"/>
    <w:rsid w:val="58C4650B"/>
    <w:rsid w:val="58C4D983"/>
    <w:rsid w:val="58C6DF7D"/>
    <w:rsid w:val="58C91804"/>
    <w:rsid w:val="58CD5019"/>
    <w:rsid w:val="58D1B7BA"/>
    <w:rsid w:val="58D35AE5"/>
    <w:rsid w:val="58D73FA2"/>
    <w:rsid w:val="58D789D5"/>
    <w:rsid w:val="58E1C0AC"/>
    <w:rsid w:val="58E41F61"/>
    <w:rsid w:val="58E8F3FC"/>
    <w:rsid w:val="58EA20F3"/>
    <w:rsid w:val="58F587C5"/>
    <w:rsid w:val="58F67D53"/>
    <w:rsid w:val="58FE210A"/>
    <w:rsid w:val="58FE9A93"/>
    <w:rsid w:val="58FEF900"/>
    <w:rsid w:val="5901EB3A"/>
    <w:rsid w:val="5901F1E0"/>
    <w:rsid w:val="5906EA1B"/>
    <w:rsid w:val="5907BECE"/>
    <w:rsid w:val="591B913F"/>
    <w:rsid w:val="5921054C"/>
    <w:rsid w:val="5926AF34"/>
    <w:rsid w:val="592836F4"/>
    <w:rsid w:val="59398C67"/>
    <w:rsid w:val="593ABB7C"/>
    <w:rsid w:val="594266A3"/>
    <w:rsid w:val="594375EE"/>
    <w:rsid w:val="5948A821"/>
    <w:rsid w:val="595D3FB1"/>
    <w:rsid w:val="5964E4E6"/>
    <w:rsid w:val="5968BA71"/>
    <w:rsid w:val="59691ED3"/>
    <w:rsid w:val="596B155A"/>
    <w:rsid w:val="596D6537"/>
    <w:rsid w:val="5975B4A9"/>
    <w:rsid w:val="597FBBE2"/>
    <w:rsid w:val="59801FD8"/>
    <w:rsid w:val="59953CED"/>
    <w:rsid w:val="599989B5"/>
    <w:rsid w:val="599D6BC4"/>
    <w:rsid w:val="599F8434"/>
    <w:rsid w:val="59A54B46"/>
    <w:rsid w:val="59A6835F"/>
    <w:rsid w:val="59AA258C"/>
    <w:rsid w:val="59AA9504"/>
    <w:rsid w:val="59B3919B"/>
    <w:rsid w:val="59C457AB"/>
    <w:rsid w:val="59C4A34E"/>
    <w:rsid w:val="59C4BE26"/>
    <w:rsid w:val="59C869CD"/>
    <w:rsid w:val="59CB68E7"/>
    <w:rsid w:val="59CC5497"/>
    <w:rsid w:val="59D15047"/>
    <w:rsid w:val="59D568D6"/>
    <w:rsid w:val="59DA04F6"/>
    <w:rsid w:val="59DBBBB8"/>
    <w:rsid w:val="59DD5F21"/>
    <w:rsid w:val="59DDCB24"/>
    <w:rsid w:val="59E25398"/>
    <w:rsid w:val="59E73812"/>
    <w:rsid w:val="59E7A43A"/>
    <w:rsid w:val="59F604AF"/>
    <w:rsid w:val="5A01C887"/>
    <w:rsid w:val="5A2A46F9"/>
    <w:rsid w:val="5A2A6607"/>
    <w:rsid w:val="5A2CBFFA"/>
    <w:rsid w:val="5A2F4EF6"/>
    <w:rsid w:val="5A2F6EA0"/>
    <w:rsid w:val="5A3033EC"/>
    <w:rsid w:val="5A338495"/>
    <w:rsid w:val="5A34376E"/>
    <w:rsid w:val="5A3F5DAF"/>
    <w:rsid w:val="5A4B7E5E"/>
    <w:rsid w:val="5A4E78CF"/>
    <w:rsid w:val="5A553E99"/>
    <w:rsid w:val="5A5A995F"/>
    <w:rsid w:val="5A5C5A3D"/>
    <w:rsid w:val="5A60A9E4"/>
    <w:rsid w:val="5A654EF3"/>
    <w:rsid w:val="5A68E01D"/>
    <w:rsid w:val="5A818B40"/>
    <w:rsid w:val="5A81D9C3"/>
    <w:rsid w:val="5A82C82D"/>
    <w:rsid w:val="5A8B37B5"/>
    <w:rsid w:val="5A937F0D"/>
    <w:rsid w:val="5A93FD2F"/>
    <w:rsid w:val="5A9903C4"/>
    <w:rsid w:val="5A9F328C"/>
    <w:rsid w:val="5AA7A1A9"/>
    <w:rsid w:val="5AAA29B7"/>
    <w:rsid w:val="5AAF0D43"/>
    <w:rsid w:val="5AAFC920"/>
    <w:rsid w:val="5ABCB5FB"/>
    <w:rsid w:val="5AC61EB3"/>
    <w:rsid w:val="5ACE1846"/>
    <w:rsid w:val="5AD30C26"/>
    <w:rsid w:val="5AD5F831"/>
    <w:rsid w:val="5ADBAF0D"/>
    <w:rsid w:val="5ADBF9C5"/>
    <w:rsid w:val="5AE2AD4A"/>
    <w:rsid w:val="5AEAAFAA"/>
    <w:rsid w:val="5AECF5A1"/>
    <w:rsid w:val="5AEDE515"/>
    <w:rsid w:val="5AF29B85"/>
    <w:rsid w:val="5B096A91"/>
    <w:rsid w:val="5B0AF495"/>
    <w:rsid w:val="5B0B7048"/>
    <w:rsid w:val="5B0D9617"/>
    <w:rsid w:val="5B18CF1A"/>
    <w:rsid w:val="5B18DD25"/>
    <w:rsid w:val="5B193885"/>
    <w:rsid w:val="5B1EF59B"/>
    <w:rsid w:val="5B2AF421"/>
    <w:rsid w:val="5B33AD91"/>
    <w:rsid w:val="5B38A001"/>
    <w:rsid w:val="5B405A23"/>
    <w:rsid w:val="5B467C1C"/>
    <w:rsid w:val="5B46FFAF"/>
    <w:rsid w:val="5B496CF9"/>
    <w:rsid w:val="5B4A051F"/>
    <w:rsid w:val="5B4B88EF"/>
    <w:rsid w:val="5B4F04C3"/>
    <w:rsid w:val="5B524DDC"/>
    <w:rsid w:val="5B57B982"/>
    <w:rsid w:val="5B58FAC4"/>
    <w:rsid w:val="5B59DD86"/>
    <w:rsid w:val="5B5A5119"/>
    <w:rsid w:val="5B5E19EF"/>
    <w:rsid w:val="5B653B4B"/>
    <w:rsid w:val="5B6ACD7C"/>
    <w:rsid w:val="5B701DC4"/>
    <w:rsid w:val="5B79DBDE"/>
    <w:rsid w:val="5B802123"/>
    <w:rsid w:val="5B84D934"/>
    <w:rsid w:val="5B875EFC"/>
    <w:rsid w:val="5B8C599C"/>
    <w:rsid w:val="5B935A1A"/>
    <w:rsid w:val="5B954A46"/>
    <w:rsid w:val="5B97A367"/>
    <w:rsid w:val="5B98904B"/>
    <w:rsid w:val="5B990477"/>
    <w:rsid w:val="5BA17D5D"/>
    <w:rsid w:val="5BB83244"/>
    <w:rsid w:val="5BB8D58A"/>
    <w:rsid w:val="5BBB90BB"/>
    <w:rsid w:val="5BBEC4CA"/>
    <w:rsid w:val="5BC3EB0B"/>
    <w:rsid w:val="5BC4FD6A"/>
    <w:rsid w:val="5BC9BCFB"/>
    <w:rsid w:val="5BCAEA35"/>
    <w:rsid w:val="5BCE852E"/>
    <w:rsid w:val="5BD0C153"/>
    <w:rsid w:val="5BD4B9C0"/>
    <w:rsid w:val="5BD7F964"/>
    <w:rsid w:val="5BD8EAA3"/>
    <w:rsid w:val="5BDCBA04"/>
    <w:rsid w:val="5BDFAA35"/>
    <w:rsid w:val="5BE557FB"/>
    <w:rsid w:val="5BE5CFEC"/>
    <w:rsid w:val="5BEA1923"/>
    <w:rsid w:val="5BFA5DC6"/>
    <w:rsid w:val="5BFA74D9"/>
    <w:rsid w:val="5BFBB163"/>
    <w:rsid w:val="5BFDDBDE"/>
    <w:rsid w:val="5C05ADF8"/>
    <w:rsid w:val="5C0B46DA"/>
    <w:rsid w:val="5C0FDB78"/>
    <w:rsid w:val="5C1A4080"/>
    <w:rsid w:val="5C1CFA48"/>
    <w:rsid w:val="5C1D3084"/>
    <w:rsid w:val="5C1F7694"/>
    <w:rsid w:val="5C20D525"/>
    <w:rsid w:val="5C26DB3B"/>
    <w:rsid w:val="5C277BB8"/>
    <w:rsid w:val="5C287B1D"/>
    <w:rsid w:val="5C28E2C9"/>
    <w:rsid w:val="5C2BDD85"/>
    <w:rsid w:val="5C2ED840"/>
    <w:rsid w:val="5C30A72E"/>
    <w:rsid w:val="5C37DF71"/>
    <w:rsid w:val="5C3D2AAD"/>
    <w:rsid w:val="5C3F061E"/>
    <w:rsid w:val="5C461642"/>
    <w:rsid w:val="5C4927F1"/>
    <w:rsid w:val="5C5117B1"/>
    <w:rsid w:val="5C5460B9"/>
    <w:rsid w:val="5C5A8AC6"/>
    <w:rsid w:val="5C5B5010"/>
    <w:rsid w:val="5C5C308A"/>
    <w:rsid w:val="5C5CBCF4"/>
    <w:rsid w:val="5C602582"/>
    <w:rsid w:val="5C64966E"/>
    <w:rsid w:val="5C65C67E"/>
    <w:rsid w:val="5C65E214"/>
    <w:rsid w:val="5C6642DC"/>
    <w:rsid w:val="5C6D1C22"/>
    <w:rsid w:val="5C7796EA"/>
    <w:rsid w:val="5C7D6FC5"/>
    <w:rsid w:val="5C7DC216"/>
    <w:rsid w:val="5C815D23"/>
    <w:rsid w:val="5C85C2BE"/>
    <w:rsid w:val="5C98A167"/>
    <w:rsid w:val="5C98AB03"/>
    <w:rsid w:val="5CA02F88"/>
    <w:rsid w:val="5CAA1E63"/>
    <w:rsid w:val="5CAE4E91"/>
    <w:rsid w:val="5CB36B36"/>
    <w:rsid w:val="5CC10674"/>
    <w:rsid w:val="5CC58430"/>
    <w:rsid w:val="5CC603E2"/>
    <w:rsid w:val="5CC6D123"/>
    <w:rsid w:val="5CD1AF6C"/>
    <w:rsid w:val="5CD2BA6D"/>
    <w:rsid w:val="5CD5E037"/>
    <w:rsid w:val="5CDAF2A9"/>
    <w:rsid w:val="5CDF09E5"/>
    <w:rsid w:val="5CE715B9"/>
    <w:rsid w:val="5CECE47B"/>
    <w:rsid w:val="5CEF190F"/>
    <w:rsid w:val="5CF06E35"/>
    <w:rsid w:val="5CFDBACE"/>
    <w:rsid w:val="5D026BCE"/>
    <w:rsid w:val="5D056CE8"/>
    <w:rsid w:val="5D0E9F9D"/>
    <w:rsid w:val="5D114C9F"/>
    <w:rsid w:val="5D1DBB1C"/>
    <w:rsid w:val="5D27B4B7"/>
    <w:rsid w:val="5D294ECE"/>
    <w:rsid w:val="5D296A32"/>
    <w:rsid w:val="5D2B61CF"/>
    <w:rsid w:val="5D38B522"/>
    <w:rsid w:val="5D3AB5D2"/>
    <w:rsid w:val="5D41E35F"/>
    <w:rsid w:val="5D4531E1"/>
    <w:rsid w:val="5D4BF4AD"/>
    <w:rsid w:val="5D562D87"/>
    <w:rsid w:val="5D57F830"/>
    <w:rsid w:val="5D588A7A"/>
    <w:rsid w:val="5D5A67DA"/>
    <w:rsid w:val="5D5AB1CB"/>
    <w:rsid w:val="5D631B35"/>
    <w:rsid w:val="5D66CA9D"/>
    <w:rsid w:val="5D733DA9"/>
    <w:rsid w:val="5D773764"/>
    <w:rsid w:val="5D7A475D"/>
    <w:rsid w:val="5D830C4A"/>
    <w:rsid w:val="5D83B672"/>
    <w:rsid w:val="5D893DE7"/>
    <w:rsid w:val="5D8A3910"/>
    <w:rsid w:val="5D928D64"/>
    <w:rsid w:val="5D9D5920"/>
    <w:rsid w:val="5D9E455A"/>
    <w:rsid w:val="5DA2DCEC"/>
    <w:rsid w:val="5DA3C360"/>
    <w:rsid w:val="5DA3E3D4"/>
    <w:rsid w:val="5DA3E616"/>
    <w:rsid w:val="5DABA481"/>
    <w:rsid w:val="5DAFEE75"/>
    <w:rsid w:val="5DB5176F"/>
    <w:rsid w:val="5DC06588"/>
    <w:rsid w:val="5DC16580"/>
    <w:rsid w:val="5DCBC358"/>
    <w:rsid w:val="5DD9FAF8"/>
    <w:rsid w:val="5DDEF5E4"/>
    <w:rsid w:val="5DE20DE7"/>
    <w:rsid w:val="5DE24027"/>
    <w:rsid w:val="5DE65C6E"/>
    <w:rsid w:val="5DEA9FD9"/>
    <w:rsid w:val="5DEC84A2"/>
    <w:rsid w:val="5DEDA215"/>
    <w:rsid w:val="5DF71920"/>
    <w:rsid w:val="5DFBED30"/>
    <w:rsid w:val="5DFDB93B"/>
    <w:rsid w:val="5DFF2FBC"/>
    <w:rsid w:val="5E02F011"/>
    <w:rsid w:val="5E054146"/>
    <w:rsid w:val="5E07353C"/>
    <w:rsid w:val="5E091335"/>
    <w:rsid w:val="5E0B2610"/>
    <w:rsid w:val="5E0B3898"/>
    <w:rsid w:val="5E12F5B6"/>
    <w:rsid w:val="5E18AE04"/>
    <w:rsid w:val="5E240EB7"/>
    <w:rsid w:val="5E24A8B1"/>
    <w:rsid w:val="5E2A00FE"/>
    <w:rsid w:val="5E31F093"/>
    <w:rsid w:val="5E376BF6"/>
    <w:rsid w:val="5E3B8171"/>
    <w:rsid w:val="5E454183"/>
    <w:rsid w:val="5E4AF956"/>
    <w:rsid w:val="5E4D9CEC"/>
    <w:rsid w:val="5E4FCF8B"/>
    <w:rsid w:val="5E51D5FF"/>
    <w:rsid w:val="5E58028D"/>
    <w:rsid w:val="5E5FAEA6"/>
    <w:rsid w:val="5E617CF1"/>
    <w:rsid w:val="5E63BB34"/>
    <w:rsid w:val="5E64D9B4"/>
    <w:rsid w:val="5E7AB9AA"/>
    <w:rsid w:val="5E7CBF7F"/>
    <w:rsid w:val="5E8136C5"/>
    <w:rsid w:val="5E838854"/>
    <w:rsid w:val="5E84DB85"/>
    <w:rsid w:val="5E876E3D"/>
    <w:rsid w:val="5E8880B7"/>
    <w:rsid w:val="5E8F7B72"/>
    <w:rsid w:val="5E925F49"/>
    <w:rsid w:val="5E97BBD8"/>
    <w:rsid w:val="5E9F8D34"/>
    <w:rsid w:val="5EA35474"/>
    <w:rsid w:val="5EA56789"/>
    <w:rsid w:val="5EA69DEB"/>
    <w:rsid w:val="5EA703B1"/>
    <w:rsid w:val="5EA8C607"/>
    <w:rsid w:val="5EA99D03"/>
    <w:rsid w:val="5EA9B6C2"/>
    <w:rsid w:val="5EB0D65B"/>
    <w:rsid w:val="5EB1A5CE"/>
    <w:rsid w:val="5EBAF9F5"/>
    <w:rsid w:val="5EC0D3C4"/>
    <w:rsid w:val="5EC74E94"/>
    <w:rsid w:val="5EC7B615"/>
    <w:rsid w:val="5ECA5330"/>
    <w:rsid w:val="5ED5C5F7"/>
    <w:rsid w:val="5EDB943F"/>
    <w:rsid w:val="5EE37863"/>
    <w:rsid w:val="5EE40A5F"/>
    <w:rsid w:val="5EEDF02C"/>
    <w:rsid w:val="5EF101B4"/>
    <w:rsid w:val="5EFA0007"/>
    <w:rsid w:val="5EFA43C3"/>
    <w:rsid w:val="5EFBBD70"/>
    <w:rsid w:val="5EFFF173"/>
    <w:rsid w:val="5F01CF0F"/>
    <w:rsid w:val="5F024AB1"/>
    <w:rsid w:val="5F063E6F"/>
    <w:rsid w:val="5F098CDA"/>
    <w:rsid w:val="5F1858F2"/>
    <w:rsid w:val="5F21A929"/>
    <w:rsid w:val="5F23CBA5"/>
    <w:rsid w:val="5F271324"/>
    <w:rsid w:val="5F2C98E8"/>
    <w:rsid w:val="5F2D3A44"/>
    <w:rsid w:val="5F31CA9C"/>
    <w:rsid w:val="5F35C68F"/>
    <w:rsid w:val="5F3FE1F7"/>
    <w:rsid w:val="5F431A56"/>
    <w:rsid w:val="5F47D5D0"/>
    <w:rsid w:val="5F4A7DA6"/>
    <w:rsid w:val="5F4EF876"/>
    <w:rsid w:val="5F53620E"/>
    <w:rsid w:val="5F5492CC"/>
    <w:rsid w:val="5F559496"/>
    <w:rsid w:val="5F696114"/>
    <w:rsid w:val="5F6DC344"/>
    <w:rsid w:val="5F6FD18D"/>
    <w:rsid w:val="5F70D9D1"/>
    <w:rsid w:val="5F742B08"/>
    <w:rsid w:val="5F7EC8EF"/>
    <w:rsid w:val="5F881524"/>
    <w:rsid w:val="5F938070"/>
    <w:rsid w:val="5F96F1A7"/>
    <w:rsid w:val="5F990029"/>
    <w:rsid w:val="5F9A198C"/>
    <w:rsid w:val="5F9B7A72"/>
    <w:rsid w:val="5F9C2CC2"/>
    <w:rsid w:val="5F9FB67C"/>
    <w:rsid w:val="5FA052AE"/>
    <w:rsid w:val="5FA39493"/>
    <w:rsid w:val="5FA3B61B"/>
    <w:rsid w:val="5FA664AE"/>
    <w:rsid w:val="5FAE2F79"/>
    <w:rsid w:val="5FB1ED02"/>
    <w:rsid w:val="5FC30B17"/>
    <w:rsid w:val="5FC5DC02"/>
    <w:rsid w:val="5FD39F6D"/>
    <w:rsid w:val="5FD7FC1A"/>
    <w:rsid w:val="5FE7E27C"/>
    <w:rsid w:val="5FEB6306"/>
    <w:rsid w:val="5FEDAE95"/>
    <w:rsid w:val="5FF088A2"/>
    <w:rsid w:val="5FF24472"/>
    <w:rsid w:val="5FF4E79B"/>
    <w:rsid w:val="60062E8D"/>
    <w:rsid w:val="6009912E"/>
    <w:rsid w:val="600B554E"/>
    <w:rsid w:val="600BA55B"/>
    <w:rsid w:val="6013D28F"/>
    <w:rsid w:val="60155934"/>
    <w:rsid w:val="601B0CC0"/>
    <w:rsid w:val="6038A012"/>
    <w:rsid w:val="60396A38"/>
    <w:rsid w:val="603D32F9"/>
    <w:rsid w:val="603ECF23"/>
    <w:rsid w:val="6044191C"/>
    <w:rsid w:val="604A4236"/>
    <w:rsid w:val="60548A22"/>
    <w:rsid w:val="60588067"/>
    <w:rsid w:val="60597860"/>
    <w:rsid w:val="605F022E"/>
    <w:rsid w:val="606E6878"/>
    <w:rsid w:val="607122AE"/>
    <w:rsid w:val="607D7112"/>
    <w:rsid w:val="60857D56"/>
    <w:rsid w:val="60999B6B"/>
    <w:rsid w:val="609A89EF"/>
    <w:rsid w:val="60A129CF"/>
    <w:rsid w:val="60AD8E8C"/>
    <w:rsid w:val="60B10531"/>
    <w:rsid w:val="60B64B7F"/>
    <w:rsid w:val="60B84A35"/>
    <w:rsid w:val="60BE1AC1"/>
    <w:rsid w:val="60C089CB"/>
    <w:rsid w:val="60C63ADA"/>
    <w:rsid w:val="60C91662"/>
    <w:rsid w:val="60D3F4D9"/>
    <w:rsid w:val="60E04A8A"/>
    <w:rsid w:val="60E710A7"/>
    <w:rsid w:val="60E74772"/>
    <w:rsid w:val="60ECDA31"/>
    <w:rsid w:val="60FBEFFC"/>
    <w:rsid w:val="60FE23E5"/>
    <w:rsid w:val="6107A1D9"/>
    <w:rsid w:val="610C1CD5"/>
    <w:rsid w:val="6115A7C4"/>
    <w:rsid w:val="611C330F"/>
    <w:rsid w:val="611C92F6"/>
    <w:rsid w:val="611F3E13"/>
    <w:rsid w:val="6121D41B"/>
    <w:rsid w:val="612311ED"/>
    <w:rsid w:val="612A67FA"/>
    <w:rsid w:val="612E688A"/>
    <w:rsid w:val="612FA1AD"/>
    <w:rsid w:val="612FBE6F"/>
    <w:rsid w:val="613348D9"/>
    <w:rsid w:val="6134B4EA"/>
    <w:rsid w:val="613C4BF0"/>
    <w:rsid w:val="6154F730"/>
    <w:rsid w:val="6159BC39"/>
    <w:rsid w:val="615B1DFD"/>
    <w:rsid w:val="615BA515"/>
    <w:rsid w:val="616B3C3A"/>
    <w:rsid w:val="61705FAC"/>
    <w:rsid w:val="6173E996"/>
    <w:rsid w:val="617749FD"/>
    <w:rsid w:val="617C0E2A"/>
    <w:rsid w:val="617DF052"/>
    <w:rsid w:val="61805A3B"/>
    <w:rsid w:val="61831232"/>
    <w:rsid w:val="6185D927"/>
    <w:rsid w:val="619177D9"/>
    <w:rsid w:val="6196848D"/>
    <w:rsid w:val="6198E1FA"/>
    <w:rsid w:val="61A20B69"/>
    <w:rsid w:val="61A781CF"/>
    <w:rsid w:val="61AA5132"/>
    <w:rsid w:val="61B3A639"/>
    <w:rsid w:val="61BD8483"/>
    <w:rsid w:val="61CB140D"/>
    <w:rsid w:val="61CB4FCF"/>
    <w:rsid w:val="61CD56A8"/>
    <w:rsid w:val="61CF6AC9"/>
    <w:rsid w:val="61DF4957"/>
    <w:rsid w:val="61E0C594"/>
    <w:rsid w:val="61E30EE9"/>
    <w:rsid w:val="61E5FB64"/>
    <w:rsid w:val="61ED1672"/>
    <w:rsid w:val="61F85759"/>
    <w:rsid w:val="61FB6D4E"/>
    <w:rsid w:val="61FEF1B9"/>
    <w:rsid w:val="620181F1"/>
    <w:rsid w:val="6203F62C"/>
    <w:rsid w:val="62050CC6"/>
    <w:rsid w:val="6207C138"/>
    <w:rsid w:val="6208ADC0"/>
    <w:rsid w:val="620B3571"/>
    <w:rsid w:val="620BE8C6"/>
    <w:rsid w:val="620D0758"/>
    <w:rsid w:val="6210D4CE"/>
    <w:rsid w:val="6212FD68"/>
    <w:rsid w:val="621625CB"/>
    <w:rsid w:val="62162E7A"/>
    <w:rsid w:val="62163EAB"/>
    <w:rsid w:val="621C54A1"/>
    <w:rsid w:val="621D4D7F"/>
    <w:rsid w:val="621F300C"/>
    <w:rsid w:val="6232CCAA"/>
    <w:rsid w:val="623708FE"/>
    <w:rsid w:val="62385653"/>
    <w:rsid w:val="6238B2C8"/>
    <w:rsid w:val="6240A368"/>
    <w:rsid w:val="62449EFC"/>
    <w:rsid w:val="62453A68"/>
    <w:rsid w:val="6248376A"/>
    <w:rsid w:val="6249A301"/>
    <w:rsid w:val="62505D5F"/>
    <w:rsid w:val="62545B07"/>
    <w:rsid w:val="626AAE09"/>
    <w:rsid w:val="626BBD64"/>
    <w:rsid w:val="627096FB"/>
    <w:rsid w:val="6270D6FC"/>
    <w:rsid w:val="6277A9DD"/>
    <w:rsid w:val="6280EBD3"/>
    <w:rsid w:val="628272D7"/>
    <w:rsid w:val="628600B3"/>
    <w:rsid w:val="628AD1BC"/>
    <w:rsid w:val="628B04CC"/>
    <w:rsid w:val="6290B688"/>
    <w:rsid w:val="6293D62E"/>
    <w:rsid w:val="62964D55"/>
    <w:rsid w:val="62A1A3BA"/>
    <w:rsid w:val="62A474F4"/>
    <w:rsid w:val="62AB9F95"/>
    <w:rsid w:val="62AFEC75"/>
    <w:rsid w:val="62B074BB"/>
    <w:rsid w:val="62B99E21"/>
    <w:rsid w:val="62BA0B30"/>
    <w:rsid w:val="62BB6EC4"/>
    <w:rsid w:val="62BF497D"/>
    <w:rsid w:val="62C01903"/>
    <w:rsid w:val="62C10145"/>
    <w:rsid w:val="62D2B076"/>
    <w:rsid w:val="62D6B101"/>
    <w:rsid w:val="62D6CF1A"/>
    <w:rsid w:val="62D73C1F"/>
    <w:rsid w:val="62DC67EE"/>
    <w:rsid w:val="62DD79A0"/>
    <w:rsid w:val="62E93A52"/>
    <w:rsid w:val="62EA8BC2"/>
    <w:rsid w:val="6300CD20"/>
    <w:rsid w:val="6304DE27"/>
    <w:rsid w:val="630BAB93"/>
    <w:rsid w:val="630F406A"/>
    <w:rsid w:val="6314005C"/>
    <w:rsid w:val="63180C52"/>
    <w:rsid w:val="63199DA3"/>
    <w:rsid w:val="631BB4A3"/>
    <w:rsid w:val="631FC4E2"/>
    <w:rsid w:val="63247021"/>
    <w:rsid w:val="6326474C"/>
    <w:rsid w:val="63330D1F"/>
    <w:rsid w:val="63357F72"/>
    <w:rsid w:val="63382AB7"/>
    <w:rsid w:val="6345BC94"/>
    <w:rsid w:val="634D1C81"/>
    <w:rsid w:val="634D36F4"/>
    <w:rsid w:val="634F0AE3"/>
    <w:rsid w:val="6351052C"/>
    <w:rsid w:val="6359DDBA"/>
    <w:rsid w:val="635A5B85"/>
    <w:rsid w:val="6360739B"/>
    <w:rsid w:val="63640FF3"/>
    <w:rsid w:val="63669BD2"/>
    <w:rsid w:val="63671D1D"/>
    <w:rsid w:val="63735E39"/>
    <w:rsid w:val="63737CB2"/>
    <w:rsid w:val="637440D7"/>
    <w:rsid w:val="63744568"/>
    <w:rsid w:val="63766298"/>
    <w:rsid w:val="637FC3C6"/>
    <w:rsid w:val="6381B34B"/>
    <w:rsid w:val="638296F3"/>
    <w:rsid w:val="63830824"/>
    <w:rsid w:val="63847B28"/>
    <w:rsid w:val="638683FF"/>
    <w:rsid w:val="638E6585"/>
    <w:rsid w:val="638F29A1"/>
    <w:rsid w:val="639360A3"/>
    <w:rsid w:val="6395A3E3"/>
    <w:rsid w:val="639C1E74"/>
    <w:rsid w:val="639DBA23"/>
    <w:rsid w:val="639DFC4E"/>
    <w:rsid w:val="639EE926"/>
    <w:rsid w:val="63A0D13F"/>
    <w:rsid w:val="63A2DBD1"/>
    <w:rsid w:val="63A67177"/>
    <w:rsid w:val="63A8DC3F"/>
    <w:rsid w:val="63AB0FBB"/>
    <w:rsid w:val="63C4EDD5"/>
    <w:rsid w:val="63CEB13D"/>
    <w:rsid w:val="63CF5B5D"/>
    <w:rsid w:val="63D75831"/>
    <w:rsid w:val="63E61952"/>
    <w:rsid w:val="63EB346B"/>
    <w:rsid w:val="63F1BABF"/>
    <w:rsid w:val="63F1FE17"/>
    <w:rsid w:val="63F4BF82"/>
    <w:rsid w:val="63FEDD36"/>
    <w:rsid w:val="640139B9"/>
    <w:rsid w:val="6402C5FC"/>
    <w:rsid w:val="64032B74"/>
    <w:rsid w:val="6407F384"/>
    <w:rsid w:val="640DD227"/>
    <w:rsid w:val="640DE580"/>
    <w:rsid w:val="640EA4C7"/>
    <w:rsid w:val="641111D7"/>
    <w:rsid w:val="6415A293"/>
    <w:rsid w:val="641A3ED2"/>
    <w:rsid w:val="641A5449"/>
    <w:rsid w:val="641FEE64"/>
    <w:rsid w:val="64276F01"/>
    <w:rsid w:val="642B935A"/>
    <w:rsid w:val="642CC779"/>
    <w:rsid w:val="642D3CA6"/>
    <w:rsid w:val="6432100C"/>
    <w:rsid w:val="643B99CA"/>
    <w:rsid w:val="643BA483"/>
    <w:rsid w:val="643FB27F"/>
    <w:rsid w:val="6443679E"/>
    <w:rsid w:val="6446956A"/>
    <w:rsid w:val="64503813"/>
    <w:rsid w:val="64514800"/>
    <w:rsid w:val="64586FFC"/>
    <w:rsid w:val="645CC9FC"/>
    <w:rsid w:val="6461E6D3"/>
    <w:rsid w:val="646886CF"/>
    <w:rsid w:val="6469BF94"/>
    <w:rsid w:val="646A9997"/>
    <w:rsid w:val="646D781D"/>
    <w:rsid w:val="64717928"/>
    <w:rsid w:val="64725DD3"/>
    <w:rsid w:val="6477B2A9"/>
    <w:rsid w:val="647F8112"/>
    <w:rsid w:val="648678C5"/>
    <w:rsid w:val="648D38A1"/>
    <w:rsid w:val="64903F85"/>
    <w:rsid w:val="6491044F"/>
    <w:rsid w:val="649595A8"/>
    <w:rsid w:val="64998459"/>
    <w:rsid w:val="6499847B"/>
    <w:rsid w:val="649C5893"/>
    <w:rsid w:val="649D15B8"/>
    <w:rsid w:val="649D345D"/>
    <w:rsid w:val="64A41695"/>
    <w:rsid w:val="64A6927C"/>
    <w:rsid w:val="64A7C5E3"/>
    <w:rsid w:val="64A92240"/>
    <w:rsid w:val="64AA65C9"/>
    <w:rsid w:val="64AB2FBD"/>
    <w:rsid w:val="64B1F8DA"/>
    <w:rsid w:val="64B249FC"/>
    <w:rsid w:val="64B69D96"/>
    <w:rsid w:val="64B892A7"/>
    <w:rsid w:val="64BA2B51"/>
    <w:rsid w:val="64BA3A05"/>
    <w:rsid w:val="64BB5A81"/>
    <w:rsid w:val="64BD4E21"/>
    <w:rsid w:val="64C2673E"/>
    <w:rsid w:val="64C60578"/>
    <w:rsid w:val="64CA9E67"/>
    <w:rsid w:val="64CBFDAE"/>
    <w:rsid w:val="64CE93C7"/>
    <w:rsid w:val="64D23E36"/>
    <w:rsid w:val="64D2469E"/>
    <w:rsid w:val="64DAF9E9"/>
    <w:rsid w:val="64DB722A"/>
    <w:rsid w:val="64DBF088"/>
    <w:rsid w:val="64E274CA"/>
    <w:rsid w:val="64E2EE1B"/>
    <w:rsid w:val="64E5B856"/>
    <w:rsid w:val="64F27F71"/>
    <w:rsid w:val="64F8A480"/>
    <w:rsid w:val="6501BB47"/>
    <w:rsid w:val="65028A1D"/>
    <w:rsid w:val="6502F135"/>
    <w:rsid w:val="6506FCEF"/>
    <w:rsid w:val="650756B1"/>
    <w:rsid w:val="650E02F4"/>
    <w:rsid w:val="65106C1F"/>
    <w:rsid w:val="6512530C"/>
    <w:rsid w:val="65147ADC"/>
    <w:rsid w:val="6515BF80"/>
    <w:rsid w:val="65173D63"/>
    <w:rsid w:val="651B9E19"/>
    <w:rsid w:val="651DD4CF"/>
    <w:rsid w:val="65208752"/>
    <w:rsid w:val="65264349"/>
    <w:rsid w:val="65280BD4"/>
    <w:rsid w:val="652EB80C"/>
    <w:rsid w:val="653DEA08"/>
    <w:rsid w:val="65404775"/>
    <w:rsid w:val="654DFBBF"/>
    <w:rsid w:val="655696BC"/>
    <w:rsid w:val="655BA99F"/>
    <w:rsid w:val="655D3DA6"/>
    <w:rsid w:val="656738FA"/>
    <w:rsid w:val="6569C81A"/>
    <w:rsid w:val="656DEF00"/>
    <w:rsid w:val="656EE4C5"/>
    <w:rsid w:val="656F88D7"/>
    <w:rsid w:val="65701142"/>
    <w:rsid w:val="6575452A"/>
    <w:rsid w:val="657D9D6A"/>
    <w:rsid w:val="6583DC6B"/>
    <w:rsid w:val="65858B45"/>
    <w:rsid w:val="6586D997"/>
    <w:rsid w:val="658D2FE1"/>
    <w:rsid w:val="65914C9A"/>
    <w:rsid w:val="6594AA34"/>
    <w:rsid w:val="6596ABF2"/>
    <w:rsid w:val="6599A86E"/>
    <w:rsid w:val="6599E450"/>
    <w:rsid w:val="659E0BFF"/>
    <w:rsid w:val="65A23CE7"/>
    <w:rsid w:val="65A9C8CC"/>
    <w:rsid w:val="65AA0D7D"/>
    <w:rsid w:val="65AD8FAC"/>
    <w:rsid w:val="65C3D2B8"/>
    <w:rsid w:val="65C842F5"/>
    <w:rsid w:val="65CB95E9"/>
    <w:rsid w:val="65CC6B90"/>
    <w:rsid w:val="65D12852"/>
    <w:rsid w:val="65E37CF6"/>
    <w:rsid w:val="65EB3D38"/>
    <w:rsid w:val="65EDFF4A"/>
    <w:rsid w:val="65F3FB66"/>
    <w:rsid w:val="65F504C7"/>
    <w:rsid w:val="65F8686F"/>
    <w:rsid w:val="66025140"/>
    <w:rsid w:val="660315F6"/>
    <w:rsid w:val="6606D1A3"/>
    <w:rsid w:val="6614F4B6"/>
    <w:rsid w:val="661B4F50"/>
    <w:rsid w:val="66255829"/>
    <w:rsid w:val="66283F1E"/>
    <w:rsid w:val="662A8DE2"/>
    <w:rsid w:val="662CB82D"/>
    <w:rsid w:val="662D211C"/>
    <w:rsid w:val="66418C7E"/>
    <w:rsid w:val="66444889"/>
    <w:rsid w:val="66485509"/>
    <w:rsid w:val="664CD1E3"/>
    <w:rsid w:val="66566BAA"/>
    <w:rsid w:val="6656E56B"/>
    <w:rsid w:val="6659D13E"/>
    <w:rsid w:val="665AB8D2"/>
    <w:rsid w:val="665CF656"/>
    <w:rsid w:val="665E20AC"/>
    <w:rsid w:val="6660FC0B"/>
    <w:rsid w:val="66692314"/>
    <w:rsid w:val="66777B91"/>
    <w:rsid w:val="6689707D"/>
    <w:rsid w:val="668B1820"/>
    <w:rsid w:val="668B39DA"/>
    <w:rsid w:val="668BDC28"/>
    <w:rsid w:val="66906D53"/>
    <w:rsid w:val="66942727"/>
    <w:rsid w:val="6695B78F"/>
    <w:rsid w:val="66981FF5"/>
    <w:rsid w:val="66A2C13B"/>
    <w:rsid w:val="66A380FF"/>
    <w:rsid w:val="66A65868"/>
    <w:rsid w:val="66AB5DD7"/>
    <w:rsid w:val="66AC2423"/>
    <w:rsid w:val="66AE01AE"/>
    <w:rsid w:val="66AE0F64"/>
    <w:rsid w:val="66B05785"/>
    <w:rsid w:val="66B41E67"/>
    <w:rsid w:val="66B69751"/>
    <w:rsid w:val="66BEA975"/>
    <w:rsid w:val="66BEF9EF"/>
    <w:rsid w:val="66C11F46"/>
    <w:rsid w:val="66C632F0"/>
    <w:rsid w:val="66CD4F34"/>
    <w:rsid w:val="66CDC2F5"/>
    <w:rsid w:val="66D55BC9"/>
    <w:rsid w:val="66D8A767"/>
    <w:rsid w:val="66DC91D6"/>
    <w:rsid w:val="66E01C11"/>
    <w:rsid w:val="66E37D0C"/>
    <w:rsid w:val="66F04FB8"/>
    <w:rsid w:val="66F2143B"/>
    <w:rsid w:val="66F815C9"/>
    <w:rsid w:val="670CF92B"/>
    <w:rsid w:val="670EE605"/>
    <w:rsid w:val="67123D35"/>
    <w:rsid w:val="67192C0E"/>
    <w:rsid w:val="6721B4AC"/>
    <w:rsid w:val="67252C03"/>
    <w:rsid w:val="6728639F"/>
    <w:rsid w:val="672D07D9"/>
    <w:rsid w:val="672D1087"/>
    <w:rsid w:val="672D280F"/>
    <w:rsid w:val="67308389"/>
    <w:rsid w:val="67322093"/>
    <w:rsid w:val="67370339"/>
    <w:rsid w:val="673B756B"/>
    <w:rsid w:val="67464A68"/>
    <w:rsid w:val="674C1D09"/>
    <w:rsid w:val="674DADA0"/>
    <w:rsid w:val="6753051F"/>
    <w:rsid w:val="67566DD0"/>
    <w:rsid w:val="67599065"/>
    <w:rsid w:val="675B34BF"/>
    <w:rsid w:val="675BCBE3"/>
    <w:rsid w:val="67607433"/>
    <w:rsid w:val="676555F9"/>
    <w:rsid w:val="6766BC90"/>
    <w:rsid w:val="676B0800"/>
    <w:rsid w:val="67709A6D"/>
    <w:rsid w:val="67735F8F"/>
    <w:rsid w:val="67736F4D"/>
    <w:rsid w:val="6775602B"/>
    <w:rsid w:val="6775CA5C"/>
    <w:rsid w:val="677D9ADE"/>
    <w:rsid w:val="677F781F"/>
    <w:rsid w:val="6787B87E"/>
    <w:rsid w:val="679419EA"/>
    <w:rsid w:val="67956E98"/>
    <w:rsid w:val="679E5214"/>
    <w:rsid w:val="67A5E625"/>
    <w:rsid w:val="67A98AC7"/>
    <w:rsid w:val="67C1C5AA"/>
    <w:rsid w:val="67CAE699"/>
    <w:rsid w:val="67CE3CFA"/>
    <w:rsid w:val="67D54200"/>
    <w:rsid w:val="67DC7D2B"/>
    <w:rsid w:val="67E22D18"/>
    <w:rsid w:val="67E3FBFF"/>
    <w:rsid w:val="67E53D3F"/>
    <w:rsid w:val="67E57BC5"/>
    <w:rsid w:val="67E8C166"/>
    <w:rsid w:val="67F0A501"/>
    <w:rsid w:val="67F41DA0"/>
    <w:rsid w:val="67F578A1"/>
    <w:rsid w:val="67FD841C"/>
    <w:rsid w:val="680BBD55"/>
    <w:rsid w:val="680CEF65"/>
    <w:rsid w:val="680D871B"/>
    <w:rsid w:val="6811E207"/>
    <w:rsid w:val="68129ACA"/>
    <w:rsid w:val="6815D716"/>
    <w:rsid w:val="68177E5B"/>
    <w:rsid w:val="68178711"/>
    <w:rsid w:val="681AF1DE"/>
    <w:rsid w:val="68201875"/>
    <w:rsid w:val="68278746"/>
    <w:rsid w:val="6833645E"/>
    <w:rsid w:val="68398BA0"/>
    <w:rsid w:val="68399A50"/>
    <w:rsid w:val="68416E7C"/>
    <w:rsid w:val="6842B6AA"/>
    <w:rsid w:val="6845ED35"/>
    <w:rsid w:val="68509366"/>
    <w:rsid w:val="685169A8"/>
    <w:rsid w:val="68575423"/>
    <w:rsid w:val="685C0E92"/>
    <w:rsid w:val="685C14BD"/>
    <w:rsid w:val="685F9657"/>
    <w:rsid w:val="68656AB7"/>
    <w:rsid w:val="686FBC88"/>
    <w:rsid w:val="68765A69"/>
    <w:rsid w:val="68855E43"/>
    <w:rsid w:val="688660F1"/>
    <w:rsid w:val="6888C5BA"/>
    <w:rsid w:val="688A3567"/>
    <w:rsid w:val="688DF9CE"/>
    <w:rsid w:val="68910B76"/>
    <w:rsid w:val="6894575A"/>
    <w:rsid w:val="6899B245"/>
    <w:rsid w:val="689E8906"/>
    <w:rsid w:val="689FECD7"/>
    <w:rsid w:val="68A3468E"/>
    <w:rsid w:val="68B2B971"/>
    <w:rsid w:val="68BA150F"/>
    <w:rsid w:val="68BFF5CC"/>
    <w:rsid w:val="68C165B1"/>
    <w:rsid w:val="68C4F491"/>
    <w:rsid w:val="68CDD186"/>
    <w:rsid w:val="68D0381E"/>
    <w:rsid w:val="68DB9D98"/>
    <w:rsid w:val="68DD20E6"/>
    <w:rsid w:val="68E4ECDA"/>
    <w:rsid w:val="68E60A52"/>
    <w:rsid w:val="68E6D5CC"/>
    <w:rsid w:val="68F7253D"/>
    <w:rsid w:val="68F8853E"/>
    <w:rsid w:val="6905F2D0"/>
    <w:rsid w:val="6906BFB1"/>
    <w:rsid w:val="690B1846"/>
    <w:rsid w:val="690F4FCD"/>
    <w:rsid w:val="691260C8"/>
    <w:rsid w:val="6915E16F"/>
    <w:rsid w:val="6929DB1E"/>
    <w:rsid w:val="692AA4FA"/>
    <w:rsid w:val="692B5AF6"/>
    <w:rsid w:val="692D1FE7"/>
    <w:rsid w:val="692D3AC6"/>
    <w:rsid w:val="6939D70E"/>
    <w:rsid w:val="693C23FA"/>
    <w:rsid w:val="693DCEAA"/>
    <w:rsid w:val="69495A07"/>
    <w:rsid w:val="694A42E0"/>
    <w:rsid w:val="694ED2DC"/>
    <w:rsid w:val="695249D7"/>
    <w:rsid w:val="69530D13"/>
    <w:rsid w:val="6953D049"/>
    <w:rsid w:val="69576838"/>
    <w:rsid w:val="69579B91"/>
    <w:rsid w:val="695F8DF7"/>
    <w:rsid w:val="6961C8B0"/>
    <w:rsid w:val="69788221"/>
    <w:rsid w:val="69796729"/>
    <w:rsid w:val="697B7A60"/>
    <w:rsid w:val="69935925"/>
    <w:rsid w:val="699945B9"/>
    <w:rsid w:val="699B0E75"/>
    <w:rsid w:val="699B9332"/>
    <w:rsid w:val="69A45502"/>
    <w:rsid w:val="69A83E6E"/>
    <w:rsid w:val="69A9CE4B"/>
    <w:rsid w:val="69AA657A"/>
    <w:rsid w:val="69AC0F22"/>
    <w:rsid w:val="69B672C2"/>
    <w:rsid w:val="69B70933"/>
    <w:rsid w:val="69BC590F"/>
    <w:rsid w:val="69BCDF12"/>
    <w:rsid w:val="69BDA02E"/>
    <w:rsid w:val="69BFD3A8"/>
    <w:rsid w:val="69CAD3BA"/>
    <w:rsid w:val="69CF6877"/>
    <w:rsid w:val="69D05904"/>
    <w:rsid w:val="69D1363D"/>
    <w:rsid w:val="69D182C7"/>
    <w:rsid w:val="69D40EC2"/>
    <w:rsid w:val="69D70BD2"/>
    <w:rsid w:val="69DE4565"/>
    <w:rsid w:val="69E3DD48"/>
    <w:rsid w:val="69E58CBB"/>
    <w:rsid w:val="69E60274"/>
    <w:rsid w:val="69ECBB77"/>
    <w:rsid w:val="69F44281"/>
    <w:rsid w:val="69F693B6"/>
    <w:rsid w:val="69F771FA"/>
    <w:rsid w:val="69FCDF47"/>
    <w:rsid w:val="69FF2061"/>
    <w:rsid w:val="6A026A98"/>
    <w:rsid w:val="6A040D55"/>
    <w:rsid w:val="6A068BC2"/>
    <w:rsid w:val="6A0A5132"/>
    <w:rsid w:val="6A0B50DF"/>
    <w:rsid w:val="6A106882"/>
    <w:rsid w:val="6A129E2E"/>
    <w:rsid w:val="6A21B159"/>
    <w:rsid w:val="6A21FC27"/>
    <w:rsid w:val="6A229B4F"/>
    <w:rsid w:val="6A25D709"/>
    <w:rsid w:val="6A25FE06"/>
    <w:rsid w:val="6A329313"/>
    <w:rsid w:val="6A3A2DB9"/>
    <w:rsid w:val="6A3E8244"/>
    <w:rsid w:val="6A4BB289"/>
    <w:rsid w:val="6A545D2A"/>
    <w:rsid w:val="6A560CFC"/>
    <w:rsid w:val="6A6173DF"/>
    <w:rsid w:val="6A68AD78"/>
    <w:rsid w:val="6A6D3FAE"/>
    <w:rsid w:val="6A6D6041"/>
    <w:rsid w:val="6A77FBE3"/>
    <w:rsid w:val="6A7B82F0"/>
    <w:rsid w:val="6A7F5EFD"/>
    <w:rsid w:val="6A87BF8B"/>
    <w:rsid w:val="6A88A45C"/>
    <w:rsid w:val="6A8B4154"/>
    <w:rsid w:val="6A8F7D4C"/>
    <w:rsid w:val="6A917EFF"/>
    <w:rsid w:val="6A9D2C22"/>
    <w:rsid w:val="6AA52CFB"/>
    <w:rsid w:val="6AACC5C1"/>
    <w:rsid w:val="6AAF44B9"/>
    <w:rsid w:val="6AAFEEEE"/>
    <w:rsid w:val="6AB88F0F"/>
    <w:rsid w:val="6AB920B1"/>
    <w:rsid w:val="6ABE4531"/>
    <w:rsid w:val="6AC067A2"/>
    <w:rsid w:val="6AC23724"/>
    <w:rsid w:val="6AC9105C"/>
    <w:rsid w:val="6ACA38D2"/>
    <w:rsid w:val="6ACB38F1"/>
    <w:rsid w:val="6ACB6265"/>
    <w:rsid w:val="6ACCCAA6"/>
    <w:rsid w:val="6ACDBB3F"/>
    <w:rsid w:val="6ACECAA1"/>
    <w:rsid w:val="6AD045BC"/>
    <w:rsid w:val="6AD1893B"/>
    <w:rsid w:val="6AD56E5C"/>
    <w:rsid w:val="6ADB4A14"/>
    <w:rsid w:val="6AE05A03"/>
    <w:rsid w:val="6AE9BE8C"/>
    <w:rsid w:val="6AEAE33C"/>
    <w:rsid w:val="6AEF24A3"/>
    <w:rsid w:val="6AF508CC"/>
    <w:rsid w:val="6AF630F4"/>
    <w:rsid w:val="6AF6E89A"/>
    <w:rsid w:val="6AFC0361"/>
    <w:rsid w:val="6B003A8B"/>
    <w:rsid w:val="6B088737"/>
    <w:rsid w:val="6B08BB07"/>
    <w:rsid w:val="6B0CD6C8"/>
    <w:rsid w:val="6B0DC875"/>
    <w:rsid w:val="6B1661E8"/>
    <w:rsid w:val="6B19BD3F"/>
    <w:rsid w:val="6B1A90CD"/>
    <w:rsid w:val="6B1AD3B2"/>
    <w:rsid w:val="6B1F114F"/>
    <w:rsid w:val="6B213F7F"/>
    <w:rsid w:val="6B261EF5"/>
    <w:rsid w:val="6B2713D5"/>
    <w:rsid w:val="6B274AF6"/>
    <w:rsid w:val="6B276417"/>
    <w:rsid w:val="6B2BD792"/>
    <w:rsid w:val="6B2E7F30"/>
    <w:rsid w:val="6B320A57"/>
    <w:rsid w:val="6B323D0D"/>
    <w:rsid w:val="6B32AE69"/>
    <w:rsid w:val="6B355057"/>
    <w:rsid w:val="6B367255"/>
    <w:rsid w:val="6B3F6818"/>
    <w:rsid w:val="6B4055A6"/>
    <w:rsid w:val="6B42FBE6"/>
    <w:rsid w:val="6B49BB24"/>
    <w:rsid w:val="6B4F8EE3"/>
    <w:rsid w:val="6B4F8FA6"/>
    <w:rsid w:val="6B54E37C"/>
    <w:rsid w:val="6B5ACD7E"/>
    <w:rsid w:val="6B625F9C"/>
    <w:rsid w:val="6B64D061"/>
    <w:rsid w:val="6B6D5328"/>
    <w:rsid w:val="6B733043"/>
    <w:rsid w:val="6B779463"/>
    <w:rsid w:val="6B824138"/>
    <w:rsid w:val="6B84A1DA"/>
    <w:rsid w:val="6B84A5C2"/>
    <w:rsid w:val="6B86239B"/>
    <w:rsid w:val="6B8C89FE"/>
    <w:rsid w:val="6B95FA03"/>
    <w:rsid w:val="6B9E7435"/>
    <w:rsid w:val="6BA18462"/>
    <w:rsid w:val="6BB6C873"/>
    <w:rsid w:val="6BB86721"/>
    <w:rsid w:val="6BB8CECB"/>
    <w:rsid w:val="6BC05E44"/>
    <w:rsid w:val="6BCA19E8"/>
    <w:rsid w:val="6BCE23B1"/>
    <w:rsid w:val="6BD004DD"/>
    <w:rsid w:val="6BD064FB"/>
    <w:rsid w:val="6BD200ED"/>
    <w:rsid w:val="6BD34674"/>
    <w:rsid w:val="6BDD6923"/>
    <w:rsid w:val="6BDE0FF1"/>
    <w:rsid w:val="6BE40477"/>
    <w:rsid w:val="6BE53E8C"/>
    <w:rsid w:val="6BE57A38"/>
    <w:rsid w:val="6BE6C804"/>
    <w:rsid w:val="6BE9CD1D"/>
    <w:rsid w:val="6BED2C67"/>
    <w:rsid w:val="6BF63CB2"/>
    <w:rsid w:val="6BFA3680"/>
    <w:rsid w:val="6BFDCBD0"/>
    <w:rsid w:val="6C01DA22"/>
    <w:rsid w:val="6C029013"/>
    <w:rsid w:val="6C216FF2"/>
    <w:rsid w:val="6C344DAC"/>
    <w:rsid w:val="6C3E796C"/>
    <w:rsid w:val="6C400AEB"/>
    <w:rsid w:val="6C421E2D"/>
    <w:rsid w:val="6C4C1DD0"/>
    <w:rsid w:val="6C4C34F4"/>
    <w:rsid w:val="6C4C7A25"/>
    <w:rsid w:val="6C4D5431"/>
    <w:rsid w:val="6C4F66D4"/>
    <w:rsid w:val="6C50BD34"/>
    <w:rsid w:val="6C516CFA"/>
    <w:rsid w:val="6C617142"/>
    <w:rsid w:val="6C61C85C"/>
    <w:rsid w:val="6C6C8048"/>
    <w:rsid w:val="6C7125A5"/>
    <w:rsid w:val="6C79B687"/>
    <w:rsid w:val="6C7AAADA"/>
    <w:rsid w:val="6C7D2E54"/>
    <w:rsid w:val="6C806156"/>
    <w:rsid w:val="6C806784"/>
    <w:rsid w:val="6C83277D"/>
    <w:rsid w:val="6C8720B8"/>
    <w:rsid w:val="6C8C668F"/>
    <w:rsid w:val="6C9619BF"/>
    <w:rsid w:val="6C97BBE5"/>
    <w:rsid w:val="6C9F9149"/>
    <w:rsid w:val="6CA607D7"/>
    <w:rsid w:val="6CB08DBC"/>
    <w:rsid w:val="6CB511BE"/>
    <w:rsid w:val="6CCDAC5D"/>
    <w:rsid w:val="6CD5B8DE"/>
    <w:rsid w:val="6CD72B50"/>
    <w:rsid w:val="6CDB1174"/>
    <w:rsid w:val="6CDE944F"/>
    <w:rsid w:val="6CE21D87"/>
    <w:rsid w:val="6CE8D9CE"/>
    <w:rsid w:val="6CE9AFC6"/>
    <w:rsid w:val="6CF6ACF8"/>
    <w:rsid w:val="6CF7E57B"/>
    <w:rsid w:val="6CF93F88"/>
    <w:rsid w:val="6CFD7A6C"/>
    <w:rsid w:val="6CFE7538"/>
    <w:rsid w:val="6D058C75"/>
    <w:rsid w:val="6D0DF570"/>
    <w:rsid w:val="6D12511D"/>
    <w:rsid w:val="6D1CDEB1"/>
    <w:rsid w:val="6D1FA196"/>
    <w:rsid w:val="6D25887C"/>
    <w:rsid w:val="6D260125"/>
    <w:rsid w:val="6D2A88F4"/>
    <w:rsid w:val="6D2D52A7"/>
    <w:rsid w:val="6D2FC49C"/>
    <w:rsid w:val="6D36BB8B"/>
    <w:rsid w:val="6D36DE3C"/>
    <w:rsid w:val="6D45088F"/>
    <w:rsid w:val="6D463650"/>
    <w:rsid w:val="6D4B542E"/>
    <w:rsid w:val="6D524E7A"/>
    <w:rsid w:val="6D52C930"/>
    <w:rsid w:val="6D53A173"/>
    <w:rsid w:val="6D605499"/>
    <w:rsid w:val="6D637729"/>
    <w:rsid w:val="6D675ACA"/>
    <w:rsid w:val="6D7ACE84"/>
    <w:rsid w:val="6D8069AB"/>
    <w:rsid w:val="6D80B39D"/>
    <w:rsid w:val="6D8559FA"/>
    <w:rsid w:val="6D8B4E30"/>
    <w:rsid w:val="6D8BE622"/>
    <w:rsid w:val="6D94448A"/>
    <w:rsid w:val="6D9B0699"/>
    <w:rsid w:val="6D9B58A7"/>
    <w:rsid w:val="6D9D1455"/>
    <w:rsid w:val="6DA08259"/>
    <w:rsid w:val="6DA4F2BC"/>
    <w:rsid w:val="6DB0FF0E"/>
    <w:rsid w:val="6DB57ED8"/>
    <w:rsid w:val="6DBB2AC0"/>
    <w:rsid w:val="6DBBB15E"/>
    <w:rsid w:val="6DBDDD45"/>
    <w:rsid w:val="6DBFD814"/>
    <w:rsid w:val="6DC0A92E"/>
    <w:rsid w:val="6DC2FB38"/>
    <w:rsid w:val="6DCB385F"/>
    <w:rsid w:val="6DDB809D"/>
    <w:rsid w:val="6DEF67B6"/>
    <w:rsid w:val="6DF1F463"/>
    <w:rsid w:val="6DF2D0BB"/>
    <w:rsid w:val="6DF69FEE"/>
    <w:rsid w:val="6DF883AC"/>
    <w:rsid w:val="6DF96208"/>
    <w:rsid w:val="6E054D1D"/>
    <w:rsid w:val="6E0A017C"/>
    <w:rsid w:val="6E11E4A4"/>
    <w:rsid w:val="6E157746"/>
    <w:rsid w:val="6E1C6479"/>
    <w:rsid w:val="6E1D734F"/>
    <w:rsid w:val="6E1F21EE"/>
    <w:rsid w:val="6E1F68E6"/>
    <w:rsid w:val="6E20BE88"/>
    <w:rsid w:val="6E264A63"/>
    <w:rsid w:val="6E2B4610"/>
    <w:rsid w:val="6E2E89EA"/>
    <w:rsid w:val="6E3EAD75"/>
    <w:rsid w:val="6E401E56"/>
    <w:rsid w:val="6E414F66"/>
    <w:rsid w:val="6E41C95D"/>
    <w:rsid w:val="6E4FCA5E"/>
    <w:rsid w:val="6E50EB1D"/>
    <w:rsid w:val="6E5118BA"/>
    <w:rsid w:val="6E55D63F"/>
    <w:rsid w:val="6E5C78CE"/>
    <w:rsid w:val="6E5ECC2F"/>
    <w:rsid w:val="6E62D802"/>
    <w:rsid w:val="6E63E255"/>
    <w:rsid w:val="6E640726"/>
    <w:rsid w:val="6E64F7F3"/>
    <w:rsid w:val="6E6ACD44"/>
    <w:rsid w:val="6E70AAAE"/>
    <w:rsid w:val="6E70C9C7"/>
    <w:rsid w:val="6E77FA19"/>
    <w:rsid w:val="6E7D5F5E"/>
    <w:rsid w:val="6E801AAC"/>
    <w:rsid w:val="6EA23B0F"/>
    <w:rsid w:val="6EA43035"/>
    <w:rsid w:val="6EB07D6C"/>
    <w:rsid w:val="6EB0EE2E"/>
    <w:rsid w:val="6EB7279E"/>
    <w:rsid w:val="6EC283EF"/>
    <w:rsid w:val="6EC9F61B"/>
    <w:rsid w:val="6ECABA93"/>
    <w:rsid w:val="6ECC663B"/>
    <w:rsid w:val="6ECE510E"/>
    <w:rsid w:val="6ED1D8B5"/>
    <w:rsid w:val="6ED8FB49"/>
    <w:rsid w:val="6ED9C4ED"/>
    <w:rsid w:val="6EDADB21"/>
    <w:rsid w:val="6EDEA12F"/>
    <w:rsid w:val="6EDF7F0B"/>
    <w:rsid w:val="6EE2A17F"/>
    <w:rsid w:val="6EEB32CD"/>
    <w:rsid w:val="6EF33579"/>
    <w:rsid w:val="6EF6EE6D"/>
    <w:rsid w:val="6EF7A85B"/>
    <w:rsid w:val="6EF7B1E1"/>
    <w:rsid w:val="6EFB993D"/>
    <w:rsid w:val="6EFC1519"/>
    <w:rsid w:val="6EFC87A3"/>
    <w:rsid w:val="6EFFDDC0"/>
    <w:rsid w:val="6F011819"/>
    <w:rsid w:val="6F0281CD"/>
    <w:rsid w:val="6F040C4C"/>
    <w:rsid w:val="6F074EE6"/>
    <w:rsid w:val="6F169423"/>
    <w:rsid w:val="6F17B5E3"/>
    <w:rsid w:val="6F1A8F53"/>
    <w:rsid w:val="6F1C3F09"/>
    <w:rsid w:val="6F1CFBFD"/>
    <w:rsid w:val="6F24B373"/>
    <w:rsid w:val="6F2D6DFA"/>
    <w:rsid w:val="6F3664FA"/>
    <w:rsid w:val="6F3BB4B4"/>
    <w:rsid w:val="6F3CCCAE"/>
    <w:rsid w:val="6F4751C8"/>
    <w:rsid w:val="6F4961DE"/>
    <w:rsid w:val="6F49E820"/>
    <w:rsid w:val="6F507AA3"/>
    <w:rsid w:val="6F61A728"/>
    <w:rsid w:val="6F668345"/>
    <w:rsid w:val="6F684278"/>
    <w:rsid w:val="6F702B30"/>
    <w:rsid w:val="6F70AB16"/>
    <w:rsid w:val="6F710B90"/>
    <w:rsid w:val="6F76318C"/>
    <w:rsid w:val="6F859F34"/>
    <w:rsid w:val="6F90CCB9"/>
    <w:rsid w:val="6FA2B8DA"/>
    <w:rsid w:val="6FA5A890"/>
    <w:rsid w:val="6FACEBA7"/>
    <w:rsid w:val="6FADC74F"/>
    <w:rsid w:val="6FAF7606"/>
    <w:rsid w:val="6FB377F3"/>
    <w:rsid w:val="6FC57A85"/>
    <w:rsid w:val="6FC87EF9"/>
    <w:rsid w:val="6FCE14CE"/>
    <w:rsid w:val="6FD11C1B"/>
    <w:rsid w:val="6FD21EA5"/>
    <w:rsid w:val="6FD8ADE2"/>
    <w:rsid w:val="6FE3FBF9"/>
    <w:rsid w:val="6FED368C"/>
    <w:rsid w:val="6FF3B7E0"/>
    <w:rsid w:val="6FFC41E1"/>
    <w:rsid w:val="6FFF2E72"/>
    <w:rsid w:val="6FFFAD7C"/>
    <w:rsid w:val="7002E101"/>
    <w:rsid w:val="700680F6"/>
    <w:rsid w:val="70081B6B"/>
    <w:rsid w:val="70094284"/>
    <w:rsid w:val="700A09BF"/>
    <w:rsid w:val="700A4BD4"/>
    <w:rsid w:val="700A96BA"/>
    <w:rsid w:val="70132E5C"/>
    <w:rsid w:val="701691DF"/>
    <w:rsid w:val="70178E86"/>
    <w:rsid w:val="701F958A"/>
    <w:rsid w:val="702098C3"/>
    <w:rsid w:val="702A003A"/>
    <w:rsid w:val="702AA46B"/>
    <w:rsid w:val="702BED37"/>
    <w:rsid w:val="702E2754"/>
    <w:rsid w:val="70337C2B"/>
    <w:rsid w:val="7034A453"/>
    <w:rsid w:val="70367458"/>
    <w:rsid w:val="704AC824"/>
    <w:rsid w:val="704EFAB7"/>
    <w:rsid w:val="7053CA19"/>
    <w:rsid w:val="70564FC0"/>
    <w:rsid w:val="705B69BB"/>
    <w:rsid w:val="705FDB79"/>
    <w:rsid w:val="70647258"/>
    <w:rsid w:val="70702A03"/>
    <w:rsid w:val="7070CA39"/>
    <w:rsid w:val="7071C0E9"/>
    <w:rsid w:val="70783E0E"/>
    <w:rsid w:val="7079412E"/>
    <w:rsid w:val="7080F34F"/>
    <w:rsid w:val="70833B99"/>
    <w:rsid w:val="708C3A8E"/>
    <w:rsid w:val="708CB040"/>
    <w:rsid w:val="708CCFA6"/>
    <w:rsid w:val="70909C51"/>
    <w:rsid w:val="7099E6A8"/>
    <w:rsid w:val="709C7BC4"/>
    <w:rsid w:val="709CBBFE"/>
    <w:rsid w:val="709D88A1"/>
    <w:rsid w:val="709E8B82"/>
    <w:rsid w:val="709F678F"/>
    <w:rsid w:val="70A10599"/>
    <w:rsid w:val="70A6EE14"/>
    <w:rsid w:val="70A897F4"/>
    <w:rsid w:val="70AE56E1"/>
    <w:rsid w:val="70B8B48D"/>
    <w:rsid w:val="70B9CE58"/>
    <w:rsid w:val="70C2BF5B"/>
    <w:rsid w:val="70C43B8F"/>
    <w:rsid w:val="70D5D5A3"/>
    <w:rsid w:val="70D82351"/>
    <w:rsid w:val="70DCBA52"/>
    <w:rsid w:val="70DE9670"/>
    <w:rsid w:val="70E7F46C"/>
    <w:rsid w:val="70F56F96"/>
    <w:rsid w:val="70F8648D"/>
    <w:rsid w:val="70FCFA59"/>
    <w:rsid w:val="71059861"/>
    <w:rsid w:val="71089791"/>
    <w:rsid w:val="710AA1B5"/>
    <w:rsid w:val="710D8D79"/>
    <w:rsid w:val="71130FC2"/>
    <w:rsid w:val="7115B5EC"/>
    <w:rsid w:val="7124578F"/>
    <w:rsid w:val="712F7810"/>
    <w:rsid w:val="7131D3C0"/>
    <w:rsid w:val="7134C62D"/>
    <w:rsid w:val="713813B4"/>
    <w:rsid w:val="713E97A6"/>
    <w:rsid w:val="7145BE07"/>
    <w:rsid w:val="714CE006"/>
    <w:rsid w:val="714E3369"/>
    <w:rsid w:val="71566FF8"/>
    <w:rsid w:val="7158029A"/>
    <w:rsid w:val="716A8DC7"/>
    <w:rsid w:val="716C5146"/>
    <w:rsid w:val="716D0EC3"/>
    <w:rsid w:val="7170A372"/>
    <w:rsid w:val="7173B39D"/>
    <w:rsid w:val="7175B05D"/>
    <w:rsid w:val="71786877"/>
    <w:rsid w:val="71821494"/>
    <w:rsid w:val="71830394"/>
    <w:rsid w:val="7184DFB1"/>
    <w:rsid w:val="718A9CED"/>
    <w:rsid w:val="718C1FD6"/>
    <w:rsid w:val="718DE1BB"/>
    <w:rsid w:val="718F8A9A"/>
    <w:rsid w:val="719425E6"/>
    <w:rsid w:val="7195CC98"/>
    <w:rsid w:val="719C577C"/>
    <w:rsid w:val="719D1E34"/>
    <w:rsid w:val="719F8F6A"/>
    <w:rsid w:val="719FB533"/>
    <w:rsid w:val="71A55FB9"/>
    <w:rsid w:val="71AB9C38"/>
    <w:rsid w:val="71B02381"/>
    <w:rsid w:val="71B724F2"/>
    <w:rsid w:val="71B8145E"/>
    <w:rsid w:val="71B931E8"/>
    <w:rsid w:val="71B9E7A5"/>
    <w:rsid w:val="71C9C72D"/>
    <w:rsid w:val="71CAA0BC"/>
    <w:rsid w:val="71CCBB5B"/>
    <w:rsid w:val="71D0A6D6"/>
    <w:rsid w:val="71DC980E"/>
    <w:rsid w:val="71E560C5"/>
    <w:rsid w:val="71EB9A30"/>
    <w:rsid w:val="71ED6195"/>
    <w:rsid w:val="71EECE0A"/>
    <w:rsid w:val="71F20BB7"/>
    <w:rsid w:val="71F38D2D"/>
    <w:rsid w:val="71F69C94"/>
    <w:rsid w:val="72024224"/>
    <w:rsid w:val="720D5853"/>
    <w:rsid w:val="720E27D0"/>
    <w:rsid w:val="721A537D"/>
    <w:rsid w:val="721B1781"/>
    <w:rsid w:val="721B659A"/>
    <w:rsid w:val="72245505"/>
    <w:rsid w:val="722748BB"/>
    <w:rsid w:val="723448B7"/>
    <w:rsid w:val="7239CEA5"/>
    <w:rsid w:val="723B2317"/>
    <w:rsid w:val="723E3D2B"/>
    <w:rsid w:val="723FB9D3"/>
    <w:rsid w:val="72465E87"/>
    <w:rsid w:val="724D5797"/>
    <w:rsid w:val="725084BD"/>
    <w:rsid w:val="725D1BD3"/>
    <w:rsid w:val="725F1EAD"/>
    <w:rsid w:val="72635D51"/>
    <w:rsid w:val="72658E76"/>
    <w:rsid w:val="726A23AC"/>
    <w:rsid w:val="7275B12C"/>
    <w:rsid w:val="72777ED8"/>
    <w:rsid w:val="727861D8"/>
    <w:rsid w:val="727E7E0A"/>
    <w:rsid w:val="727F1332"/>
    <w:rsid w:val="728D74BB"/>
    <w:rsid w:val="729483B5"/>
    <w:rsid w:val="72977088"/>
    <w:rsid w:val="72A2A699"/>
    <w:rsid w:val="72A43FC2"/>
    <w:rsid w:val="72AA107B"/>
    <w:rsid w:val="72AAEBE1"/>
    <w:rsid w:val="72AE47E5"/>
    <w:rsid w:val="72B42105"/>
    <w:rsid w:val="72B6C1A3"/>
    <w:rsid w:val="72C3AF83"/>
    <w:rsid w:val="72CFC744"/>
    <w:rsid w:val="72D213D0"/>
    <w:rsid w:val="72D25478"/>
    <w:rsid w:val="72D6E5FA"/>
    <w:rsid w:val="72E12094"/>
    <w:rsid w:val="72E5B2BD"/>
    <w:rsid w:val="72EBCD2D"/>
    <w:rsid w:val="72F07F71"/>
    <w:rsid w:val="72F3EC86"/>
    <w:rsid w:val="72F5688E"/>
    <w:rsid w:val="72FB0F4C"/>
    <w:rsid w:val="72FC1970"/>
    <w:rsid w:val="72FD6AE8"/>
    <w:rsid w:val="72FFFC65"/>
    <w:rsid w:val="730112F6"/>
    <w:rsid w:val="730304D9"/>
    <w:rsid w:val="7303EFEF"/>
    <w:rsid w:val="73049DB6"/>
    <w:rsid w:val="7304DA34"/>
    <w:rsid w:val="730D6186"/>
    <w:rsid w:val="73127F66"/>
    <w:rsid w:val="7312C5C1"/>
    <w:rsid w:val="731584D3"/>
    <w:rsid w:val="731A48D0"/>
    <w:rsid w:val="731A9AE3"/>
    <w:rsid w:val="73260363"/>
    <w:rsid w:val="7326DA22"/>
    <w:rsid w:val="7328C00D"/>
    <w:rsid w:val="732BAA6E"/>
    <w:rsid w:val="73307C17"/>
    <w:rsid w:val="7330D9F1"/>
    <w:rsid w:val="733383EC"/>
    <w:rsid w:val="7337763A"/>
    <w:rsid w:val="7339308D"/>
    <w:rsid w:val="733F8D34"/>
    <w:rsid w:val="7340EEC0"/>
    <w:rsid w:val="734567DB"/>
    <w:rsid w:val="73541756"/>
    <w:rsid w:val="7369F224"/>
    <w:rsid w:val="736B0067"/>
    <w:rsid w:val="7372B7E7"/>
    <w:rsid w:val="737BB20E"/>
    <w:rsid w:val="737D3921"/>
    <w:rsid w:val="737FFFC7"/>
    <w:rsid w:val="73847E03"/>
    <w:rsid w:val="738739C2"/>
    <w:rsid w:val="738878BD"/>
    <w:rsid w:val="738B2488"/>
    <w:rsid w:val="7390FCD5"/>
    <w:rsid w:val="7391247A"/>
    <w:rsid w:val="739F40CB"/>
    <w:rsid w:val="73A0AF9A"/>
    <w:rsid w:val="73ACF576"/>
    <w:rsid w:val="73AFEF5E"/>
    <w:rsid w:val="73B64F46"/>
    <w:rsid w:val="73BA936A"/>
    <w:rsid w:val="73C5DD46"/>
    <w:rsid w:val="73C664C0"/>
    <w:rsid w:val="73CC73A2"/>
    <w:rsid w:val="73CD67E3"/>
    <w:rsid w:val="73D86A3A"/>
    <w:rsid w:val="73DC4A21"/>
    <w:rsid w:val="73DF6955"/>
    <w:rsid w:val="73E192E4"/>
    <w:rsid w:val="73E69ED6"/>
    <w:rsid w:val="73E7714D"/>
    <w:rsid w:val="73F53CF7"/>
    <w:rsid w:val="73F6F056"/>
    <w:rsid w:val="73FF8592"/>
    <w:rsid w:val="74021CFB"/>
    <w:rsid w:val="7405B122"/>
    <w:rsid w:val="740B7CA6"/>
    <w:rsid w:val="740D0617"/>
    <w:rsid w:val="74129998"/>
    <w:rsid w:val="7412B900"/>
    <w:rsid w:val="74139233"/>
    <w:rsid w:val="74167C56"/>
    <w:rsid w:val="741AE0EE"/>
    <w:rsid w:val="7423D9EC"/>
    <w:rsid w:val="742B3B5A"/>
    <w:rsid w:val="742D2E62"/>
    <w:rsid w:val="74388C36"/>
    <w:rsid w:val="7438C89D"/>
    <w:rsid w:val="743AA7C1"/>
    <w:rsid w:val="743B704A"/>
    <w:rsid w:val="74407BE5"/>
    <w:rsid w:val="744639F4"/>
    <w:rsid w:val="744B50CA"/>
    <w:rsid w:val="744E1651"/>
    <w:rsid w:val="7450C245"/>
    <w:rsid w:val="74550366"/>
    <w:rsid w:val="745A17A1"/>
    <w:rsid w:val="745B7AC8"/>
    <w:rsid w:val="745FA46C"/>
    <w:rsid w:val="74607F23"/>
    <w:rsid w:val="7461FC1B"/>
    <w:rsid w:val="7466EE47"/>
    <w:rsid w:val="746AE0C8"/>
    <w:rsid w:val="7470205A"/>
    <w:rsid w:val="747092CB"/>
    <w:rsid w:val="7472751D"/>
    <w:rsid w:val="7472B867"/>
    <w:rsid w:val="7475DD5E"/>
    <w:rsid w:val="748400FD"/>
    <w:rsid w:val="74864C36"/>
    <w:rsid w:val="7487559B"/>
    <w:rsid w:val="749D11F1"/>
    <w:rsid w:val="74A12786"/>
    <w:rsid w:val="74A37379"/>
    <w:rsid w:val="74A8B258"/>
    <w:rsid w:val="74AC2D33"/>
    <w:rsid w:val="74B3C84F"/>
    <w:rsid w:val="74B4623B"/>
    <w:rsid w:val="74B7270D"/>
    <w:rsid w:val="74B7BB08"/>
    <w:rsid w:val="74B99584"/>
    <w:rsid w:val="74BDCC5D"/>
    <w:rsid w:val="74C18A45"/>
    <w:rsid w:val="74C7969E"/>
    <w:rsid w:val="74CEC13A"/>
    <w:rsid w:val="74D98CE1"/>
    <w:rsid w:val="74DADC91"/>
    <w:rsid w:val="74EAE8E5"/>
    <w:rsid w:val="750393F2"/>
    <w:rsid w:val="75056918"/>
    <w:rsid w:val="75069D10"/>
    <w:rsid w:val="750A530C"/>
    <w:rsid w:val="751B116F"/>
    <w:rsid w:val="751D04BF"/>
    <w:rsid w:val="752B0F2B"/>
    <w:rsid w:val="752C2438"/>
    <w:rsid w:val="752E2719"/>
    <w:rsid w:val="7530EF3D"/>
    <w:rsid w:val="7533A347"/>
    <w:rsid w:val="753543C0"/>
    <w:rsid w:val="753C1366"/>
    <w:rsid w:val="754211FA"/>
    <w:rsid w:val="754A1EB3"/>
    <w:rsid w:val="754CAF9E"/>
    <w:rsid w:val="755EB3F5"/>
    <w:rsid w:val="7564FD40"/>
    <w:rsid w:val="75691804"/>
    <w:rsid w:val="757481ED"/>
    <w:rsid w:val="757688BC"/>
    <w:rsid w:val="75790ED8"/>
    <w:rsid w:val="757A4DA1"/>
    <w:rsid w:val="7580C38C"/>
    <w:rsid w:val="75814027"/>
    <w:rsid w:val="7581ED8C"/>
    <w:rsid w:val="758817E3"/>
    <w:rsid w:val="758F8614"/>
    <w:rsid w:val="75909B58"/>
    <w:rsid w:val="7593DC37"/>
    <w:rsid w:val="759C66C4"/>
    <w:rsid w:val="759C9251"/>
    <w:rsid w:val="75A14BC8"/>
    <w:rsid w:val="75A2181E"/>
    <w:rsid w:val="75A3410A"/>
    <w:rsid w:val="75A39809"/>
    <w:rsid w:val="75A59EFE"/>
    <w:rsid w:val="75A5D6F8"/>
    <w:rsid w:val="75AAE7EA"/>
    <w:rsid w:val="75AC0C02"/>
    <w:rsid w:val="75AC1E7A"/>
    <w:rsid w:val="75ACFD22"/>
    <w:rsid w:val="75B0932F"/>
    <w:rsid w:val="75B0DDBA"/>
    <w:rsid w:val="75B2C755"/>
    <w:rsid w:val="75BE1F96"/>
    <w:rsid w:val="75C0869B"/>
    <w:rsid w:val="75CA2F8C"/>
    <w:rsid w:val="75CEBC7E"/>
    <w:rsid w:val="75CF563C"/>
    <w:rsid w:val="75D3FA78"/>
    <w:rsid w:val="75D4433B"/>
    <w:rsid w:val="75D548BB"/>
    <w:rsid w:val="75DC4149"/>
    <w:rsid w:val="75DEFCEF"/>
    <w:rsid w:val="75E322FA"/>
    <w:rsid w:val="75E4B1D6"/>
    <w:rsid w:val="75E505EE"/>
    <w:rsid w:val="75E95551"/>
    <w:rsid w:val="75E9D4C5"/>
    <w:rsid w:val="75EA19F6"/>
    <w:rsid w:val="75ED2B85"/>
    <w:rsid w:val="75EED3F4"/>
    <w:rsid w:val="75F3F1B7"/>
    <w:rsid w:val="75FAA2F3"/>
    <w:rsid w:val="75FB3CAD"/>
    <w:rsid w:val="76006A80"/>
    <w:rsid w:val="7603976C"/>
    <w:rsid w:val="760CC39D"/>
    <w:rsid w:val="760F37B5"/>
    <w:rsid w:val="76103C30"/>
    <w:rsid w:val="76106CBA"/>
    <w:rsid w:val="76129723"/>
    <w:rsid w:val="76184B61"/>
    <w:rsid w:val="761B457E"/>
    <w:rsid w:val="761C64FE"/>
    <w:rsid w:val="761D43F7"/>
    <w:rsid w:val="761EFD75"/>
    <w:rsid w:val="7626C83E"/>
    <w:rsid w:val="7627BABA"/>
    <w:rsid w:val="7639ED16"/>
    <w:rsid w:val="763A26A9"/>
    <w:rsid w:val="764234DD"/>
    <w:rsid w:val="764B811E"/>
    <w:rsid w:val="764D2C9B"/>
    <w:rsid w:val="764D40F1"/>
    <w:rsid w:val="7653CAAF"/>
    <w:rsid w:val="7658768F"/>
    <w:rsid w:val="766278B8"/>
    <w:rsid w:val="7669507B"/>
    <w:rsid w:val="76743BF1"/>
    <w:rsid w:val="76772BCD"/>
    <w:rsid w:val="7678F1A8"/>
    <w:rsid w:val="767BB663"/>
    <w:rsid w:val="767D31B7"/>
    <w:rsid w:val="7683817D"/>
    <w:rsid w:val="76859803"/>
    <w:rsid w:val="7688D7A1"/>
    <w:rsid w:val="768B2067"/>
    <w:rsid w:val="7696DE54"/>
    <w:rsid w:val="769A4CE5"/>
    <w:rsid w:val="769BE1B6"/>
    <w:rsid w:val="769D7E63"/>
    <w:rsid w:val="769F1F7B"/>
    <w:rsid w:val="76A1E30A"/>
    <w:rsid w:val="76A6B28D"/>
    <w:rsid w:val="76AB567D"/>
    <w:rsid w:val="76ABD0E1"/>
    <w:rsid w:val="76B08C02"/>
    <w:rsid w:val="76BFDC06"/>
    <w:rsid w:val="76C796A0"/>
    <w:rsid w:val="76CE255F"/>
    <w:rsid w:val="76D44DA8"/>
    <w:rsid w:val="76DF77D0"/>
    <w:rsid w:val="76E2934B"/>
    <w:rsid w:val="76E45091"/>
    <w:rsid w:val="76E67634"/>
    <w:rsid w:val="76E965CA"/>
    <w:rsid w:val="76EC5F0B"/>
    <w:rsid w:val="76FB2DE8"/>
    <w:rsid w:val="76FD81DE"/>
    <w:rsid w:val="77031B96"/>
    <w:rsid w:val="7709A6A9"/>
    <w:rsid w:val="770DA349"/>
    <w:rsid w:val="770DE87A"/>
    <w:rsid w:val="7711509E"/>
    <w:rsid w:val="77150495"/>
    <w:rsid w:val="7718A0F5"/>
    <w:rsid w:val="7719CBFE"/>
    <w:rsid w:val="77209106"/>
    <w:rsid w:val="77263F28"/>
    <w:rsid w:val="772881E2"/>
    <w:rsid w:val="77288DD9"/>
    <w:rsid w:val="77288EA9"/>
    <w:rsid w:val="772B2264"/>
    <w:rsid w:val="772D5B66"/>
    <w:rsid w:val="772FC1DA"/>
    <w:rsid w:val="773230B8"/>
    <w:rsid w:val="7739480F"/>
    <w:rsid w:val="773C1484"/>
    <w:rsid w:val="773F0C3D"/>
    <w:rsid w:val="7741A759"/>
    <w:rsid w:val="7741F6FA"/>
    <w:rsid w:val="77584513"/>
    <w:rsid w:val="775B6C41"/>
    <w:rsid w:val="7762BCCD"/>
    <w:rsid w:val="7765C11A"/>
    <w:rsid w:val="77686662"/>
    <w:rsid w:val="77697EDB"/>
    <w:rsid w:val="776ABB8C"/>
    <w:rsid w:val="77724D85"/>
    <w:rsid w:val="77734495"/>
    <w:rsid w:val="7774B002"/>
    <w:rsid w:val="77786E2C"/>
    <w:rsid w:val="7778988B"/>
    <w:rsid w:val="7781E800"/>
    <w:rsid w:val="7784BB19"/>
    <w:rsid w:val="77871C2C"/>
    <w:rsid w:val="77986E99"/>
    <w:rsid w:val="77988F69"/>
    <w:rsid w:val="7799666C"/>
    <w:rsid w:val="779CB280"/>
    <w:rsid w:val="77A04C9A"/>
    <w:rsid w:val="77ADF2D2"/>
    <w:rsid w:val="77B17EF6"/>
    <w:rsid w:val="77B76FCE"/>
    <w:rsid w:val="77D0DF48"/>
    <w:rsid w:val="77D81B57"/>
    <w:rsid w:val="77F4004E"/>
    <w:rsid w:val="77F52C0E"/>
    <w:rsid w:val="77F8338E"/>
    <w:rsid w:val="77FA16EC"/>
    <w:rsid w:val="77FA9F86"/>
    <w:rsid w:val="77FC60CA"/>
    <w:rsid w:val="7803BB75"/>
    <w:rsid w:val="7806758F"/>
    <w:rsid w:val="780A04A5"/>
    <w:rsid w:val="781019D2"/>
    <w:rsid w:val="78191F6C"/>
    <w:rsid w:val="78193525"/>
    <w:rsid w:val="7819768E"/>
    <w:rsid w:val="781E5B73"/>
    <w:rsid w:val="78205079"/>
    <w:rsid w:val="78218376"/>
    <w:rsid w:val="7822A908"/>
    <w:rsid w:val="7822C7CC"/>
    <w:rsid w:val="782F034E"/>
    <w:rsid w:val="782FBBF6"/>
    <w:rsid w:val="78338A46"/>
    <w:rsid w:val="7833DF81"/>
    <w:rsid w:val="7834DC4D"/>
    <w:rsid w:val="783A6B7C"/>
    <w:rsid w:val="783B8773"/>
    <w:rsid w:val="783C45CF"/>
    <w:rsid w:val="7841D12D"/>
    <w:rsid w:val="78425102"/>
    <w:rsid w:val="78436B89"/>
    <w:rsid w:val="7847BDDC"/>
    <w:rsid w:val="78486200"/>
    <w:rsid w:val="784BEC77"/>
    <w:rsid w:val="784D6019"/>
    <w:rsid w:val="784FD112"/>
    <w:rsid w:val="785353D6"/>
    <w:rsid w:val="785532BC"/>
    <w:rsid w:val="7855DBD1"/>
    <w:rsid w:val="78576007"/>
    <w:rsid w:val="785C1B38"/>
    <w:rsid w:val="785D9467"/>
    <w:rsid w:val="785DD991"/>
    <w:rsid w:val="786674ED"/>
    <w:rsid w:val="786ADC14"/>
    <w:rsid w:val="786C0225"/>
    <w:rsid w:val="786DE102"/>
    <w:rsid w:val="786EF3BF"/>
    <w:rsid w:val="78705547"/>
    <w:rsid w:val="78728F47"/>
    <w:rsid w:val="7876A320"/>
    <w:rsid w:val="7878D68C"/>
    <w:rsid w:val="787C9A44"/>
    <w:rsid w:val="787EA73B"/>
    <w:rsid w:val="7881089C"/>
    <w:rsid w:val="7888B905"/>
    <w:rsid w:val="788B63E4"/>
    <w:rsid w:val="78936064"/>
    <w:rsid w:val="7893E0A1"/>
    <w:rsid w:val="78951641"/>
    <w:rsid w:val="7899BCF3"/>
    <w:rsid w:val="789B9748"/>
    <w:rsid w:val="789E3DF0"/>
    <w:rsid w:val="789EC632"/>
    <w:rsid w:val="789FF74E"/>
    <w:rsid w:val="78A07BC1"/>
    <w:rsid w:val="78A9F2AF"/>
    <w:rsid w:val="78AC18CF"/>
    <w:rsid w:val="78AD8E2A"/>
    <w:rsid w:val="78B43053"/>
    <w:rsid w:val="78B87892"/>
    <w:rsid w:val="78BECEDB"/>
    <w:rsid w:val="78C1D666"/>
    <w:rsid w:val="78C4B3E7"/>
    <w:rsid w:val="78C7C150"/>
    <w:rsid w:val="78C7C2B1"/>
    <w:rsid w:val="78CB460A"/>
    <w:rsid w:val="78DB095C"/>
    <w:rsid w:val="78DB53AC"/>
    <w:rsid w:val="78DE8724"/>
    <w:rsid w:val="78E47B33"/>
    <w:rsid w:val="78E5B525"/>
    <w:rsid w:val="78F73289"/>
    <w:rsid w:val="790F1BA9"/>
    <w:rsid w:val="7911EBAE"/>
    <w:rsid w:val="7914016E"/>
    <w:rsid w:val="791D1D50"/>
    <w:rsid w:val="791E65EE"/>
    <w:rsid w:val="7920D68E"/>
    <w:rsid w:val="792159C7"/>
    <w:rsid w:val="79215EDF"/>
    <w:rsid w:val="7921CE6B"/>
    <w:rsid w:val="79234D30"/>
    <w:rsid w:val="792976F6"/>
    <w:rsid w:val="7931AC0E"/>
    <w:rsid w:val="7932292A"/>
    <w:rsid w:val="793FDE4F"/>
    <w:rsid w:val="7942216D"/>
    <w:rsid w:val="794361DD"/>
    <w:rsid w:val="79475F63"/>
    <w:rsid w:val="79498A01"/>
    <w:rsid w:val="794A6683"/>
    <w:rsid w:val="794F2DD7"/>
    <w:rsid w:val="794F9F50"/>
    <w:rsid w:val="79509347"/>
    <w:rsid w:val="795512AF"/>
    <w:rsid w:val="79572C1D"/>
    <w:rsid w:val="7959237C"/>
    <w:rsid w:val="795BF7E1"/>
    <w:rsid w:val="795DDCFB"/>
    <w:rsid w:val="795E1783"/>
    <w:rsid w:val="79609186"/>
    <w:rsid w:val="7967393C"/>
    <w:rsid w:val="797C46AE"/>
    <w:rsid w:val="798017BB"/>
    <w:rsid w:val="79815E61"/>
    <w:rsid w:val="7984A334"/>
    <w:rsid w:val="798A1747"/>
    <w:rsid w:val="798B808F"/>
    <w:rsid w:val="799254A4"/>
    <w:rsid w:val="7994EC2D"/>
    <w:rsid w:val="79956F79"/>
    <w:rsid w:val="799ADFB2"/>
    <w:rsid w:val="79A0AE9D"/>
    <w:rsid w:val="79A18C5C"/>
    <w:rsid w:val="79A3DC04"/>
    <w:rsid w:val="79A98638"/>
    <w:rsid w:val="79B5E5D0"/>
    <w:rsid w:val="79B6C1B0"/>
    <w:rsid w:val="79B820E9"/>
    <w:rsid w:val="79B9EF67"/>
    <w:rsid w:val="79BA9BF6"/>
    <w:rsid w:val="79BEA2DC"/>
    <w:rsid w:val="79C01BEC"/>
    <w:rsid w:val="79C18C43"/>
    <w:rsid w:val="79C89F78"/>
    <w:rsid w:val="79D709C8"/>
    <w:rsid w:val="79E05083"/>
    <w:rsid w:val="79E3F916"/>
    <w:rsid w:val="79EB0CB3"/>
    <w:rsid w:val="79F3AE56"/>
    <w:rsid w:val="79F6CC29"/>
    <w:rsid w:val="79F791B0"/>
    <w:rsid w:val="79F95D5E"/>
    <w:rsid w:val="79FB6ABA"/>
    <w:rsid w:val="79FDAC44"/>
    <w:rsid w:val="79FE2D24"/>
    <w:rsid w:val="79FE9261"/>
    <w:rsid w:val="79FED7C7"/>
    <w:rsid w:val="7A067585"/>
    <w:rsid w:val="7A08AA56"/>
    <w:rsid w:val="7A0B7E2F"/>
    <w:rsid w:val="7A0CB676"/>
    <w:rsid w:val="7A0D99A2"/>
    <w:rsid w:val="7A10E0AF"/>
    <w:rsid w:val="7A1A449E"/>
    <w:rsid w:val="7A1DB58E"/>
    <w:rsid w:val="7A1DBB28"/>
    <w:rsid w:val="7A1FF172"/>
    <w:rsid w:val="7A212D78"/>
    <w:rsid w:val="7A2EACA7"/>
    <w:rsid w:val="7A341B8D"/>
    <w:rsid w:val="7A39BA3C"/>
    <w:rsid w:val="7A3B2D74"/>
    <w:rsid w:val="7A3F7E29"/>
    <w:rsid w:val="7A410B81"/>
    <w:rsid w:val="7A42EE6B"/>
    <w:rsid w:val="7A45E015"/>
    <w:rsid w:val="7A52C544"/>
    <w:rsid w:val="7A546D3B"/>
    <w:rsid w:val="7A5775EE"/>
    <w:rsid w:val="7A5A5600"/>
    <w:rsid w:val="7A5ECA50"/>
    <w:rsid w:val="7A635354"/>
    <w:rsid w:val="7A64FEF6"/>
    <w:rsid w:val="7A6EDDB4"/>
    <w:rsid w:val="7A7E5E90"/>
    <w:rsid w:val="7A7F9CDC"/>
    <w:rsid w:val="7A895BE9"/>
    <w:rsid w:val="7A9D8BD4"/>
    <w:rsid w:val="7AA24720"/>
    <w:rsid w:val="7AA3A0D8"/>
    <w:rsid w:val="7AA8D431"/>
    <w:rsid w:val="7AAB49DA"/>
    <w:rsid w:val="7AB2514D"/>
    <w:rsid w:val="7AB362D9"/>
    <w:rsid w:val="7AB7BFE2"/>
    <w:rsid w:val="7AB88B29"/>
    <w:rsid w:val="7AB8C803"/>
    <w:rsid w:val="7AB95096"/>
    <w:rsid w:val="7ABFB2E7"/>
    <w:rsid w:val="7AC761F7"/>
    <w:rsid w:val="7AC837C0"/>
    <w:rsid w:val="7AC9EC80"/>
    <w:rsid w:val="7AD1B10B"/>
    <w:rsid w:val="7AD2004D"/>
    <w:rsid w:val="7AD42430"/>
    <w:rsid w:val="7AD601D0"/>
    <w:rsid w:val="7AD61CC4"/>
    <w:rsid w:val="7ADF01E6"/>
    <w:rsid w:val="7ADF61DE"/>
    <w:rsid w:val="7AE1A164"/>
    <w:rsid w:val="7AE23A47"/>
    <w:rsid w:val="7AF39BA9"/>
    <w:rsid w:val="7AF4014C"/>
    <w:rsid w:val="7B07292C"/>
    <w:rsid w:val="7B088538"/>
    <w:rsid w:val="7B0A7BAA"/>
    <w:rsid w:val="7B0C3BB6"/>
    <w:rsid w:val="7B0CB11C"/>
    <w:rsid w:val="7B0EF625"/>
    <w:rsid w:val="7B140263"/>
    <w:rsid w:val="7B174CFE"/>
    <w:rsid w:val="7B1B5C57"/>
    <w:rsid w:val="7B1DC8DE"/>
    <w:rsid w:val="7B20E43B"/>
    <w:rsid w:val="7B216784"/>
    <w:rsid w:val="7B2BEC07"/>
    <w:rsid w:val="7B2CC68E"/>
    <w:rsid w:val="7B2DE7D3"/>
    <w:rsid w:val="7B34DDC5"/>
    <w:rsid w:val="7B489600"/>
    <w:rsid w:val="7B4A9449"/>
    <w:rsid w:val="7B55346F"/>
    <w:rsid w:val="7B571DCF"/>
    <w:rsid w:val="7B57574F"/>
    <w:rsid w:val="7B592546"/>
    <w:rsid w:val="7B64C326"/>
    <w:rsid w:val="7B64E5B0"/>
    <w:rsid w:val="7B65D827"/>
    <w:rsid w:val="7B685657"/>
    <w:rsid w:val="7B708C71"/>
    <w:rsid w:val="7B73A730"/>
    <w:rsid w:val="7B79EF3B"/>
    <w:rsid w:val="7B7A5161"/>
    <w:rsid w:val="7B81AECF"/>
    <w:rsid w:val="7B86F81E"/>
    <w:rsid w:val="7B8D72FF"/>
    <w:rsid w:val="7B90DF5A"/>
    <w:rsid w:val="7B91397D"/>
    <w:rsid w:val="7BA2F13A"/>
    <w:rsid w:val="7BA68FFB"/>
    <w:rsid w:val="7BA8335B"/>
    <w:rsid w:val="7BAF9F99"/>
    <w:rsid w:val="7BB8DE06"/>
    <w:rsid w:val="7BBDE605"/>
    <w:rsid w:val="7BC474C2"/>
    <w:rsid w:val="7BC75A0B"/>
    <w:rsid w:val="7BC9D170"/>
    <w:rsid w:val="7BD27450"/>
    <w:rsid w:val="7BD9539B"/>
    <w:rsid w:val="7BDB77DF"/>
    <w:rsid w:val="7BE2405B"/>
    <w:rsid w:val="7BE7BB22"/>
    <w:rsid w:val="7BF1A267"/>
    <w:rsid w:val="7BF28A6A"/>
    <w:rsid w:val="7BF837E6"/>
    <w:rsid w:val="7BFC2660"/>
    <w:rsid w:val="7BFCB7FA"/>
    <w:rsid w:val="7BFF9623"/>
    <w:rsid w:val="7C069907"/>
    <w:rsid w:val="7C089753"/>
    <w:rsid w:val="7C153F5D"/>
    <w:rsid w:val="7C16A66E"/>
    <w:rsid w:val="7C1F2AED"/>
    <w:rsid w:val="7C1F582B"/>
    <w:rsid w:val="7C2086A1"/>
    <w:rsid w:val="7C25C5B1"/>
    <w:rsid w:val="7C26B1A2"/>
    <w:rsid w:val="7C2C72C8"/>
    <w:rsid w:val="7C2E9559"/>
    <w:rsid w:val="7C2F3807"/>
    <w:rsid w:val="7C382415"/>
    <w:rsid w:val="7C4007FB"/>
    <w:rsid w:val="7C4480BD"/>
    <w:rsid w:val="7C45E3B2"/>
    <w:rsid w:val="7C47EB1B"/>
    <w:rsid w:val="7C4B695D"/>
    <w:rsid w:val="7C536803"/>
    <w:rsid w:val="7C5941CB"/>
    <w:rsid w:val="7C5CD278"/>
    <w:rsid w:val="7C5D4485"/>
    <w:rsid w:val="7C66F966"/>
    <w:rsid w:val="7C6EA5F3"/>
    <w:rsid w:val="7C75A299"/>
    <w:rsid w:val="7C7A2EC3"/>
    <w:rsid w:val="7C7D528E"/>
    <w:rsid w:val="7C8189D2"/>
    <w:rsid w:val="7C850510"/>
    <w:rsid w:val="7C85B8FE"/>
    <w:rsid w:val="7C906ED4"/>
    <w:rsid w:val="7C93D2F6"/>
    <w:rsid w:val="7C9973CD"/>
    <w:rsid w:val="7C9BBB73"/>
    <w:rsid w:val="7C9BDD60"/>
    <w:rsid w:val="7CA0CD4A"/>
    <w:rsid w:val="7CA28839"/>
    <w:rsid w:val="7CA92E9A"/>
    <w:rsid w:val="7CAA09B8"/>
    <w:rsid w:val="7CB238E7"/>
    <w:rsid w:val="7CB345B8"/>
    <w:rsid w:val="7CBB9E57"/>
    <w:rsid w:val="7CC2195C"/>
    <w:rsid w:val="7CD03E31"/>
    <w:rsid w:val="7CD250B3"/>
    <w:rsid w:val="7CD2BE15"/>
    <w:rsid w:val="7CD5896D"/>
    <w:rsid w:val="7CD5C03F"/>
    <w:rsid w:val="7CD605D6"/>
    <w:rsid w:val="7CDB29B6"/>
    <w:rsid w:val="7CE100D2"/>
    <w:rsid w:val="7CE3C09F"/>
    <w:rsid w:val="7CE43EB7"/>
    <w:rsid w:val="7CE4BECD"/>
    <w:rsid w:val="7CEA5E5F"/>
    <w:rsid w:val="7CF1D44B"/>
    <w:rsid w:val="7CF2050E"/>
    <w:rsid w:val="7CF2B39C"/>
    <w:rsid w:val="7CF63AA1"/>
    <w:rsid w:val="7CF757BC"/>
    <w:rsid w:val="7CF87BAC"/>
    <w:rsid w:val="7CFBC5E0"/>
    <w:rsid w:val="7CFC6EDF"/>
    <w:rsid w:val="7CFDDCCD"/>
    <w:rsid w:val="7D00CD59"/>
    <w:rsid w:val="7D012DC6"/>
    <w:rsid w:val="7D05BA4F"/>
    <w:rsid w:val="7D0CAE6C"/>
    <w:rsid w:val="7D12A671"/>
    <w:rsid w:val="7D130918"/>
    <w:rsid w:val="7D1734A2"/>
    <w:rsid w:val="7D1BF8F8"/>
    <w:rsid w:val="7D1C0C0D"/>
    <w:rsid w:val="7D1D5386"/>
    <w:rsid w:val="7D2515AC"/>
    <w:rsid w:val="7D27292A"/>
    <w:rsid w:val="7D2D6A54"/>
    <w:rsid w:val="7D3B2091"/>
    <w:rsid w:val="7D46A2BA"/>
    <w:rsid w:val="7D4D54CA"/>
    <w:rsid w:val="7D4FFC3A"/>
    <w:rsid w:val="7D50190C"/>
    <w:rsid w:val="7D501D52"/>
    <w:rsid w:val="7D5089D5"/>
    <w:rsid w:val="7D53C418"/>
    <w:rsid w:val="7D60DD0D"/>
    <w:rsid w:val="7D66043D"/>
    <w:rsid w:val="7D6A3A6C"/>
    <w:rsid w:val="7D709D5A"/>
    <w:rsid w:val="7D7A4C47"/>
    <w:rsid w:val="7D8967C5"/>
    <w:rsid w:val="7D95CF69"/>
    <w:rsid w:val="7D96C3ED"/>
    <w:rsid w:val="7D9AEDC5"/>
    <w:rsid w:val="7D9C21FC"/>
    <w:rsid w:val="7DADBD76"/>
    <w:rsid w:val="7DAFD165"/>
    <w:rsid w:val="7DBC09FE"/>
    <w:rsid w:val="7DC38715"/>
    <w:rsid w:val="7DC3A9E1"/>
    <w:rsid w:val="7DC78697"/>
    <w:rsid w:val="7DD0F139"/>
    <w:rsid w:val="7DD53CCC"/>
    <w:rsid w:val="7DD54E28"/>
    <w:rsid w:val="7DD7F789"/>
    <w:rsid w:val="7DD8A188"/>
    <w:rsid w:val="7DD9A12A"/>
    <w:rsid w:val="7DE275ED"/>
    <w:rsid w:val="7DEA954E"/>
    <w:rsid w:val="7DEC1599"/>
    <w:rsid w:val="7DF1285B"/>
    <w:rsid w:val="7DF13A54"/>
    <w:rsid w:val="7DF7D6D5"/>
    <w:rsid w:val="7DF81832"/>
    <w:rsid w:val="7DF827D8"/>
    <w:rsid w:val="7E09B15A"/>
    <w:rsid w:val="7E0DEBFC"/>
    <w:rsid w:val="7E11B2A5"/>
    <w:rsid w:val="7E11D2D5"/>
    <w:rsid w:val="7E171CF9"/>
    <w:rsid w:val="7E1BDD20"/>
    <w:rsid w:val="7E2416F8"/>
    <w:rsid w:val="7E29D346"/>
    <w:rsid w:val="7E2EED7E"/>
    <w:rsid w:val="7E31409E"/>
    <w:rsid w:val="7E38A6F0"/>
    <w:rsid w:val="7E3AD61D"/>
    <w:rsid w:val="7E3F6705"/>
    <w:rsid w:val="7E41EDE3"/>
    <w:rsid w:val="7E4C48FB"/>
    <w:rsid w:val="7E510D53"/>
    <w:rsid w:val="7E59FB1E"/>
    <w:rsid w:val="7E60BA7D"/>
    <w:rsid w:val="7E617FE7"/>
    <w:rsid w:val="7E6C5815"/>
    <w:rsid w:val="7E70C15D"/>
    <w:rsid w:val="7E7350CB"/>
    <w:rsid w:val="7E84B45D"/>
    <w:rsid w:val="7E8F7D1A"/>
    <w:rsid w:val="7E9FDB3F"/>
    <w:rsid w:val="7EA0117F"/>
    <w:rsid w:val="7EA48B2C"/>
    <w:rsid w:val="7EA67832"/>
    <w:rsid w:val="7EA7BDDF"/>
    <w:rsid w:val="7EAD42C8"/>
    <w:rsid w:val="7EB54EC8"/>
    <w:rsid w:val="7EB87A13"/>
    <w:rsid w:val="7EBF207F"/>
    <w:rsid w:val="7EC8F704"/>
    <w:rsid w:val="7ECBB806"/>
    <w:rsid w:val="7ECCE0E7"/>
    <w:rsid w:val="7ED91921"/>
    <w:rsid w:val="7ED96256"/>
    <w:rsid w:val="7EE353A3"/>
    <w:rsid w:val="7EE6D857"/>
    <w:rsid w:val="7EF13B06"/>
    <w:rsid w:val="7EF653A9"/>
    <w:rsid w:val="7F00E6F9"/>
    <w:rsid w:val="7F0CAC06"/>
    <w:rsid w:val="7F14FCAD"/>
    <w:rsid w:val="7F1E6D50"/>
    <w:rsid w:val="7F1F50D3"/>
    <w:rsid w:val="7F1F9AB0"/>
    <w:rsid w:val="7F26EEC1"/>
    <w:rsid w:val="7F3341A1"/>
    <w:rsid w:val="7F3651B8"/>
    <w:rsid w:val="7F37F25D"/>
    <w:rsid w:val="7F3AF6A5"/>
    <w:rsid w:val="7F3B30C6"/>
    <w:rsid w:val="7F4F3138"/>
    <w:rsid w:val="7F4FCC57"/>
    <w:rsid w:val="7F546869"/>
    <w:rsid w:val="7F5A8C2D"/>
    <w:rsid w:val="7F5D1A0C"/>
    <w:rsid w:val="7F5F891E"/>
    <w:rsid w:val="7F5F9F70"/>
    <w:rsid w:val="7F638FA2"/>
    <w:rsid w:val="7F6F26BE"/>
    <w:rsid w:val="7F7262D1"/>
    <w:rsid w:val="7F734745"/>
    <w:rsid w:val="7F7B8E7F"/>
    <w:rsid w:val="7F7F9488"/>
    <w:rsid w:val="7F8E9290"/>
    <w:rsid w:val="7F9671F3"/>
    <w:rsid w:val="7F975ABE"/>
    <w:rsid w:val="7F9BA6AA"/>
    <w:rsid w:val="7F9FF750"/>
    <w:rsid w:val="7FA380F0"/>
    <w:rsid w:val="7FA4BFAE"/>
    <w:rsid w:val="7FABB315"/>
    <w:rsid w:val="7FAD5AC7"/>
    <w:rsid w:val="7FBBC73E"/>
    <w:rsid w:val="7FC23A6E"/>
    <w:rsid w:val="7FC3B739"/>
    <w:rsid w:val="7FC6A704"/>
    <w:rsid w:val="7FC90C93"/>
    <w:rsid w:val="7FCEBE8B"/>
    <w:rsid w:val="7FD240D8"/>
    <w:rsid w:val="7FD7BA32"/>
    <w:rsid w:val="7FDB422D"/>
    <w:rsid w:val="7FE096B1"/>
    <w:rsid w:val="7FE0CBD7"/>
    <w:rsid w:val="7FE4BC11"/>
    <w:rsid w:val="7FF69E63"/>
    <w:rsid w:val="7FF9F3EF"/>
    <w:rsid w:val="7FFD5FD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9C4308"/>
  <w15:chartTrackingRefBased/>
  <w15:docId w15:val="{E4FAE85C-2E62-4BA8-A875-C27CBBF9053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HAns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C71D6"/>
  </w:style>
  <w:style w:type="paragraph" w:styleId="Heading1">
    <w:name w:val="heading 1"/>
    <w:basedOn w:val="Normal"/>
    <w:next w:val="Normal"/>
    <w:link w:val="Heading1Char"/>
    <w:uiPriority w:val="9"/>
    <w:qFormat/>
    <w:rsid w:val="00C443D6"/>
    <w:pPr>
      <w:keepNext/>
      <w:keepLines/>
      <w:spacing w:before="240" w:after="0" w:line="240" w:lineRule="auto"/>
      <w:jc w:val="center"/>
      <w:outlineLvl w:val="0"/>
    </w:pPr>
    <w:rPr>
      <w:rFonts w:ascii="Arial" w:hAnsi="Arial" w:eastAsiaTheme="majorEastAsia" w:cstheme="majorBidi"/>
      <w:b/>
      <w:kern w:val="0"/>
      <w:sz w:val="32"/>
      <w:szCs w:val="32"/>
      <w14:ligatures w14:val="none"/>
    </w:rPr>
  </w:style>
  <w:style w:type="paragraph" w:styleId="Heading2">
    <w:name w:val="heading 2"/>
    <w:basedOn w:val="Normal"/>
    <w:next w:val="Normal"/>
    <w:link w:val="Heading2Char"/>
    <w:uiPriority w:val="9"/>
    <w:unhideWhenUsed/>
    <w:qFormat/>
    <w:rsid w:val="00C443D6"/>
    <w:pPr>
      <w:keepNext/>
      <w:keepLines/>
      <w:spacing w:before="40" w:after="0" w:line="240" w:lineRule="auto"/>
      <w:jc w:val="both"/>
      <w:outlineLvl w:val="1"/>
    </w:pPr>
    <w:rPr>
      <w:rFonts w:ascii="Arial" w:hAnsi="Arial" w:eastAsiaTheme="majorEastAsia" w:cstheme="majorBidi"/>
      <w:b/>
      <w:color w:val="000000" w:themeColor="text1"/>
      <w:kern w:val="0"/>
      <w:sz w:val="26"/>
      <w:szCs w:val="26"/>
      <w14:ligatures w14:val="none"/>
    </w:rPr>
  </w:style>
  <w:style w:type="paragraph" w:styleId="Heading3">
    <w:name w:val="heading 3"/>
    <w:basedOn w:val="Normal"/>
    <w:next w:val="Normal"/>
    <w:link w:val="Heading3Char"/>
    <w:uiPriority w:val="9"/>
    <w:unhideWhenUsed/>
    <w:qFormat/>
    <w:rsid w:val="00C443D6"/>
    <w:pPr>
      <w:keepNext/>
      <w:keepLines/>
      <w:spacing w:before="40" w:after="0" w:line="240" w:lineRule="auto"/>
      <w:jc w:val="both"/>
      <w:outlineLvl w:val="2"/>
    </w:pPr>
    <w:rPr>
      <w:rFonts w:ascii="Arial" w:hAnsi="Arial" w:eastAsiaTheme="majorEastAsia" w:cstheme="majorBidi"/>
      <w:b/>
      <w:kern w:val="0"/>
      <w:sz w:val="24"/>
      <w:szCs w:val="24"/>
      <w14:ligatures w14:val="none"/>
    </w:rPr>
  </w:style>
  <w:style w:type="paragraph" w:styleId="Heading4">
    <w:name w:val="heading 4"/>
    <w:basedOn w:val="Normal"/>
    <w:next w:val="Normal"/>
    <w:link w:val="Heading4Char"/>
    <w:uiPriority w:val="9"/>
    <w:unhideWhenUsed/>
    <w:qFormat/>
    <w:rsid w:val="00C443D6"/>
    <w:pPr>
      <w:keepNext/>
      <w:keepLines/>
      <w:spacing w:before="40" w:after="0" w:line="240" w:lineRule="auto"/>
      <w:ind w:left="1416"/>
      <w:jc w:val="both"/>
      <w:outlineLvl w:val="3"/>
    </w:pPr>
    <w:rPr>
      <w:rFonts w:asciiTheme="majorHAnsi" w:hAnsiTheme="majorHAnsi" w:eastAsiaTheme="majorEastAsia" w:cstheme="majorBidi"/>
      <w:b/>
      <w:i/>
      <w:iCs/>
      <w:kern w:val="0"/>
      <w:sz w:val="24"/>
      <w14:ligatures w14:val="none"/>
    </w:rPr>
  </w:style>
  <w:style w:type="paragraph" w:styleId="Heading5">
    <w:name w:val="heading 5"/>
    <w:basedOn w:val="Normal"/>
    <w:next w:val="Normal"/>
    <w:link w:val="Heading5Char"/>
    <w:uiPriority w:val="9"/>
    <w:unhideWhenUsed/>
    <w:qFormat/>
    <w:rsid w:val="00C443D6"/>
    <w:pPr>
      <w:keepNext/>
      <w:keepLines/>
      <w:spacing w:before="40" w:after="0" w:line="240" w:lineRule="auto"/>
      <w:jc w:val="both"/>
      <w:outlineLvl w:val="4"/>
    </w:pPr>
    <w:rPr>
      <w:rFonts w:asciiTheme="majorHAnsi" w:hAnsiTheme="majorHAnsi" w:eastAsiaTheme="majorEastAsia" w:cstheme="majorBidi"/>
      <w:color w:val="2F5496" w:themeColor="accent1" w:themeShade="BF"/>
      <w:kern w:val="0"/>
      <w:sz w:val="24"/>
      <w14:ligatures w14:val="none"/>
    </w:rPr>
  </w:style>
  <w:style w:type="paragraph" w:styleId="Heading6">
    <w:name w:val="heading 6"/>
    <w:basedOn w:val="Normal"/>
    <w:next w:val="Normal"/>
    <w:link w:val="Heading6Char"/>
    <w:uiPriority w:val="9"/>
    <w:semiHidden/>
    <w:unhideWhenUsed/>
    <w:qFormat/>
    <w:rsid w:val="00C443D6"/>
    <w:pPr>
      <w:keepNext/>
      <w:keepLines/>
      <w:spacing w:before="40" w:after="0" w:line="240" w:lineRule="auto"/>
      <w:jc w:val="both"/>
      <w:outlineLvl w:val="5"/>
    </w:pPr>
    <w:rPr>
      <w:rFonts w:asciiTheme="majorHAnsi" w:hAnsiTheme="majorHAnsi" w:eastAsiaTheme="majorEastAsia" w:cstheme="majorBidi"/>
      <w:color w:val="1F3763" w:themeColor="accent1" w:themeShade="7F"/>
      <w:kern w:val="0"/>
      <w:sz w:val="24"/>
      <w14:ligatures w14:val="none"/>
    </w:rPr>
  </w:style>
  <w:style w:type="paragraph" w:styleId="Heading7">
    <w:name w:val="heading 7"/>
    <w:basedOn w:val="Normal"/>
    <w:next w:val="Normal"/>
    <w:link w:val="Heading7Char"/>
    <w:uiPriority w:val="9"/>
    <w:semiHidden/>
    <w:unhideWhenUsed/>
    <w:qFormat/>
    <w:rsid w:val="00C443D6"/>
    <w:pPr>
      <w:keepNext/>
      <w:keepLines/>
      <w:spacing w:before="40" w:after="0" w:line="240" w:lineRule="auto"/>
      <w:jc w:val="both"/>
      <w:outlineLvl w:val="6"/>
    </w:pPr>
    <w:rPr>
      <w:rFonts w:asciiTheme="majorHAnsi" w:hAnsiTheme="majorHAnsi" w:eastAsiaTheme="majorEastAsia" w:cstheme="majorBidi"/>
      <w:i/>
      <w:iCs/>
      <w:color w:val="1F3763" w:themeColor="accent1" w:themeShade="7F"/>
      <w:kern w:val="0"/>
      <w:sz w:val="24"/>
      <w14:ligatures w14:val="none"/>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757B36"/>
    <w:pPr>
      <w:tabs>
        <w:tab w:val="center" w:pos="4419"/>
        <w:tab w:val="right" w:pos="8838"/>
      </w:tabs>
      <w:spacing w:after="0" w:line="240" w:lineRule="auto"/>
    </w:pPr>
  </w:style>
  <w:style w:type="character" w:styleId="HeaderChar" w:customStyle="1">
    <w:name w:val="Header Char"/>
    <w:basedOn w:val="DefaultParagraphFont"/>
    <w:link w:val="Header"/>
    <w:uiPriority w:val="99"/>
    <w:rsid w:val="00757B36"/>
  </w:style>
  <w:style w:type="paragraph" w:styleId="Footer">
    <w:name w:val="footer"/>
    <w:basedOn w:val="Normal"/>
    <w:link w:val="FooterChar"/>
    <w:uiPriority w:val="99"/>
    <w:unhideWhenUsed/>
    <w:rsid w:val="00757B36"/>
    <w:pPr>
      <w:tabs>
        <w:tab w:val="center" w:pos="4419"/>
        <w:tab w:val="right" w:pos="8838"/>
      </w:tabs>
      <w:spacing w:after="0" w:line="240" w:lineRule="auto"/>
    </w:pPr>
  </w:style>
  <w:style w:type="character" w:styleId="FooterChar" w:customStyle="1">
    <w:name w:val="Footer Char"/>
    <w:basedOn w:val="DefaultParagraphFont"/>
    <w:link w:val="Footer"/>
    <w:uiPriority w:val="99"/>
    <w:rsid w:val="00757B36"/>
  </w:style>
  <w:style w:type="character" w:styleId="Hyperlink">
    <w:name w:val="Hyperlink"/>
    <w:basedOn w:val="DefaultParagraphFont"/>
    <w:uiPriority w:val="99"/>
    <w:unhideWhenUsed/>
    <w:rsid w:val="00757B36"/>
    <w:rPr>
      <w:color w:val="0563C1" w:themeColor="hyperlink"/>
      <w:u w:val="single"/>
    </w:rPr>
  </w:style>
  <w:style w:type="character" w:styleId="Mencinsinresolver1" w:customStyle="1">
    <w:name w:val="Mención sin resolver1"/>
    <w:basedOn w:val="DefaultParagraphFont"/>
    <w:uiPriority w:val="99"/>
    <w:semiHidden/>
    <w:unhideWhenUsed/>
    <w:rsid w:val="00757B36"/>
    <w:rPr>
      <w:color w:val="605E5C"/>
      <w:shd w:val="clear" w:color="auto" w:fill="E1DFDD"/>
    </w:rPr>
  </w:style>
  <w:style w:type="paragraph" w:styleId="ListParagraph">
    <w:name w:val="List Paragraph"/>
    <w:aliases w:val="Ha,titulo 3,HOJA,Bolita,Párrafo de lista4,BOLADEF,Párrafo de lista3,Párrafo de lista21,BOLA,Nivel 1 OS,Normal_viñetas_ICONTEC,Colorful List Accent 1,Colorful List - Accent 11,Lista vistosa - Énfasis 11,Bullet List,Bullets,viñetas"/>
    <w:basedOn w:val="Normal"/>
    <w:link w:val="ListParagraphChar"/>
    <w:qFormat/>
    <w:rsid w:val="00757B36"/>
    <w:pPr>
      <w:ind w:left="720"/>
      <w:contextualSpacing/>
    </w:pPr>
  </w:style>
  <w:style w:type="character" w:styleId="Heading1Char" w:customStyle="1">
    <w:name w:val="Heading 1 Char"/>
    <w:basedOn w:val="DefaultParagraphFont"/>
    <w:link w:val="Heading1"/>
    <w:uiPriority w:val="9"/>
    <w:rsid w:val="00C443D6"/>
    <w:rPr>
      <w:rFonts w:ascii="Arial" w:hAnsi="Arial" w:eastAsiaTheme="majorEastAsia" w:cstheme="majorBidi"/>
      <w:b/>
      <w:kern w:val="0"/>
      <w:sz w:val="32"/>
      <w:szCs w:val="32"/>
      <w14:ligatures w14:val="none"/>
    </w:rPr>
  </w:style>
  <w:style w:type="character" w:styleId="Heading2Char" w:customStyle="1">
    <w:name w:val="Heading 2 Char"/>
    <w:basedOn w:val="DefaultParagraphFont"/>
    <w:link w:val="Heading2"/>
    <w:uiPriority w:val="9"/>
    <w:rsid w:val="00C443D6"/>
    <w:rPr>
      <w:rFonts w:ascii="Arial" w:hAnsi="Arial" w:eastAsiaTheme="majorEastAsia" w:cstheme="majorBidi"/>
      <w:b/>
      <w:color w:val="000000" w:themeColor="text1"/>
      <w:kern w:val="0"/>
      <w:sz w:val="26"/>
      <w:szCs w:val="26"/>
      <w14:ligatures w14:val="none"/>
    </w:rPr>
  </w:style>
  <w:style w:type="character" w:styleId="Heading3Char" w:customStyle="1">
    <w:name w:val="Heading 3 Char"/>
    <w:basedOn w:val="DefaultParagraphFont"/>
    <w:link w:val="Heading3"/>
    <w:uiPriority w:val="9"/>
    <w:rsid w:val="00C443D6"/>
    <w:rPr>
      <w:rFonts w:ascii="Arial" w:hAnsi="Arial" w:eastAsiaTheme="majorEastAsia" w:cstheme="majorBidi"/>
      <w:b/>
      <w:kern w:val="0"/>
      <w:sz w:val="24"/>
      <w:szCs w:val="24"/>
      <w14:ligatures w14:val="none"/>
    </w:rPr>
  </w:style>
  <w:style w:type="character" w:styleId="Heading4Char" w:customStyle="1">
    <w:name w:val="Heading 4 Char"/>
    <w:basedOn w:val="DefaultParagraphFont"/>
    <w:link w:val="Heading4"/>
    <w:uiPriority w:val="9"/>
    <w:rsid w:val="00C443D6"/>
    <w:rPr>
      <w:rFonts w:asciiTheme="majorHAnsi" w:hAnsiTheme="majorHAnsi" w:eastAsiaTheme="majorEastAsia" w:cstheme="majorBidi"/>
      <w:b/>
      <w:i/>
      <w:iCs/>
      <w:kern w:val="0"/>
      <w:sz w:val="24"/>
      <w14:ligatures w14:val="none"/>
    </w:rPr>
  </w:style>
  <w:style w:type="character" w:styleId="Heading5Char" w:customStyle="1">
    <w:name w:val="Heading 5 Char"/>
    <w:basedOn w:val="DefaultParagraphFont"/>
    <w:link w:val="Heading5"/>
    <w:uiPriority w:val="9"/>
    <w:rsid w:val="00C443D6"/>
    <w:rPr>
      <w:rFonts w:asciiTheme="majorHAnsi" w:hAnsiTheme="majorHAnsi" w:eastAsiaTheme="majorEastAsia" w:cstheme="majorBidi"/>
      <w:color w:val="2F5496" w:themeColor="accent1" w:themeShade="BF"/>
      <w:kern w:val="0"/>
      <w:sz w:val="24"/>
      <w14:ligatures w14:val="none"/>
    </w:rPr>
  </w:style>
  <w:style w:type="character" w:styleId="Heading6Char" w:customStyle="1">
    <w:name w:val="Heading 6 Char"/>
    <w:basedOn w:val="DefaultParagraphFont"/>
    <w:link w:val="Heading6"/>
    <w:uiPriority w:val="9"/>
    <w:semiHidden/>
    <w:rsid w:val="00C443D6"/>
    <w:rPr>
      <w:rFonts w:asciiTheme="majorHAnsi" w:hAnsiTheme="majorHAnsi" w:eastAsiaTheme="majorEastAsia" w:cstheme="majorBidi"/>
      <w:color w:val="1F3763" w:themeColor="accent1" w:themeShade="7F"/>
      <w:kern w:val="0"/>
      <w:sz w:val="24"/>
      <w14:ligatures w14:val="none"/>
    </w:rPr>
  </w:style>
  <w:style w:type="character" w:styleId="Heading7Char" w:customStyle="1">
    <w:name w:val="Heading 7 Char"/>
    <w:basedOn w:val="DefaultParagraphFont"/>
    <w:link w:val="Heading7"/>
    <w:uiPriority w:val="9"/>
    <w:semiHidden/>
    <w:rsid w:val="00C443D6"/>
    <w:rPr>
      <w:rFonts w:asciiTheme="majorHAnsi" w:hAnsiTheme="majorHAnsi" w:eastAsiaTheme="majorEastAsia" w:cstheme="majorBidi"/>
      <w:i/>
      <w:iCs/>
      <w:color w:val="1F3763" w:themeColor="accent1" w:themeShade="7F"/>
      <w:kern w:val="0"/>
      <w:sz w:val="24"/>
      <w14:ligatures w14:val="none"/>
    </w:rPr>
  </w:style>
  <w:style w:type="paragraph" w:styleId="Title">
    <w:name w:val="Title"/>
    <w:basedOn w:val="Normal"/>
    <w:next w:val="Normal"/>
    <w:link w:val="TitleChar"/>
    <w:uiPriority w:val="10"/>
    <w:qFormat/>
    <w:rsid w:val="00C443D6"/>
    <w:pPr>
      <w:spacing w:after="0" w:line="240" w:lineRule="auto"/>
      <w:contextualSpacing/>
      <w:jc w:val="both"/>
    </w:pPr>
    <w:rPr>
      <w:rFonts w:asciiTheme="majorHAnsi" w:hAnsiTheme="majorHAnsi" w:eastAsiaTheme="majorEastAsia" w:cstheme="majorBidi"/>
      <w:spacing w:val="-10"/>
      <w:kern w:val="28"/>
      <w:sz w:val="56"/>
      <w:szCs w:val="56"/>
      <w14:ligatures w14:val="none"/>
    </w:rPr>
  </w:style>
  <w:style w:type="character" w:styleId="TitleChar" w:customStyle="1">
    <w:name w:val="Title Char"/>
    <w:basedOn w:val="DefaultParagraphFont"/>
    <w:link w:val="Title"/>
    <w:uiPriority w:val="10"/>
    <w:rsid w:val="00C443D6"/>
    <w:rPr>
      <w:rFonts w:asciiTheme="majorHAnsi" w:hAnsiTheme="majorHAnsi" w:eastAsiaTheme="majorEastAsia" w:cstheme="majorBidi"/>
      <w:spacing w:val="-10"/>
      <w:kern w:val="28"/>
      <w:sz w:val="56"/>
      <w:szCs w:val="56"/>
      <w14:ligatures w14:val="none"/>
    </w:rPr>
  </w:style>
  <w:style w:type="paragraph" w:styleId="TOCHeading">
    <w:name w:val="TOC Heading"/>
    <w:basedOn w:val="Heading1"/>
    <w:next w:val="Normal"/>
    <w:uiPriority w:val="39"/>
    <w:unhideWhenUsed/>
    <w:qFormat/>
    <w:rsid w:val="00C443D6"/>
    <w:pPr>
      <w:outlineLvl w:val="9"/>
    </w:pPr>
    <w:rPr>
      <w:lang w:eastAsia="es-CO"/>
    </w:rPr>
  </w:style>
  <w:style w:type="paragraph" w:styleId="TOC1">
    <w:name w:val="toc 1"/>
    <w:basedOn w:val="Normal"/>
    <w:next w:val="Normal"/>
    <w:uiPriority w:val="39"/>
    <w:unhideWhenUsed/>
    <w:rsid w:val="769A4CE5"/>
    <w:pPr>
      <w:spacing w:before="240" w:after="120"/>
    </w:pPr>
    <w:rPr>
      <w:b/>
      <w:bCs/>
      <w:sz w:val="20"/>
      <w:szCs w:val="20"/>
    </w:rPr>
  </w:style>
  <w:style w:type="paragraph" w:styleId="TOC2">
    <w:name w:val="toc 2"/>
    <w:basedOn w:val="Normal"/>
    <w:next w:val="Normal"/>
    <w:uiPriority w:val="39"/>
    <w:unhideWhenUsed/>
    <w:rsid w:val="769A4CE5"/>
    <w:pPr>
      <w:spacing w:before="120" w:after="0"/>
      <w:ind w:left="220"/>
    </w:pPr>
    <w:rPr>
      <w:i/>
      <w:iCs/>
      <w:sz w:val="20"/>
      <w:szCs w:val="20"/>
    </w:rPr>
  </w:style>
  <w:style w:type="paragraph" w:styleId="paragraph" w:customStyle="1">
    <w:name w:val="paragraph"/>
    <w:basedOn w:val="Normal"/>
    <w:rsid w:val="00C443D6"/>
    <w:pPr>
      <w:spacing w:before="100" w:beforeAutospacing="1" w:after="100" w:afterAutospacing="1" w:line="240" w:lineRule="auto"/>
      <w:jc w:val="both"/>
    </w:pPr>
    <w:rPr>
      <w:rFonts w:ascii="Times New Roman" w:hAnsi="Times New Roman" w:eastAsia="Times New Roman" w:cs="Times New Roman"/>
      <w:kern w:val="0"/>
      <w:sz w:val="24"/>
      <w:szCs w:val="24"/>
      <w:lang w:eastAsia="es-CO"/>
      <w14:ligatures w14:val="none"/>
    </w:rPr>
  </w:style>
  <w:style w:type="character" w:styleId="normaltextrun" w:customStyle="1">
    <w:name w:val="normaltextrun"/>
    <w:basedOn w:val="DefaultParagraphFont"/>
    <w:rsid w:val="00C443D6"/>
  </w:style>
  <w:style w:type="character" w:styleId="eop" w:customStyle="1">
    <w:name w:val="eop"/>
    <w:basedOn w:val="DefaultParagraphFont"/>
    <w:rsid w:val="00C443D6"/>
  </w:style>
  <w:style w:type="paragraph" w:styleId="NormalWeb">
    <w:name w:val="Normal (Web)"/>
    <w:basedOn w:val="Normal"/>
    <w:unhideWhenUsed/>
    <w:rsid w:val="00C443D6"/>
    <w:pPr>
      <w:spacing w:before="100" w:beforeAutospacing="1" w:after="100" w:afterAutospacing="1" w:line="240" w:lineRule="auto"/>
      <w:jc w:val="both"/>
    </w:pPr>
    <w:rPr>
      <w:rFonts w:ascii="Times New Roman" w:hAnsi="Times New Roman" w:eastAsia="Times New Roman" w:cs="Times New Roman"/>
      <w:kern w:val="0"/>
      <w:sz w:val="24"/>
      <w:szCs w:val="24"/>
      <w:lang w:eastAsia="es-CO"/>
      <w14:ligatures w14:val="none"/>
    </w:rPr>
  </w:style>
  <w:style w:type="paragraph" w:styleId="FootnoteText">
    <w:name w:val="footnote text"/>
    <w:basedOn w:val="Normal"/>
    <w:link w:val="FootnoteTextChar"/>
    <w:uiPriority w:val="99"/>
    <w:unhideWhenUsed/>
    <w:rsid w:val="00C443D6"/>
    <w:pPr>
      <w:suppressAutoHyphens/>
      <w:spacing w:after="0" w:line="240" w:lineRule="auto"/>
      <w:jc w:val="both"/>
    </w:pPr>
    <w:rPr>
      <w:rFonts w:ascii="Times New Roman" w:hAnsi="Times New Roman" w:eastAsia="Times New Roman" w:cs="Times New Roman"/>
      <w:kern w:val="0"/>
      <w:sz w:val="20"/>
      <w:szCs w:val="20"/>
      <w:lang w:val="es-ES" w:eastAsia="es-ES"/>
      <w14:ligatures w14:val="none"/>
    </w:rPr>
  </w:style>
  <w:style w:type="character" w:styleId="FootnoteTextChar" w:customStyle="1">
    <w:name w:val="Footnote Text Char"/>
    <w:basedOn w:val="DefaultParagraphFont"/>
    <w:link w:val="FootnoteText"/>
    <w:uiPriority w:val="99"/>
    <w:rsid w:val="00C443D6"/>
    <w:rPr>
      <w:rFonts w:ascii="Times New Roman" w:hAnsi="Times New Roman" w:eastAsia="Times New Roman" w:cs="Times New Roman"/>
      <w:kern w:val="0"/>
      <w:sz w:val="20"/>
      <w:szCs w:val="20"/>
      <w:lang w:val="es-ES" w:eastAsia="es-ES"/>
      <w14:ligatures w14:val="none"/>
    </w:rPr>
  </w:style>
  <w:style w:type="character" w:styleId="FootnoteReference">
    <w:name w:val="footnote reference"/>
    <w:aliases w:val="referencia nota al pie,Footnote symbol,Footnote,FC,Texto de nota al pie,BVI fnr,Ref. de nota al pie2,Nota de pie,Ref,de nota al pie,Pie de pagina,Texto nota al pie,Appel note de bas de p,Appel note de bas de page,de nota al pi,Ref1"/>
    <w:basedOn w:val="DefaultParagraphFont"/>
    <w:link w:val="Char2"/>
    <w:uiPriority w:val="99"/>
    <w:unhideWhenUsed/>
    <w:rsid w:val="00C443D6"/>
    <w:rPr>
      <w:vertAlign w:val="superscript"/>
    </w:rPr>
  </w:style>
  <w:style w:type="character" w:styleId="ListParagraphChar" w:customStyle="1">
    <w:name w:val="List Paragraph Char"/>
    <w:aliases w:val="Ha Char,titulo 3 Char,HOJA Char,Bolita Char,Párrafo de lista4 Char,BOLADEF Char,Párrafo de lista3 Char,Párrafo de lista21 Char,BOLA Char,Nivel 1 OS Char,Normal_viñetas_ICONTEC Char,Colorful List Accent 1 Char,Bullet List Char"/>
    <w:link w:val="ListParagraph"/>
    <w:uiPriority w:val="34"/>
    <w:qFormat/>
    <w:locked/>
    <w:rsid w:val="00C443D6"/>
  </w:style>
  <w:style w:type="paragraph" w:styleId="NoSpacing">
    <w:name w:val="No Spacing"/>
    <w:uiPriority w:val="1"/>
    <w:qFormat/>
    <w:rsid w:val="00C443D6"/>
    <w:pPr>
      <w:spacing w:after="0" w:line="240" w:lineRule="auto"/>
    </w:pPr>
    <w:rPr>
      <w:kern w:val="0"/>
      <w14:ligatures w14:val="none"/>
    </w:rPr>
  </w:style>
  <w:style w:type="paragraph" w:styleId="Bibliography">
    <w:name w:val="Bibliography"/>
    <w:basedOn w:val="Normal"/>
    <w:next w:val="Normal"/>
    <w:uiPriority w:val="37"/>
    <w:unhideWhenUsed/>
    <w:rsid w:val="00C443D6"/>
    <w:pPr>
      <w:spacing w:after="0" w:line="240" w:lineRule="auto"/>
      <w:jc w:val="both"/>
    </w:pPr>
    <w:rPr>
      <w:rFonts w:ascii="Arial" w:hAnsi="Arial"/>
      <w:kern w:val="0"/>
      <w:sz w:val="24"/>
      <w14:ligatures w14:val="none"/>
    </w:rPr>
  </w:style>
  <w:style w:type="paragraph" w:styleId="Caption">
    <w:name w:val="caption"/>
    <w:basedOn w:val="Normal"/>
    <w:next w:val="Normal"/>
    <w:uiPriority w:val="35"/>
    <w:unhideWhenUsed/>
    <w:qFormat/>
    <w:rsid w:val="287A971D"/>
    <w:pPr>
      <w:spacing w:after="200" w:line="240" w:lineRule="auto"/>
      <w:jc w:val="center"/>
    </w:pPr>
    <w:rPr>
      <w:rFonts w:eastAsiaTheme="minorEastAsia"/>
      <w:b/>
      <w:bCs/>
      <w:sz w:val="18"/>
      <w:szCs w:val="18"/>
    </w:rPr>
  </w:style>
  <w:style w:type="paragraph" w:styleId="TOC3">
    <w:name w:val="toc 3"/>
    <w:basedOn w:val="Normal"/>
    <w:next w:val="Normal"/>
    <w:autoRedefine/>
    <w:uiPriority w:val="39"/>
    <w:unhideWhenUsed/>
    <w:rsid w:val="0076250F"/>
    <w:pPr>
      <w:spacing w:after="0"/>
      <w:ind w:left="440"/>
    </w:pPr>
    <w:rPr>
      <w:sz w:val="20"/>
      <w:szCs w:val="20"/>
    </w:rPr>
  </w:style>
  <w:style w:type="paragraph" w:styleId="msonormal0" w:customStyle="1">
    <w:name w:val="msonormal"/>
    <w:basedOn w:val="Normal"/>
    <w:rsid w:val="00C443D6"/>
    <w:pPr>
      <w:spacing w:before="100" w:beforeAutospacing="1" w:after="100" w:afterAutospacing="1" w:line="240" w:lineRule="auto"/>
      <w:jc w:val="both"/>
    </w:pPr>
    <w:rPr>
      <w:rFonts w:ascii="Times New Roman" w:hAnsi="Times New Roman" w:eastAsia="Times New Roman" w:cs="Times New Roman"/>
      <w:kern w:val="0"/>
      <w:sz w:val="24"/>
      <w:szCs w:val="24"/>
      <w:lang w:eastAsia="es-CO"/>
      <w14:ligatures w14:val="none"/>
    </w:rPr>
  </w:style>
  <w:style w:type="character" w:styleId="textrun" w:customStyle="1">
    <w:name w:val="textrun"/>
    <w:basedOn w:val="DefaultParagraphFont"/>
    <w:rsid w:val="00C443D6"/>
  </w:style>
  <w:style w:type="paragraph" w:styleId="outlineelement" w:customStyle="1">
    <w:name w:val="outlineelement"/>
    <w:basedOn w:val="Normal"/>
    <w:rsid w:val="00C443D6"/>
    <w:pPr>
      <w:spacing w:before="100" w:beforeAutospacing="1" w:after="100" w:afterAutospacing="1" w:line="240" w:lineRule="auto"/>
      <w:jc w:val="both"/>
    </w:pPr>
    <w:rPr>
      <w:rFonts w:ascii="Times New Roman" w:hAnsi="Times New Roman" w:eastAsia="Times New Roman" w:cs="Times New Roman"/>
      <w:kern w:val="0"/>
      <w:sz w:val="24"/>
      <w:szCs w:val="24"/>
      <w:lang w:eastAsia="es-CO"/>
      <w14:ligatures w14:val="none"/>
    </w:rPr>
  </w:style>
  <w:style w:type="character" w:styleId="FollowedHyperlink">
    <w:name w:val="FollowedHyperlink"/>
    <w:basedOn w:val="DefaultParagraphFont"/>
    <w:uiPriority w:val="99"/>
    <w:semiHidden/>
    <w:unhideWhenUsed/>
    <w:rsid w:val="00C443D6"/>
    <w:rPr>
      <w:color w:val="800080"/>
      <w:u w:val="single"/>
    </w:rPr>
  </w:style>
  <w:style w:type="character" w:styleId="wacimagecontainer" w:customStyle="1">
    <w:name w:val="wacimagecontainer"/>
    <w:basedOn w:val="DefaultParagraphFont"/>
    <w:rsid w:val="00C443D6"/>
  </w:style>
  <w:style w:type="character" w:styleId="superscript" w:customStyle="1">
    <w:name w:val="superscript"/>
    <w:basedOn w:val="DefaultParagraphFont"/>
    <w:rsid w:val="00C443D6"/>
  </w:style>
  <w:style w:type="character" w:styleId="wacimagegroupcontainer" w:customStyle="1">
    <w:name w:val="wacimagegroupcontainer"/>
    <w:basedOn w:val="DefaultParagraphFont"/>
    <w:rsid w:val="00C443D6"/>
  </w:style>
  <w:style w:type="character" w:styleId="CommentReference">
    <w:name w:val="annotation reference"/>
    <w:basedOn w:val="DefaultParagraphFont"/>
    <w:unhideWhenUsed/>
    <w:rsid w:val="00C443D6"/>
    <w:rPr>
      <w:sz w:val="16"/>
      <w:szCs w:val="16"/>
    </w:rPr>
  </w:style>
  <w:style w:type="paragraph" w:styleId="CommentText">
    <w:name w:val="annotation text"/>
    <w:basedOn w:val="Normal"/>
    <w:link w:val="CommentTextChar"/>
    <w:unhideWhenUsed/>
    <w:rsid w:val="00C443D6"/>
    <w:pPr>
      <w:spacing w:after="0" w:line="240" w:lineRule="auto"/>
      <w:jc w:val="both"/>
    </w:pPr>
    <w:rPr>
      <w:rFonts w:ascii="Arial" w:hAnsi="Arial"/>
      <w:kern w:val="0"/>
      <w:sz w:val="20"/>
      <w:szCs w:val="20"/>
      <w14:ligatures w14:val="none"/>
    </w:rPr>
  </w:style>
  <w:style w:type="character" w:styleId="CommentTextChar" w:customStyle="1">
    <w:name w:val="Comment Text Char"/>
    <w:basedOn w:val="DefaultParagraphFont"/>
    <w:link w:val="CommentText"/>
    <w:rsid w:val="00C443D6"/>
    <w:rPr>
      <w:rFonts w:ascii="Arial" w:hAnsi="Arial"/>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C443D6"/>
    <w:rPr>
      <w:b/>
      <w:bCs/>
    </w:rPr>
  </w:style>
  <w:style w:type="character" w:styleId="CommentSubjectChar" w:customStyle="1">
    <w:name w:val="Comment Subject Char"/>
    <w:basedOn w:val="CommentTextChar"/>
    <w:link w:val="CommentSubject"/>
    <w:uiPriority w:val="99"/>
    <w:semiHidden/>
    <w:rsid w:val="00C443D6"/>
    <w:rPr>
      <w:rFonts w:ascii="Arial" w:hAnsi="Arial"/>
      <w:b/>
      <w:bCs/>
      <w:kern w:val="0"/>
      <w:sz w:val="20"/>
      <w:szCs w:val="20"/>
      <w14:ligatures w14:val="none"/>
    </w:rPr>
  </w:style>
  <w:style w:type="paragraph" w:styleId="BalloonText">
    <w:name w:val="Balloon Text"/>
    <w:basedOn w:val="Normal"/>
    <w:link w:val="BalloonTextChar"/>
    <w:uiPriority w:val="99"/>
    <w:semiHidden/>
    <w:unhideWhenUsed/>
    <w:rsid w:val="00C443D6"/>
    <w:pPr>
      <w:spacing w:after="0" w:line="240" w:lineRule="auto"/>
      <w:jc w:val="both"/>
    </w:pPr>
    <w:rPr>
      <w:rFonts w:ascii="Segoe UI" w:hAnsi="Segoe UI" w:cs="Segoe UI"/>
      <w:kern w:val="0"/>
      <w:sz w:val="18"/>
      <w:szCs w:val="18"/>
      <w14:ligatures w14:val="none"/>
    </w:rPr>
  </w:style>
  <w:style w:type="character" w:styleId="BalloonTextChar" w:customStyle="1">
    <w:name w:val="Balloon Text Char"/>
    <w:basedOn w:val="DefaultParagraphFont"/>
    <w:link w:val="BalloonText"/>
    <w:uiPriority w:val="99"/>
    <w:semiHidden/>
    <w:rsid w:val="00C443D6"/>
    <w:rPr>
      <w:rFonts w:ascii="Segoe UI" w:hAnsi="Segoe UI" w:cs="Segoe UI"/>
      <w:kern w:val="0"/>
      <w:sz w:val="18"/>
      <w:szCs w:val="18"/>
      <w14:ligatures w14:val="none"/>
    </w:rPr>
  </w:style>
  <w:style w:type="paragraph" w:styleId="TableofFigures">
    <w:name w:val="table of figures"/>
    <w:basedOn w:val="Normal"/>
    <w:next w:val="Normal"/>
    <w:uiPriority w:val="99"/>
    <w:unhideWhenUsed/>
    <w:rsid w:val="00C443D6"/>
    <w:pPr>
      <w:spacing w:after="0" w:line="240" w:lineRule="auto"/>
      <w:jc w:val="both"/>
    </w:pPr>
    <w:rPr>
      <w:rFonts w:ascii="Arial" w:hAnsi="Arial"/>
      <w:kern w:val="0"/>
      <w:sz w:val="24"/>
      <w14:ligatures w14:val="none"/>
    </w:rPr>
  </w:style>
  <w:style w:type="table" w:styleId="TableGrid">
    <w:name w:val="Table Grid"/>
    <w:basedOn w:val="TableNormal"/>
    <w:uiPriority w:val="39"/>
    <w:rsid w:val="00C443D6"/>
    <w:pPr>
      <w:autoSpaceDN w:val="0"/>
      <w:spacing w:after="0" w:line="240" w:lineRule="auto"/>
      <w:textAlignment w:val="baseline"/>
    </w:pPr>
    <w:rPr>
      <w:rFonts w:ascii="Calibri" w:hAnsi="Calibri" w:eastAsia="Calibri" w:cs="Times New Roman"/>
      <w:kern w:val="0"/>
      <w14:ligatures w14:val="none"/>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xcontentpasted0" w:customStyle="1">
    <w:name w:val="x_contentpasted0"/>
    <w:basedOn w:val="DefaultParagraphFont"/>
    <w:rsid w:val="00C443D6"/>
  </w:style>
  <w:style w:type="paragraph" w:styleId="Default" w:customStyle="1">
    <w:name w:val="Default"/>
    <w:rsid w:val="00C443D6"/>
    <w:pPr>
      <w:autoSpaceDE w:val="0"/>
      <w:autoSpaceDN w:val="0"/>
      <w:adjustRightInd w:val="0"/>
      <w:spacing w:after="0" w:line="240" w:lineRule="auto"/>
    </w:pPr>
    <w:rPr>
      <w:rFonts w:ascii="Verdana" w:hAnsi="Verdana" w:cs="Verdana"/>
      <w:color w:val="000000"/>
      <w:kern w:val="0"/>
      <w:sz w:val="24"/>
      <w:szCs w:val="24"/>
      <w14:ligatures w14:val="none"/>
    </w:rPr>
  </w:style>
  <w:style w:type="paragraph" w:styleId="Quote">
    <w:name w:val="Quote"/>
    <w:basedOn w:val="Normal"/>
    <w:next w:val="Normal"/>
    <w:link w:val="QuoteChar"/>
    <w:uiPriority w:val="29"/>
    <w:qFormat/>
    <w:rsid w:val="00C443D6"/>
    <w:pPr>
      <w:spacing w:after="0" w:line="240" w:lineRule="auto"/>
      <w:ind w:left="862" w:right="862"/>
      <w:jc w:val="both"/>
    </w:pPr>
    <w:rPr>
      <w:rFonts w:ascii="Arial" w:hAnsi="Arial"/>
      <w:i/>
      <w:iCs/>
      <w:color w:val="404040" w:themeColor="text1" w:themeTint="BF"/>
      <w:kern w:val="0"/>
      <w:sz w:val="16"/>
      <w14:ligatures w14:val="none"/>
    </w:rPr>
  </w:style>
  <w:style w:type="character" w:styleId="QuoteChar" w:customStyle="1">
    <w:name w:val="Quote Char"/>
    <w:basedOn w:val="DefaultParagraphFont"/>
    <w:link w:val="Quote"/>
    <w:uiPriority w:val="29"/>
    <w:rsid w:val="00C443D6"/>
    <w:rPr>
      <w:rFonts w:ascii="Arial" w:hAnsi="Arial"/>
      <w:i/>
      <w:iCs/>
      <w:color w:val="404040" w:themeColor="text1" w:themeTint="BF"/>
      <w:kern w:val="0"/>
      <w:sz w:val="16"/>
      <w14:ligatures w14:val="none"/>
    </w:rPr>
  </w:style>
  <w:style w:type="paragraph" w:styleId="IntenseQuote">
    <w:name w:val="Intense Quote"/>
    <w:basedOn w:val="Normal"/>
    <w:next w:val="Normal"/>
    <w:link w:val="IntenseQuoteChar"/>
    <w:uiPriority w:val="30"/>
    <w:qFormat/>
    <w:rsid w:val="00C443D6"/>
    <w:pPr>
      <w:pBdr>
        <w:top w:val="single" w:color="4472C4" w:themeColor="accent1" w:sz="4" w:space="10"/>
        <w:bottom w:val="single" w:color="4472C4" w:themeColor="accent1" w:sz="4" w:space="10"/>
      </w:pBdr>
      <w:spacing w:before="360" w:after="360" w:line="240" w:lineRule="auto"/>
      <w:ind w:left="864" w:right="864"/>
      <w:jc w:val="center"/>
    </w:pPr>
    <w:rPr>
      <w:rFonts w:ascii="Arial" w:hAnsi="Arial"/>
      <w:i/>
      <w:iCs/>
      <w:color w:val="4472C4" w:themeColor="accent1"/>
      <w:kern w:val="0"/>
      <w:sz w:val="24"/>
      <w14:ligatures w14:val="none"/>
    </w:rPr>
  </w:style>
  <w:style w:type="character" w:styleId="IntenseQuoteChar" w:customStyle="1">
    <w:name w:val="Intense Quote Char"/>
    <w:basedOn w:val="DefaultParagraphFont"/>
    <w:link w:val="IntenseQuote"/>
    <w:uiPriority w:val="30"/>
    <w:rsid w:val="00C443D6"/>
    <w:rPr>
      <w:rFonts w:ascii="Arial" w:hAnsi="Arial"/>
      <w:i/>
      <w:iCs/>
      <w:color w:val="4472C4" w:themeColor="accent1"/>
      <w:kern w:val="0"/>
      <w:sz w:val="24"/>
      <w14:ligatures w14:val="none"/>
    </w:rPr>
  </w:style>
  <w:style w:type="character" w:styleId="SubtleReference">
    <w:name w:val="Subtle Reference"/>
    <w:basedOn w:val="DefaultParagraphFont"/>
    <w:uiPriority w:val="31"/>
    <w:qFormat/>
    <w:rsid w:val="00C443D6"/>
    <w:rPr>
      <w:smallCaps/>
      <w:color w:val="5A5A5A" w:themeColor="text1" w:themeTint="A5"/>
    </w:rPr>
  </w:style>
  <w:style w:type="character" w:styleId="IntenseReference">
    <w:name w:val="Intense Reference"/>
    <w:basedOn w:val="DefaultParagraphFont"/>
    <w:uiPriority w:val="32"/>
    <w:qFormat/>
    <w:rsid w:val="00C443D6"/>
    <w:rPr>
      <w:b/>
      <w:bCs/>
      <w:smallCaps/>
      <w:color w:val="4472C4" w:themeColor="accent1"/>
      <w:spacing w:val="5"/>
    </w:rPr>
  </w:style>
  <w:style w:type="character" w:styleId="BodyTextChar" w:customStyle="1">
    <w:name w:val="Body Text Char"/>
    <w:basedOn w:val="DefaultParagraphFont"/>
    <w:link w:val="BodyText"/>
    <w:qFormat/>
    <w:rsid w:val="00C443D6"/>
    <w:rPr>
      <w:rFonts w:ascii="Arial" w:hAnsi="Arial" w:eastAsia="Times New Roman" w:cs="Times New Roman"/>
      <w:sz w:val="24"/>
      <w:szCs w:val="20"/>
      <w:lang w:val="es-ES_tradnl" w:eastAsia="es-ES"/>
    </w:rPr>
  </w:style>
  <w:style w:type="paragraph" w:styleId="BodyText">
    <w:name w:val="Body Text"/>
    <w:basedOn w:val="Normal"/>
    <w:link w:val="BodyTextChar"/>
    <w:rsid w:val="00C443D6"/>
    <w:pPr>
      <w:suppressAutoHyphens/>
      <w:spacing w:after="0" w:line="240" w:lineRule="auto"/>
      <w:jc w:val="both"/>
    </w:pPr>
    <w:rPr>
      <w:rFonts w:ascii="Arial" w:hAnsi="Arial" w:eastAsia="Times New Roman" w:cs="Times New Roman"/>
      <w:sz w:val="24"/>
      <w:szCs w:val="20"/>
      <w:lang w:val="es-ES_tradnl" w:eastAsia="es-ES"/>
    </w:rPr>
  </w:style>
  <w:style w:type="character" w:styleId="TextoindependienteCar1" w:customStyle="1">
    <w:name w:val="Texto independiente Car1"/>
    <w:basedOn w:val="DefaultParagraphFont"/>
    <w:uiPriority w:val="99"/>
    <w:semiHidden/>
    <w:rsid w:val="00C443D6"/>
  </w:style>
  <w:style w:type="paragraph" w:styleId="EndnoteText">
    <w:name w:val="endnote text"/>
    <w:basedOn w:val="Normal"/>
    <w:link w:val="EndnoteTextChar"/>
    <w:uiPriority w:val="99"/>
    <w:unhideWhenUsed/>
    <w:rsid w:val="00C443D6"/>
    <w:pPr>
      <w:suppressAutoHyphens/>
      <w:spacing w:after="0" w:line="240" w:lineRule="auto"/>
    </w:pPr>
    <w:rPr>
      <w:kern w:val="0"/>
      <w:sz w:val="20"/>
      <w:szCs w:val="20"/>
      <w14:ligatures w14:val="none"/>
    </w:rPr>
  </w:style>
  <w:style w:type="character" w:styleId="EndnoteTextChar" w:customStyle="1">
    <w:name w:val="Endnote Text Char"/>
    <w:basedOn w:val="DefaultParagraphFont"/>
    <w:link w:val="EndnoteText"/>
    <w:uiPriority w:val="99"/>
    <w:rsid w:val="00C443D6"/>
    <w:rPr>
      <w:kern w:val="0"/>
      <w:sz w:val="20"/>
      <w:szCs w:val="20"/>
      <w14:ligatures w14:val="none"/>
    </w:rPr>
  </w:style>
  <w:style w:type="character" w:styleId="EndnoteReference">
    <w:name w:val="endnote reference"/>
    <w:basedOn w:val="DefaultParagraphFont"/>
    <w:uiPriority w:val="99"/>
    <w:semiHidden/>
    <w:unhideWhenUsed/>
    <w:rsid w:val="00C443D6"/>
    <w:rPr>
      <w:vertAlign w:val="superscript"/>
    </w:rPr>
  </w:style>
  <w:style w:type="paragraph" w:styleId="rtejustify" w:customStyle="1">
    <w:name w:val="rtejustify"/>
    <w:basedOn w:val="Normal"/>
    <w:rsid w:val="00C443D6"/>
    <w:pPr>
      <w:spacing w:before="100" w:beforeAutospacing="1" w:after="100" w:afterAutospacing="1" w:line="240" w:lineRule="auto"/>
    </w:pPr>
    <w:rPr>
      <w:rFonts w:ascii="Times New Roman" w:hAnsi="Times New Roman" w:eastAsia="Times New Roman" w:cs="Times New Roman"/>
      <w:kern w:val="0"/>
      <w:sz w:val="24"/>
      <w:szCs w:val="24"/>
      <w:lang w:eastAsia="es-CO"/>
      <w14:ligatures w14:val="none"/>
    </w:rPr>
  </w:style>
  <w:style w:type="paragraph" w:styleId="VT3" w:customStyle="1">
    <w:name w:val="VT3"/>
    <w:basedOn w:val="Normal"/>
    <w:link w:val="VT3Car"/>
    <w:qFormat/>
    <w:rsid w:val="00C443D6"/>
    <w:pPr>
      <w:keepNext/>
      <w:keepLines/>
      <w:spacing w:after="0" w:line="240" w:lineRule="auto"/>
      <w:outlineLvl w:val="0"/>
    </w:pPr>
    <w:rPr>
      <w:rFonts w:ascii="Arial" w:hAnsi="Arial" w:eastAsia="Arial" w:cs="Arial"/>
      <w:b/>
      <w:noProof/>
      <w:kern w:val="0"/>
      <w:sz w:val="24"/>
      <w:lang w:val="es-ES" w:eastAsia="es-CO"/>
      <w14:ligatures w14:val="none"/>
    </w:rPr>
  </w:style>
  <w:style w:type="paragraph" w:styleId="VT4" w:customStyle="1">
    <w:name w:val="VT4"/>
    <w:basedOn w:val="VT3"/>
    <w:link w:val="VT4Car"/>
    <w:qFormat/>
    <w:rsid w:val="00C443D6"/>
    <w:rPr>
      <w:i/>
    </w:rPr>
  </w:style>
  <w:style w:type="character" w:styleId="VT3Car" w:customStyle="1">
    <w:name w:val="VT3 Car"/>
    <w:basedOn w:val="DefaultParagraphFont"/>
    <w:link w:val="VT3"/>
    <w:rsid w:val="00C443D6"/>
    <w:rPr>
      <w:rFonts w:ascii="Arial" w:hAnsi="Arial" w:eastAsia="Arial" w:cs="Arial"/>
      <w:b/>
      <w:noProof/>
      <w:kern w:val="0"/>
      <w:sz w:val="24"/>
      <w:lang w:val="es-ES" w:eastAsia="es-CO"/>
      <w14:ligatures w14:val="none"/>
    </w:rPr>
  </w:style>
  <w:style w:type="character" w:styleId="VT4Car" w:customStyle="1">
    <w:name w:val="VT4 Car"/>
    <w:basedOn w:val="VT3Car"/>
    <w:link w:val="VT4"/>
    <w:rsid w:val="00C443D6"/>
    <w:rPr>
      <w:rFonts w:ascii="Arial" w:hAnsi="Arial" w:eastAsia="Arial" w:cs="Arial"/>
      <w:b/>
      <w:i/>
      <w:noProof/>
      <w:kern w:val="0"/>
      <w:sz w:val="24"/>
      <w:lang w:val="es-ES" w:eastAsia="es-CO"/>
      <w14:ligatures w14:val="none"/>
    </w:rPr>
  </w:style>
  <w:style w:type="character" w:styleId="wacimageborder" w:customStyle="1">
    <w:name w:val="wacimageborder"/>
    <w:basedOn w:val="DefaultParagraphFont"/>
    <w:rsid w:val="00C443D6"/>
  </w:style>
  <w:style w:type="character" w:styleId="linebreakblob" w:customStyle="1">
    <w:name w:val="linebreakblob"/>
    <w:basedOn w:val="DefaultParagraphFont"/>
    <w:rsid w:val="00C443D6"/>
  </w:style>
  <w:style w:type="character" w:styleId="scxw163910820" w:customStyle="1">
    <w:name w:val="scxw163910820"/>
    <w:basedOn w:val="DefaultParagraphFont"/>
    <w:rsid w:val="00C443D6"/>
  </w:style>
  <w:style w:type="table" w:styleId="GridTable1Light-Accent3">
    <w:name w:val="Grid Table 1 Light Accent 3"/>
    <w:basedOn w:val="TableNormal"/>
    <w:uiPriority w:val="46"/>
    <w:rsid w:val="00C443D6"/>
    <w:pPr>
      <w:spacing w:after="0" w:line="240" w:lineRule="auto"/>
    </w:pPr>
    <w:rPr>
      <w:kern w:val="0"/>
      <w14:ligatures w14:val="none"/>
    </w:rPr>
    <w:tblPr>
      <w:tblStyleRowBandSize w:val="1"/>
      <w:tblStyleColBandSize w:val="1"/>
      <w:tblBorders>
        <w:top w:val="single" w:color="DBDBDB" w:themeColor="accent3" w:themeTint="66" w:sz="4" w:space="0"/>
        <w:left w:val="single" w:color="DBDBDB" w:themeColor="accent3" w:themeTint="66" w:sz="4" w:space="0"/>
        <w:bottom w:val="single" w:color="DBDBDB" w:themeColor="accent3" w:themeTint="66" w:sz="4" w:space="0"/>
        <w:right w:val="single" w:color="DBDBDB" w:themeColor="accent3" w:themeTint="66" w:sz="4" w:space="0"/>
        <w:insideH w:val="single" w:color="DBDBDB" w:themeColor="accent3" w:themeTint="66" w:sz="4" w:space="0"/>
        <w:insideV w:val="single" w:color="DBDBDB" w:themeColor="accent3" w:themeTint="66" w:sz="4" w:space="0"/>
      </w:tblBorders>
    </w:tblPr>
    <w:tblStylePr w:type="firstRow">
      <w:rPr>
        <w:b/>
        <w:bCs/>
      </w:rPr>
      <w:tblPr/>
      <w:tcPr>
        <w:tcBorders>
          <w:bottom w:val="single" w:color="C9C9C9" w:themeColor="accent3" w:themeTint="99" w:sz="12" w:space="0"/>
        </w:tcBorders>
      </w:tcPr>
    </w:tblStylePr>
    <w:tblStylePr w:type="lastRow">
      <w:rPr>
        <w:b/>
        <w:bCs/>
      </w:rPr>
      <w:tblPr/>
      <w:tcPr>
        <w:tcBorders>
          <w:top w:val="double" w:color="C9C9C9" w:themeColor="accent3" w:themeTint="99" w:sz="2" w:space="0"/>
        </w:tcBorders>
      </w:tcPr>
    </w:tblStylePr>
    <w:tblStylePr w:type="firstCol">
      <w:rPr>
        <w:b/>
        <w:bCs/>
      </w:rPr>
    </w:tblStylePr>
    <w:tblStylePr w:type="lastCol">
      <w:rPr>
        <w:b/>
        <w:bCs/>
      </w:rPr>
    </w:tblStylePr>
  </w:style>
  <w:style w:type="character" w:styleId="Strong">
    <w:name w:val="Strong"/>
    <w:basedOn w:val="DefaultParagraphFont"/>
    <w:qFormat/>
    <w:rsid w:val="00C443D6"/>
    <w:rPr>
      <w:b/>
      <w:bCs/>
    </w:rPr>
  </w:style>
  <w:style w:type="table" w:styleId="PlainTable1">
    <w:name w:val="Plain Table 1"/>
    <w:basedOn w:val="TableNormal"/>
    <w:uiPriority w:val="41"/>
    <w:rsid w:val="00C443D6"/>
    <w:pPr>
      <w:spacing w:after="0" w:line="240" w:lineRule="auto"/>
    </w:pPr>
    <w:rPr>
      <w:kern w:val="0"/>
      <w14:ligatures w14:val="none"/>
    </w:r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GridLight">
    <w:name w:val="Grid Table Light"/>
    <w:basedOn w:val="TableNormal"/>
    <w:uiPriority w:val="40"/>
    <w:rsid w:val="00C443D6"/>
    <w:pPr>
      <w:spacing w:after="0" w:line="240" w:lineRule="auto"/>
    </w:pPr>
    <w:rPr>
      <w:kern w:val="0"/>
      <w14:ligatures w14:val="none"/>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paragraph" w:styleId="TableParagraph" w:customStyle="1">
    <w:name w:val="Table Paragraph"/>
    <w:basedOn w:val="Normal"/>
    <w:uiPriority w:val="1"/>
    <w:qFormat/>
    <w:rsid w:val="00C443D6"/>
    <w:pPr>
      <w:widowControl w:val="0"/>
      <w:autoSpaceDE w:val="0"/>
      <w:autoSpaceDN w:val="0"/>
      <w:spacing w:after="0" w:line="240" w:lineRule="auto"/>
    </w:pPr>
    <w:rPr>
      <w:rFonts w:ascii="Arial MT" w:hAnsi="Arial MT" w:eastAsia="Arial MT" w:cs="Arial MT"/>
      <w:kern w:val="0"/>
      <w:lang w:val="es-ES"/>
      <w14:ligatures w14:val="none"/>
    </w:rPr>
  </w:style>
  <w:style w:type="table" w:styleId="NormalTable0" w:customStyle="1">
    <w:name w:val="Normal Table0"/>
    <w:uiPriority w:val="2"/>
    <w:semiHidden/>
    <w:unhideWhenUsed/>
    <w:qFormat/>
    <w:rsid w:val="00C443D6"/>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character" w:styleId="xxcontentpasted0" w:customStyle="1">
    <w:name w:val="x_x_contentpasted0"/>
    <w:basedOn w:val="DefaultParagraphFont"/>
    <w:rsid w:val="00C443D6"/>
  </w:style>
  <w:style w:type="paragraph" w:styleId="pf0" w:customStyle="1">
    <w:name w:val="pf0"/>
    <w:basedOn w:val="Normal"/>
    <w:rsid w:val="00C443D6"/>
    <w:pPr>
      <w:spacing w:before="100" w:beforeAutospacing="1" w:after="100" w:afterAutospacing="1" w:line="240" w:lineRule="auto"/>
    </w:pPr>
    <w:rPr>
      <w:rFonts w:ascii="Times New Roman" w:hAnsi="Times New Roman" w:eastAsia="Times New Roman" w:cs="Times New Roman"/>
      <w:kern w:val="0"/>
      <w:sz w:val="24"/>
      <w:szCs w:val="24"/>
      <w:lang w:eastAsia="es-CO"/>
      <w14:ligatures w14:val="none"/>
    </w:rPr>
  </w:style>
  <w:style w:type="character" w:styleId="cf01" w:customStyle="1">
    <w:name w:val="cf01"/>
    <w:basedOn w:val="DefaultParagraphFont"/>
    <w:rsid w:val="00C443D6"/>
    <w:rPr>
      <w:rFonts w:hint="default" w:ascii="Segoe UI" w:hAnsi="Segoe UI" w:cs="Segoe UI"/>
      <w:sz w:val="18"/>
      <w:szCs w:val="18"/>
    </w:rPr>
  </w:style>
  <w:style w:type="paragraph" w:styleId="Char2" w:customStyle="1">
    <w:name w:val="Char2"/>
    <w:basedOn w:val="Normal"/>
    <w:link w:val="FootnoteReference"/>
    <w:uiPriority w:val="99"/>
    <w:rsid w:val="00C443D6"/>
    <w:pPr>
      <w:spacing w:line="240" w:lineRule="exact"/>
      <w:jc w:val="both"/>
    </w:pPr>
    <w:rPr>
      <w:vertAlign w:val="superscript"/>
    </w:rPr>
  </w:style>
  <w:style w:type="table" w:styleId="GridTable1Light-Accent6">
    <w:name w:val="Grid Table 1 Light Accent 6"/>
    <w:basedOn w:val="TableNormal"/>
    <w:uiPriority w:val="46"/>
    <w:rsid w:val="00C443D6"/>
    <w:pPr>
      <w:spacing w:after="0" w:line="240" w:lineRule="auto"/>
    </w:pPr>
    <w:rPr>
      <w:kern w:val="0"/>
      <w14:ligatures w14:val="none"/>
    </w:rPr>
    <w:tblPr>
      <w:tblStyleRowBandSize w:val="1"/>
      <w:tblStyleColBandSize w:val="1"/>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blPr/>
      <w:tcPr>
        <w:tcBorders>
          <w:bottom w:val="single" w:color="A8D08D" w:themeColor="accent6" w:themeTint="99" w:sz="12" w:space="0"/>
        </w:tcBorders>
      </w:tcPr>
    </w:tblStylePr>
    <w:tblStylePr w:type="lastRow">
      <w:rPr>
        <w:b/>
        <w:bCs/>
      </w:rPr>
      <w:tblPr/>
      <w:tcPr>
        <w:tcBorders>
          <w:top w:val="double" w:color="A8D08D" w:themeColor="accent6" w:themeTint="99" w:sz="2" w:space="0"/>
        </w:tcBorders>
      </w:tcPr>
    </w:tblStylePr>
    <w:tblStylePr w:type="firstCol">
      <w:rPr>
        <w:b/>
        <w:bCs/>
      </w:rPr>
    </w:tblStylePr>
    <w:tblStylePr w:type="lastCol">
      <w:rPr>
        <w:b/>
        <w:bCs/>
      </w:rPr>
    </w:tblStylePr>
  </w:style>
  <w:style w:type="character" w:styleId="BookTitle">
    <w:name w:val="Book Title"/>
    <w:basedOn w:val="DefaultParagraphFont"/>
    <w:uiPriority w:val="33"/>
    <w:qFormat/>
    <w:rsid w:val="00C443D6"/>
    <w:rPr>
      <w:b/>
      <w:bCs/>
      <w:i/>
      <w:iCs/>
      <w:spacing w:val="5"/>
    </w:rPr>
  </w:style>
  <w:style w:type="table" w:styleId="GridTable1Light">
    <w:name w:val="Grid Table 1 Light"/>
    <w:basedOn w:val="TableNormal"/>
    <w:uiPriority w:val="46"/>
    <w:rsid w:val="005005DA"/>
    <w:pPr>
      <w:spacing w:after="0" w:line="240" w:lineRule="auto"/>
    </w:pPr>
    <w:tblPr>
      <w:tblStyleRowBandSize w:val="1"/>
      <w:tblStyleColBandSize w:val="1"/>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paragraph" w:styleId="Revision">
    <w:name w:val="Revision"/>
    <w:hidden/>
    <w:uiPriority w:val="99"/>
    <w:semiHidden/>
    <w:rsid w:val="00E6230A"/>
    <w:pPr>
      <w:spacing w:after="0" w:line="240" w:lineRule="auto"/>
    </w:pPr>
  </w:style>
  <w:style w:type="character" w:styleId="ui-provider" w:customStyle="1">
    <w:name w:val="ui-provider"/>
    <w:basedOn w:val="DefaultParagraphFont"/>
    <w:uiPriority w:val="1"/>
    <w:rsid w:val="12A80A2F"/>
  </w:style>
  <w:style w:type="character" w:styleId="Mention">
    <w:name w:val="Mention"/>
    <w:basedOn w:val="DefaultParagraphFont"/>
    <w:uiPriority w:val="99"/>
    <w:unhideWhenUsed/>
    <w:rPr>
      <w:color w:val="2B579A"/>
      <w:shd w:val="clear" w:color="auto" w:fill="E6E6E6"/>
    </w:rPr>
  </w:style>
  <w:style w:type="character" w:styleId="UnresolvedMention">
    <w:name w:val="Unresolved Mention"/>
    <w:basedOn w:val="DefaultParagraphFont"/>
    <w:uiPriority w:val="99"/>
    <w:semiHidden/>
    <w:unhideWhenUsed/>
    <w:rsid w:val="00E14D8C"/>
    <w:rPr>
      <w:color w:val="605E5C"/>
      <w:shd w:val="clear" w:color="auto" w:fill="E1DFDD"/>
    </w:rPr>
  </w:style>
  <w:style w:type="character" w:styleId="Emphasis">
    <w:name w:val="Emphasis"/>
    <w:basedOn w:val="DefaultParagraphFont"/>
    <w:rsid w:val="00601E25"/>
    <w:rPr>
      <w:i/>
      <w:iCs/>
    </w:rPr>
  </w:style>
  <w:style w:type="character" w:styleId="citation-67" w:customStyle="1">
    <w:name w:val="citation-67"/>
    <w:basedOn w:val="DefaultParagraphFont"/>
    <w:rsid w:val="0053053D"/>
  </w:style>
  <w:style w:type="character" w:styleId="citation-66" w:customStyle="1">
    <w:name w:val="citation-66"/>
    <w:basedOn w:val="DefaultParagraphFont"/>
    <w:rsid w:val="0053053D"/>
  </w:style>
  <w:style w:type="character" w:styleId="citation-65" w:customStyle="1">
    <w:name w:val="citation-65"/>
    <w:basedOn w:val="DefaultParagraphFont"/>
    <w:rsid w:val="0053053D"/>
  </w:style>
  <w:style w:type="paragraph" w:styleId="TOC4">
    <w:name w:val="toc 4"/>
    <w:basedOn w:val="Normal"/>
    <w:next w:val="Normal"/>
    <w:autoRedefine/>
    <w:uiPriority w:val="39"/>
    <w:unhideWhenUsed/>
    <w:rsid w:val="0076250F"/>
    <w:pPr>
      <w:spacing w:after="0"/>
      <w:ind w:left="660"/>
    </w:pPr>
    <w:rPr>
      <w:sz w:val="20"/>
      <w:szCs w:val="20"/>
    </w:rPr>
  </w:style>
  <w:style w:type="paragraph" w:styleId="TOC5">
    <w:name w:val="toc 5"/>
    <w:basedOn w:val="Normal"/>
    <w:next w:val="Normal"/>
    <w:autoRedefine/>
    <w:uiPriority w:val="39"/>
    <w:unhideWhenUsed/>
    <w:rsid w:val="0076250F"/>
    <w:pPr>
      <w:spacing w:after="0"/>
      <w:ind w:left="880"/>
    </w:pPr>
    <w:rPr>
      <w:sz w:val="20"/>
      <w:szCs w:val="20"/>
    </w:rPr>
  </w:style>
  <w:style w:type="paragraph" w:styleId="TOC6">
    <w:name w:val="toc 6"/>
    <w:basedOn w:val="Normal"/>
    <w:next w:val="Normal"/>
    <w:autoRedefine/>
    <w:uiPriority w:val="39"/>
    <w:unhideWhenUsed/>
    <w:rsid w:val="0076250F"/>
    <w:pPr>
      <w:spacing w:after="0"/>
      <w:ind w:left="1100"/>
    </w:pPr>
    <w:rPr>
      <w:sz w:val="20"/>
      <w:szCs w:val="20"/>
    </w:rPr>
  </w:style>
  <w:style w:type="paragraph" w:styleId="TOC7">
    <w:name w:val="toc 7"/>
    <w:basedOn w:val="Normal"/>
    <w:next w:val="Normal"/>
    <w:autoRedefine/>
    <w:uiPriority w:val="39"/>
    <w:unhideWhenUsed/>
    <w:rsid w:val="0076250F"/>
    <w:pPr>
      <w:spacing w:after="0"/>
      <w:ind w:left="1320"/>
    </w:pPr>
    <w:rPr>
      <w:sz w:val="20"/>
      <w:szCs w:val="20"/>
    </w:rPr>
  </w:style>
  <w:style w:type="paragraph" w:styleId="TOC8">
    <w:name w:val="toc 8"/>
    <w:basedOn w:val="Normal"/>
    <w:next w:val="Normal"/>
    <w:autoRedefine/>
    <w:uiPriority w:val="39"/>
    <w:unhideWhenUsed/>
    <w:rsid w:val="0076250F"/>
    <w:pPr>
      <w:spacing w:after="0"/>
      <w:ind w:left="1540"/>
    </w:pPr>
    <w:rPr>
      <w:sz w:val="20"/>
      <w:szCs w:val="20"/>
    </w:rPr>
  </w:style>
  <w:style w:type="paragraph" w:styleId="TOC9">
    <w:name w:val="toc 9"/>
    <w:basedOn w:val="Normal"/>
    <w:next w:val="Normal"/>
    <w:autoRedefine/>
    <w:uiPriority w:val="39"/>
    <w:unhideWhenUsed/>
    <w:rsid w:val="0076250F"/>
    <w:pPr>
      <w:spacing w:after="0"/>
      <w:ind w:left="1760"/>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86257">
      <w:bodyDiv w:val="1"/>
      <w:marLeft w:val="0"/>
      <w:marRight w:val="0"/>
      <w:marTop w:val="0"/>
      <w:marBottom w:val="0"/>
      <w:divBdr>
        <w:top w:val="none" w:sz="0" w:space="0" w:color="auto"/>
        <w:left w:val="none" w:sz="0" w:space="0" w:color="auto"/>
        <w:bottom w:val="none" w:sz="0" w:space="0" w:color="auto"/>
        <w:right w:val="none" w:sz="0" w:space="0" w:color="auto"/>
      </w:divBdr>
    </w:div>
    <w:div w:id="5980698">
      <w:bodyDiv w:val="1"/>
      <w:marLeft w:val="0"/>
      <w:marRight w:val="0"/>
      <w:marTop w:val="0"/>
      <w:marBottom w:val="0"/>
      <w:divBdr>
        <w:top w:val="none" w:sz="0" w:space="0" w:color="auto"/>
        <w:left w:val="none" w:sz="0" w:space="0" w:color="auto"/>
        <w:bottom w:val="none" w:sz="0" w:space="0" w:color="auto"/>
        <w:right w:val="none" w:sz="0" w:space="0" w:color="auto"/>
      </w:divBdr>
    </w:div>
    <w:div w:id="7800332">
      <w:bodyDiv w:val="1"/>
      <w:marLeft w:val="0"/>
      <w:marRight w:val="0"/>
      <w:marTop w:val="0"/>
      <w:marBottom w:val="0"/>
      <w:divBdr>
        <w:top w:val="none" w:sz="0" w:space="0" w:color="auto"/>
        <w:left w:val="none" w:sz="0" w:space="0" w:color="auto"/>
        <w:bottom w:val="none" w:sz="0" w:space="0" w:color="auto"/>
        <w:right w:val="none" w:sz="0" w:space="0" w:color="auto"/>
      </w:divBdr>
    </w:div>
    <w:div w:id="9378935">
      <w:bodyDiv w:val="1"/>
      <w:marLeft w:val="0"/>
      <w:marRight w:val="0"/>
      <w:marTop w:val="0"/>
      <w:marBottom w:val="0"/>
      <w:divBdr>
        <w:top w:val="none" w:sz="0" w:space="0" w:color="auto"/>
        <w:left w:val="none" w:sz="0" w:space="0" w:color="auto"/>
        <w:bottom w:val="none" w:sz="0" w:space="0" w:color="auto"/>
        <w:right w:val="none" w:sz="0" w:space="0" w:color="auto"/>
      </w:divBdr>
    </w:div>
    <w:div w:id="11152973">
      <w:bodyDiv w:val="1"/>
      <w:marLeft w:val="0"/>
      <w:marRight w:val="0"/>
      <w:marTop w:val="0"/>
      <w:marBottom w:val="0"/>
      <w:divBdr>
        <w:top w:val="none" w:sz="0" w:space="0" w:color="auto"/>
        <w:left w:val="none" w:sz="0" w:space="0" w:color="auto"/>
        <w:bottom w:val="none" w:sz="0" w:space="0" w:color="auto"/>
        <w:right w:val="none" w:sz="0" w:space="0" w:color="auto"/>
      </w:divBdr>
    </w:div>
    <w:div w:id="13070199">
      <w:bodyDiv w:val="1"/>
      <w:marLeft w:val="0"/>
      <w:marRight w:val="0"/>
      <w:marTop w:val="0"/>
      <w:marBottom w:val="0"/>
      <w:divBdr>
        <w:top w:val="none" w:sz="0" w:space="0" w:color="auto"/>
        <w:left w:val="none" w:sz="0" w:space="0" w:color="auto"/>
        <w:bottom w:val="none" w:sz="0" w:space="0" w:color="auto"/>
        <w:right w:val="none" w:sz="0" w:space="0" w:color="auto"/>
      </w:divBdr>
    </w:div>
    <w:div w:id="16931893">
      <w:bodyDiv w:val="1"/>
      <w:marLeft w:val="0"/>
      <w:marRight w:val="0"/>
      <w:marTop w:val="0"/>
      <w:marBottom w:val="0"/>
      <w:divBdr>
        <w:top w:val="none" w:sz="0" w:space="0" w:color="auto"/>
        <w:left w:val="none" w:sz="0" w:space="0" w:color="auto"/>
        <w:bottom w:val="none" w:sz="0" w:space="0" w:color="auto"/>
        <w:right w:val="none" w:sz="0" w:space="0" w:color="auto"/>
      </w:divBdr>
    </w:div>
    <w:div w:id="20595887">
      <w:bodyDiv w:val="1"/>
      <w:marLeft w:val="0"/>
      <w:marRight w:val="0"/>
      <w:marTop w:val="0"/>
      <w:marBottom w:val="0"/>
      <w:divBdr>
        <w:top w:val="none" w:sz="0" w:space="0" w:color="auto"/>
        <w:left w:val="none" w:sz="0" w:space="0" w:color="auto"/>
        <w:bottom w:val="none" w:sz="0" w:space="0" w:color="auto"/>
        <w:right w:val="none" w:sz="0" w:space="0" w:color="auto"/>
      </w:divBdr>
    </w:div>
    <w:div w:id="21395473">
      <w:bodyDiv w:val="1"/>
      <w:marLeft w:val="0"/>
      <w:marRight w:val="0"/>
      <w:marTop w:val="0"/>
      <w:marBottom w:val="0"/>
      <w:divBdr>
        <w:top w:val="none" w:sz="0" w:space="0" w:color="auto"/>
        <w:left w:val="none" w:sz="0" w:space="0" w:color="auto"/>
        <w:bottom w:val="none" w:sz="0" w:space="0" w:color="auto"/>
        <w:right w:val="none" w:sz="0" w:space="0" w:color="auto"/>
      </w:divBdr>
    </w:div>
    <w:div w:id="29496793">
      <w:bodyDiv w:val="1"/>
      <w:marLeft w:val="0"/>
      <w:marRight w:val="0"/>
      <w:marTop w:val="0"/>
      <w:marBottom w:val="0"/>
      <w:divBdr>
        <w:top w:val="none" w:sz="0" w:space="0" w:color="auto"/>
        <w:left w:val="none" w:sz="0" w:space="0" w:color="auto"/>
        <w:bottom w:val="none" w:sz="0" w:space="0" w:color="auto"/>
        <w:right w:val="none" w:sz="0" w:space="0" w:color="auto"/>
      </w:divBdr>
    </w:div>
    <w:div w:id="30228383">
      <w:bodyDiv w:val="1"/>
      <w:marLeft w:val="0"/>
      <w:marRight w:val="0"/>
      <w:marTop w:val="0"/>
      <w:marBottom w:val="0"/>
      <w:divBdr>
        <w:top w:val="none" w:sz="0" w:space="0" w:color="auto"/>
        <w:left w:val="none" w:sz="0" w:space="0" w:color="auto"/>
        <w:bottom w:val="none" w:sz="0" w:space="0" w:color="auto"/>
        <w:right w:val="none" w:sz="0" w:space="0" w:color="auto"/>
      </w:divBdr>
    </w:div>
    <w:div w:id="30343961">
      <w:bodyDiv w:val="1"/>
      <w:marLeft w:val="0"/>
      <w:marRight w:val="0"/>
      <w:marTop w:val="0"/>
      <w:marBottom w:val="0"/>
      <w:divBdr>
        <w:top w:val="none" w:sz="0" w:space="0" w:color="auto"/>
        <w:left w:val="none" w:sz="0" w:space="0" w:color="auto"/>
        <w:bottom w:val="none" w:sz="0" w:space="0" w:color="auto"/>
        <w:right w:val="none" w:sz="0" w:space="0" w:color="auto"/>
      </w:divBdr>
      <w:divsChild>
        <w:div w:id="132722149">
          <w:marLeft w:val="0"/>
          <w:marRight w:val="0"/>
          <w:marTop w:val="0"/>
          <w:marBottom w:val="0"/>
          <w:divBdr>
            <w:top w:val="none" w:sz="0" w:space="0" w:color="auto"/>
            <w:left w:val="none" w:sz="0" w:space="0" w:color="auto"/>
            <w:bottom w:val="none" w:sz="0" w:space="0" w:color="auto"/>
            <w:right w:val="none" w:sz="0" w:space="0" w:color="auto"/>
          </w:divBdr>
        </w:div>
        <w:div w:id="140315408">
          <w:marLeft w:val="0"/>
          <w:marRight w:val="0"/>
          <w:marTop w:val="0"/>
          <w:marBottom w:val="0"/>
          <w:divBdr>
            <w:top w:val="none" w:sz="0" w:space="0" w:color="auto"/>
            <w:left w:val="none" w:sz="0" w:space="0" w:color="auto"/>
            <w:bottom w:val="none" w:sz="0" w:space="0" w:color="auto"/>
            <w:right w:val="none" w:sz="0" w:space="0" w:color="auto"/>
          </w:divBdr>
        </w:div>
        <w:div w:id="231283279">
          <w:marLeft w:val="0"/>
          <w:marRight w:val="0"/>
          <w:marTop w:val="0"/>
          <w:marBottom w:val="0"/>
          <w:divBdr>
            <w:top w:val="none" w:sz="0" w:space="0" w:color="auto"/>
            <w:left w:val="none" w:sz="0" w:space="0" w:color="auto"/>
            <w:bottom w:val="none" w:sz="0" w:space="0" w:color="auto"/>
            <w:right w:val="none" w:sz="0" w:space="0" w:color="auto"/>
          </w:divBdr>
        </w:div>
        <w:div w:id="555362393">
          <w:marLeft w:val="0"/>
          <w:marRight w:val="0"/>
          <w:marTop w:val="0"/>
          <w:marBottom w:val="0"/>
          <w:divBdr>
            <w:top w:val="none" w:sz="0" w:space="0" w:color="auto"/>
            <w:left w:val="none" w:sz="0" w:space="0" w:color="auto"/>
            <w:bottom w:val="none" w:sz="0" w:space="0" w:color="auto"/>
            <w:right w:val="none" w:sz="0" w:space="0" w:color="auto"/>
          </w:divBdr>
        </w:div>
        <w:div w:id="631643406">
          <w:marLeft w:val="0"/>
          <w:marRight w:val="0"/>
          <w:marTop w:val="0"/>
          <w:marBottom w:val="0"/>
          <w:divBdr>
            <w:top w:val="none" w:sz="0" w:space="0" w:color="auto"/>
            <w:left w:val="none" w:sz="0" w:space="0" w:color="auto"/>
            <w:bottom w:val="none" w:sz="0" w:space="0" w:color="auto"/>
            <w:right w:val="none" w:sz="0" w:space="0" w:color="auto"/>
          </w:divBdr>
        </w:div>
        <w:div w:id="804153127">
          <w:marLeft w:val="0"/>
          <w:marRight w:val="0"/>
          <w:marTop w:val="0"/>
          <w:marBottom w:val="0"/>
          <w:divBdr>
            <w:top w:val="none" w:sz="0" w:space="0" w:color="auto"/>
            <w:left w:val="none" w:sz="0" w:space="0" w:color="auto"/>
            <w:bottom w:val="none" w:sz="0" w:space="0" w:color="auto"/>
            <w:right w:val="none" w:sz="0" w:space="0" w:color="auto"/>
          </w:divBdr>
        </w:div>
        <w:div w:id="859899270">
          <w:marLeft w:val="0"/>
          <w:marRight w:val="0"/>
          <w:marTop w:val="0"/>
          <w:marBottom w:val="0"/>
          <w:divBdr>
            <w:top w:val="none" w:sz="0" w:space="0" w:color="auto"/>
            <w:left w:val="none" w:sz="0" w:space="0" w:color="auto"/>
            <w:bottom w:val="none" w:sz="0" w:space="0" w:color="auto"/>
            <w:right w:val="none" w:sz="0" w:space="0" w:color="auto"/>
          </w:divBdr>
        </w:div>
        <w:div w:id="876697023">
          <w:marLeft w:val="0"/>
          <w:marRight w:val="0"/>
          <w:marTop w:val="0"/>
          <w:marBottom w:val="0"/>
          <w:divBdr>
            <w:top w:val="none" w:sz="0" w:space="0" w:color="auto"/>
            <w:left w:val="none" w:sz="0" w:space="0" w:color="auto"/>
            <w:bottom w:val="none" w:sz="0" w:space="0" w:color="auto"/>
            <w:right w:val="none" w:sz="0" w:space="0" w:color="auto"/>
          </w:divBdr>
        </w:div>
        <w:div w:id="980039230">
          <w:marLeft w:val="0"/>
          <w:marRight w:val="0"/>
          <w:marTop w:val="0"/>
          <w:marBottom w:val="0"/>
          <w:divBdr>
            <w:top w:val="none" w:sz="0" w:space="0" w:color="auto"/>
            <w:left w:val="none" w:sz="0" w:space="0" w:color="auto"/>
            <w:bottom w:val="none" w:sz="0" w:space="0" w:color="auto"/>
            <w:right w:val="none" w:sz="0" w:space="0" w:color="auto"/>
          </w:divBdr>
        </w:div>
        <w:div w:id="1100761776">
          <w:marLeft w:val="0"/>
          <w:marRight w:val="0"/>
          <w:marTop w:val="0"/>
          <w:marBottom w:val="0"/>
          <w:divBdr>
            <w:top w:val="none" w:sz="0" w:space="0" w:color="auto"/>
            <w:left w:val="none" w:sz="0" w:space="0" w:color="auto"/>
            <w:bottom w:val="none" w:sz="0" w:space="0" w:color="auto"/>
            <w:right w:val="none" w:sz="0" w:space="0" w:color="auto"/>
          </w:divBdr>
        </w:div>
        <w:div w:id="1330599347">
          <w:marLeft w:val="0"/>
          <w:marRight w:val="0"/>
          <w:marTop w:val="0"/>
          <w:marBottom w:val="0"/>
          <w:divBdr>
            <w:top w:val="none" w:sz="0" w:space="0" w:color="auto"/>
            <w:left w:val="none" w:sz="0" w:space="0" w:color="auto"/>
            <w:bottom w:val="none" w:sz="0" w:space="0" w:color="auto"/>
            <w:right w:val="none" w:sz="0" w:space="0" w:color="auto"/>
          </w:divBdr>
        </w:div>
        <w:div w:id="1459882746">
          <w:marLeft w:val="0"/>
          <w:marRight w:val="0"/>
          <w:marTop w:val="0"/>
          <w:marBottom w:val="0"/>
          <w:divBdr>
            <w:top w:val="none" w:sz="0" w:space="0" w:color="auto"/>
            <w:left w:val="none" w:sz="0" w:space="0" w:color="auto"/>
            <w:bottom w:val="none" w:sz="0" w:space="0" w:color="auto"/>
            <w:right w:val="none" w:sz="0" w:space="0" w:color="auto"/>
          </w:divBdr>
        </w:div>
        <w:div w:id="1506439169">
          <w:marLeft w:val="0"/>
          <w:marRight w:val="0"/>
          <w:marTop w:val="0"/>
          <w:marBottom w:val="0"/>
          <w:divBdr>
            <w:top w:val="none" w:sz="0" w:space="0" w:color="auto"/>
            <w:left w:val="none" w:sz="0" w:space="0" w:color="auto"/>
            <w:bottom w:val="none" w:sz="0" w:space="0" w:color="auto"/>
            <w:right w:val="none" w:sz="0" w:space="0" w:color="auto"/>
          </w:divBdr>
        </w:div>
        <w:div w:id="1703167268">
          <w:marLeft w:val="0"/>
          <w:marRight w:val="0"/>
          <w:marTop w:val="0"/>
          <w:marBottom w:val="0"/>
          <w:divBdr>
            <w:top w:val="none" w:sz="0" w:space="0" w:color="auto"/>
            <w:left w:val="none" w:sz="0" w:space="0" w:color="auto"/>
            <w:bottom w:val="none" w:sz="0" w:space="0" w:color="auto"/>
            <w:right w:val="none" w:sz="0" w:space="0" w:color="auto"/>
          </w:divBdr>
        </w:div>
        <w:div w:id="1709334947">
          <w:marLeft w:val="0"/>
          <w:marRight w:val="0"/>
          <w:marTop w:val="0"/>
          <w:marBottom w:val="0"/>
          <w:divBdr>
            <w:top w:val="none" w:sz="0" w:space="0" w:color="auto"/>
            <w:left w:val="none" w:sz="0" w:space="0" w:color="auto"/>
            <w:bottom w:val="none" w:sz="0" w:space="0" w:color="auto"/>
            <w:right w:val="none" w:sz="0" w:space="0" w:color="auto"/>
          </w:divBdr>
        </w:div>
        <w:div w:id="1745642992">
          <w:marLeft w:val="0"/>
          <w:marRight w:val="0"/>
          <w:marTop w:val="0"/>
          <w:marBottom w:val="0"/>
          <w:divBdr>
            <w:top w:val="none" w:sz="0" w:space="0" w:color="auto"/>
            <w:left w:val="none" w:sz="0" w:space="0" w:color="auto"/>
            <w:bottom w:val="none" w:sz="0" w:space="0" w:color="auto"/>
            <w:right w:val="none" w:sz="0" w:space="0" w:color="auto"/>
          </w:divBdr>
        </w:div>
        <w:div w:id="1752198722">
          <w:marLeft w:val="0"/>
          <w:marRight w:val="0"/>
          <w:marTop w:val="0"/>
          <w:marBottom w:val="0"/>
          <w:divBdr>
            <w:top w:val="none" w:sz="0" w:space="0" w:color="auto"/>
            <w:left w:val="none" w:sz="0" w:space="0" w:color="auto"/>
            <w:bottom w:val="none" w:sz="0" w:space="0" w:color="auto"/>
            <w:right w:val="none" w:sz="0" w:space="0" w:color="auto"/>
          </w:divBdr>
        </w:div>
        <w:div w:id="1753231682">
          <w:marLeft w:val="0"/>
          <w:marRight w:val="0"/>
          <w:marTop w:val="0"/>
          <w:marBottom w:val="0"/>
          <w:divBdr>
            <w:top w:val="none" w:sz="0" w:space="0" w:color="auto"/>
            <w:left w:val="none" w:sz="0" w:space="0" w:color="auto"/>
            <w:bottom w:val="none" w:sz="0" w:space="0" w:color="auto"/>
            <w:right w:val="none" w:sz="0" w:space="0" w:color="auto"/>
          </w:divBdr>
        </w:div>
        <w:div w:id="2017999677">
          <w:marLeft w:val="0"/>
          <w:marRight w:val="0"/>
          <w:marTop w:val="0"/>
          <w:marBottom w:val="0"/>
          <w:divBdr>
            <w:top w:val="none" w:sz="0" w:space="0" w:color="auto"/>
            <w:left w:val="none" w:sz="0" w:space="0" w:color="auto"/>
            <w:bottom w:val="none" w:sz="0" w:space="0" w:color="auto"/>
            <w:right w:val="none" w:sz="0" w:space="0" w:color="auto"/>
          </w:divBdr>
        </w:div>
        <w:div w:id="2053384755">
          <w:marLeft w:val="0"/>
          <w:marRight w:val="0"/>
          <w:marTop w:val="0"/>
          <w:marBottom w:val="0"/>
          <w:divBdr>
            <w:top w:val="none" w:sz="0" w:space="0" w:color="auto"/>
            <w:left w:val="none" w:sz="0" w:space="0" w:color="auto"/>
            <w:bottom w:val="none" w:sz="0" w:space="0" w:color="auto"/>
            <w:right w:val="none" w:sz="0" w:space="0" w:color="auto"/>
          </w:divBdr>
        </w:div>
      </w:divsChild>
    </w:div>
    <w:div w:id="34425990">
      <w:bodyDiv w:val="1"/>
      <w:marLeft w:val="0"/>
      <w:marRight w:val="0"/>
      <w:marTop w:val="0"/>
      <w:marBottom w:val="0"/>
      <w:divBdr>
        <w:top w:val="none" w:sz="0" w:space="0" w:color="auto"/>
        <w:left w:val="none" w:sz="0" w:space="0" w:color="auto"/>
        <w:bottom w:val="none" w:sz="0" w:space="0" w:color="auto"/>
        <w:right w:val="none" w:sz="0" w:space="0" w:color="auto"/>
      </w:divBdr>
    </w:div>
    <w:div w:id="39792512">
      <w:bodyDiv w:val="1"/>
      <w:marLeft w:val="0"/>
      <w:marRight w:val="0"/>
      <w:marTop w:val="0"/>
      <w:marBottom w:val="0"/>
      <w:divBdr>
        <w:top w:val="none" w:sz="0" w:space="0" w:color="auto"/>
        <w:left w:val="none" w:sz="0" w:space="0" w:color="auto"/>
        <w:bottom w:val="none" w:sz="0" w:space="0" w:color="auto"/>
        <w:right w:val="none" w:sz="0" w:space="0" w:color="auto"/>
      </w:divBdr>
    </w:div>
    <w:div w:id="40515826">
      <w:bodyDiv w:val="1"/>
      <w:marLeft w:val="0"/>
      <w:marRight w:val="0"/>
      <w:marTop w:val="0"/>
      <w:marBottom w:val="0"/>
      <w:divBdr>
        <w:top w:val="none" w:sz="0" w:space="0" w:color="auto"/>
        <w:left w:val="none" w:sz="0" w:space="0" w:color="auto"/>
        <w:bottom w:val="none" w:sz="0" w:space="0" w:color="auto"/>
        <w:right w:val="none" w:sz="0" w:space="0" w:color="auto"/>
      </w:divBdr>
    </w:div>
    <w:div w:id="44837603">
      <w:bodyDiv w:val="1"/>
      <w:marLeft w:val="0"/>
      <w:marRight w:val="0"/>
      <w:marTop w:val="0"/>
      <w:marBottom w:val="0"/>
      <w:divBdr>
        <w:top w:val="none" w:sz="0" w:space="0" w:color="auto"/>
        <w:left w:val="none" w:sz="0" w:space="0" w:color="auto"/>
        <w:bottom w:val="none" w:sz="0" w:space="0" w:color="auto"/>
        <w:right w:val="none" w:sz="0" w:space="0" w:color="auto"/>
      </w:divBdr>
    </w:div>
    <w:div w:id="47145455">
      <w:bodyDiv w:val="1"/>
      <w:marLeft w:val="0"/>
      <w:marRight w:val="0"/>
      <w:marTop w:val="0"/>
      <w:marBottom w:val="0"/>
      <w:divBdr>
        <w:top w:val="none" w:sz="0" w:space="0" w:color="auto"/>
        <w:left w:val="none" w:sz="0" w:space="0" w:color="auto"/>
        <w:bottom w:val="none" w:sz="0" w:space="0" w:color="auto"/>
        <w:right w:val="none" w:sz="0" w:space="0" w:color="auto"/>
      </w:divBdr>
    </w:div>
    <w:div w:id="48960032">
      <w:bodyDiv w:val="1"/>
      <w:marLeft w:val="0"/>
      <w:marRight w:val="0"/>
      <w:marTop w:val="0"/>
      <w:marBottom w:val="0"/>
      <w:divBdr>
        <w:top w:val="none" w:sz="0" w:space="0" w:color="auto"/>
        <w:left w:val="none" w:sz="0" w:space="0" w:color="auto"/>
        <w:bottom w:val="none" w:sz="0" w:space="0" w:color="auto"/>
        <w:right w:val="none" w:sz="0" w:space="0" w:color="auto"/>
      </w:divBdr>
    </w:div>
    <w:div w:id="53940160">
      <w:bodyDiv w:val="1"/>
      <w:marLeft w:val="0"/>
      <w:marRight w:val="0"/>
      <w:marTop w:val="0"/>
      <w:marBottom w:val="0"/>
      <w:divBdr>
        <w:top w:val="none" w:sz="0" w:space="0" w:color="auto"/>
        <w:left w:val="none" w:sz="0" w:space="0" w:color="auto"/>
        <w:bottom w:val="none" w:sz="0" w:space="0" w:color="auto"/>
        <w:right w:val="none" w:sz="0" w:space="0" w:color="auto"/>
      </w:divBdr>
    </w:div>
    <w:div w:id="55981234">
      <w:bodyDiv w:val="1"/>
      <w:marLeft w:val="0"/>
      <w:marRight w:val="0"/>
      <w:marTop w:val="0"/>
      <w:marBottom w:val="0"/>
      <w:divBdr>
        <w:top w:val="none" w:sz="0" w:space="0" w:color="auto"/>
        <w:left w:val="none" w:sz="0" w:space="0" w:color="auto"/>
        <w:bottom w:val="none" w:sz="0" w:space="0" w:color="auto"/>
        <w:right w:val="none" w:sz="0" w:space="0" w:color="auto"/>
      </w:divBdr>
    </w:div>
    <w:div w:id="56900924">
      <w:bodyDiv w:val="1"/>
      <w:marLeft w:val="0"/>
      <w:marRight w:val="0"/>
      <w:marTop w:val="0"/>
      <w:marBottom w:val="0"/>
      <w:divBdr>
        <w:top w:val="none" w:sz="0" w:space="0" w:color="auto"/>
        <w:left w:val="none" w:sz="0" w:space="0" w:color="auto"/>
        <w:bottom w:val="none" w:sz="0" w:space="0" w:color="auto"/>
        <w:right w:val="none" w:sz="0" w:space="0" w:color="auto"/>
      </w:divBdr>
    </w:div>
    <w:div w:id="57096049">
      <w:bodyDiv w:val="1"/>
      <w:marLeft w:val="0"/>
      <w:marRight w:val="0"/>
      <w:marTop w:val="0"/>
      <w:marBottom w:val="0"/>
      <w:divBdr>
        <w:top w:val="none" w:sz="0" w:space="0" w:color="auto"/>
        <w:left w:val="none" w:sz="0" w:space="0" w:color="auto"/>
        <w:bottom w:val="none" w:sz="0" w:space="0" w:color="auto"/>
        <w:right w:val="none" w:sz="0" w:space="0" w:color="auto"/>
      </w:divBdr>
    </w:div>
    <w:div w:id="63721590">
      <w:bodyDiv w:val="1"/>
      <w:marLeft w:val="0"/>
      <w:marRight w:val="0"/>
      <w:marTop w:val="0"/>
      <w:marBottom w:val="0"/>
      <w:divBdr>
        <w:top w:val="none" w:sz="0" w:space="0" w:color="auto"/>
        <w:left w:val="none" w:sz="0" w:space="0" w:color="auto"/>
        <w:bottom w:val="none" w:sz="0" w:space="0" w:color="auto"/>
        <w:right w:val="none" w:sz="0" w:space="0" w:color="auto"/>
      </w:divBdr>
    </w:div>
    <w:div w:id="63723131">
      <w:bodyDiv w:val="1"/>
      <w:marLeft w:val="0"/>
      <w:marRight w:val="0"/>
      <w:marTop w:val="0"/>
      <w:marBottom w:val="0"/>
      <w:divBdr>
        <w:top w:val="none" w:sz="0" w:space="0" w:color="auto"/>
        <w:left w:val="none" w:sz="0" w:space="0" w:color="auto"/>
        <w:bottom w:val="none" w:sz="0" w:space="0" w:color="auto"/>
        <w:right w:val="none" w:sz="0" w:space="0" w:color="auto"/>
      </w:divBdr>
    </w:div>
    <w:div w:id="71204433">
      <w:bodyDiv w:val="1"/>
      <w:marLeft w:val="0"/>
      <w:marRight w:val="0"/>
      <w:marTop w:val="0"/>
      <w:marBottom w:val="0"/>
      <w:divBdr>
        <w:top w:val="none" w:sz="0" w:space="0" w:color="auto"/>
        <w:left w:val="none" w:sz="0" w:space="0" w:color="auto"/>
        <w:bottom w:val="none" w:sz="0" w:space="0" w:color="auto"/>
        <w:right w:val="none" w:sz="0" w:space="0" w:color="auto"/>
      </w:divBdr>
    </w:div>
    <w:div w:id="74789389">
      <w:bodyDiv w:val="1"/>
      <w:marLeft w:val="0"/>
      <w:marRight w:val="0"/>
      <w:marTop w:val="0"/>
      <w:marBottom w:val="0"/>
      <w:divBdr>
        <w:top w:val="none" w:sz="0" w:space="0" w:color="auto"/>
        <w:left w:val="none" w:sz="0" w:space="0" w:color="auto"/>
        <w:bottom w:val="none" w:sz="0" w:space="0" w:color="auto"/>
        <w:right w:val="none" w:sz="0" w:space="0" w:color="auto"/>
      </w:divBdr>
    </w:div>
    <w:div w:id="81491834">
      <w:bodyDiv w:val="1"/>
      <w:marLeft w:val="0"/>
      <w:marRight w:val="0"/>
      <w:marTop w:val="0"/>
      <w:marBottom w:val="0"/>
      <w:divBdr>
        <w:top w:val="none" w:sz="0" w:space="0" w:color="auto"/>
        <w:left w:val="none" w:sz="0" w:space="0" w:color="auto"/>
        <w:bottom w:val="none" w:sz="0" w:space="0" w:color="auto"/>
        <w:right w:val="none" w:sz="0" w:space="0" w:color="auto"/>
      </w:divBdr>
    </w:div>
    <w:div w:id="82722457">
      <w:bodyDiv w:val="1"/>
      <w:marLeft w:val="0"/>
      <w:marRight w:val="0"/>
      <w:marTop w:val="0"/>
      <w:marBottom w:val="0"/>
      <w:divBdr>
        <w:top w:val="none" w:sz="0" w:space="0" w:color="auto"/>
        <w:left w:val="none" w:sz="0" w:space="0" w:color="auto"/>
        <w:bottom w:val="none" w:sz="0" w:space="0" w:color="auto"/>
        <w:right w:val="none" w:sz="0" w:space="0" w:color="auto"/>
      </w:divBdr>
    </w:div>
    <w:div w:id="87384858">
      <w:bodyDiv w:val="1"/>
      <w:marLeft w:val="0"/>
      <w:marRight w:val="0"/>
      <w:marTop w:val="0"/>
      <w:marBottom w:val="0"/>
      <w:divBdr>
        <w:top w:val="none" w:sz="0" w:space="0" w:color="auto"/>
        <w:left w:val="none" w:sz="0" w:space="0" w:color="auto"/>
        <w:bottom w:val="none" w:sz="0" w:space="0" w:color="auto"/>
        <w:right w:val="none" w:sz="0" w:space="0" w:color="auto"/>
      </w:divBdr>
    </w:div>
    <w:div w:id="88622005">
      <w:bodyDiv w:val="1"/>
      <w:marLeft w:val="0"/>
      <w:marRight w:val="0"/>
      <w:marTop w:val="0"/>
      <w:marBottom w:val="0"/>
      <w:divBdr>
        <w:top w:val="none" w:sz="0" w:space="0" w:color="auto"/>
        <w:left w:val="none" w:sz="0" w:space="0" w:color="auto"/>
        <w:bottom w:val="none" w:sz="0" w:space="0" w:color="auto"/>
        <w:right w:val="none" w:sz="0" w:space="0" w:color="auto"/>
      </w:divBdr>
    </w:div>
    <w:div w:id="90316284">
      <w:bodyDiv w:val="1"/>
      <w:marLeft w:val="0"/>
      <w:marRight w:val="0"/>
      <w:marTop w:val="0"/>
      <w:marBottom w:val="0"/>
      <w:divBdr>
        <w:top w:val="none" w:sz="0" w:space="0" w:color="auto"/>
        <w:left w:val="none" w:sz="0" w:space="0" w:color="auto"/>
        <w:bottom w:val="none" w:sz="0" w:space="0" w:color="auto"/>
        <w:right w:val="none" w:sz="0" w:space="0" w:color="auto"/>
      </w:divBdr>
    </w:div>
    <w:div w:id="91828056">
      <w:bodyDiv w:val="1"/>
      <w:marLeft w:val="0"/>
      <w:marRight w:val="0"/>
      <w:marTop w:val="0"/>
      <w:marBottom w:val="0"/>
      <w:divBdr>
        <w:top w:val="none" w:sz="0" w:space="0" w:color="auto"/>
        <w:left w:val="none" w:sz="0" w:space="0" w:color="auto"/>
        <w:bottom w:val="none" w:sz="0" w:space="0" w:color="auto"/>
        <w:right w:val="none" w:sz="0" w:space="0" w:color="auto"/>
      </w:divBdr>
    </w:div>
    <w:div w:id="93089703">
      <w:bodyDiv w:val="1"/>
      <w:marLeft w:val="0"/>
      <w:marRight w:val="0"/>
      <w:marTop w:val="0"/>
      <w:marBottom w:val="0"/>
      <w:divBdr>
        <w:top w:val="none" w:sz="0" w:space="0" w:color="auto"/>
        <w:left w:val="none" w:sz="0" w:space="0" w:color="auto"/>
        <w:bottom w:val="none" w:sz="0" w:space="0" w:color="auto"/>
        <w:right w:val="none" w:sz="0" w:space="0" w:color="auto"/>
      </w:divBdr>
    </w:div>
    <w:div w:id="93283654">
      <w:bodyDiv w:val="1"/>
      <w:marLeft w:val="0"/>
      <w:marRight w:val="0"/>
      <w:marTop w:val="0"/>
      <w:marBottom w:val="0"/>
      <w:divBdr>
        <w:top w:val="none" w:sz="0" w:space="0" w:color="auto"/>
        <w:left w:val="none" w:sz="0" w:space="0" w:color="auto"/>
        <w:bottom w:val="none" w:sz="0" w:space="0" w:color="auto"/>
        <w:right w:val="none" w:sz="0" w:space="0" w:color="auto"/>
      </w:divBdr>
    </w:div>
    <w:div w:id="99418606">
      <w:bodyDiv w:val="1"/>
      <w:marLeft w:val="0"/>
      <w:marRight w:val="0"/>
      <w:marTop w:val="0"/>
      <w:marBottom w:val="0"/>
      <w:divBdr>
        <w:top w:val="none" w:sz="0" w:space="0" w:color="auto"/>
        <w:left w:val="none" w:sz="0" w:space="0" w:color="auto"/>
        <w:bottom w:val="none" w:sz="0" w:space="0" w:color="auto"/>
        <w:right w:val="none" w:sz="0" w:space="0" w:color="auto"/>
      </w:divBdr>
    </w:div>
    <w:div w:id="105776180">
      <w:bodyDiv w:val="1"/>
      <w:marLeft w:val="0"/>
      <w:marRight w:val="0"/>
      <w:marTop w:val="0"/>
      <w:marBottom w:val="0"/>
      <w:divBdr>
        <w:top w:val="none" w:sz="0" w:space="0" w:color="auto"/>
        <w:left w:val="none" w:sz="0" w:space="0" w:color="auto"/>
        <w:bottom w:val="none" w:sz="0" w:space="0" w:color="auto"/>
        <w:right w:val="none" w:sz="0" w:space="0" w:color="auto"/>
      </w:divBdr>
    </w:div>
    <w:div w:id="105858755">
      <w:bodyDiv w:val="1"/>
      <w:marLeft w:val="0"/>
      <w:marRight w:val="0"/>
      <w:marTop w:val="0"/>
      <w:marBottom w:val="0"/>
      <w:divBdr>
        <w:top w:val="none" w:sz="0" w:space="0" w:color="auto"/>
        <w:left w:val="none" w:sz="0" w:space="0" w:color="auto"/>
        <w:bottom w:val="none" w:sz="0" w:space="0" w:color="auto"/>
        <w:right w:val="none" w:sz="0" w:space="0" w:color="auto"/>
      </w:divBdr>
    </w:div>
    <w:div w:id="106507427">
      <w:bodyDiv w:val="1"/>
      <w:marLeft w:val="0"/>
      <w:marRight w:val="0"/>
      <w:marTop w:val="0"/>
      <w:marBottom w:val="0"/>
      <w:divBdr>
        <w:top w:val="none" w:sz="0" w:space="0" w:color="auto"/>
        <w:left w:val="none" w:sz="0" w:space="0" w:color="auto"/>
        <w:bottom w:val="none" w:sz="0" w:space="0" w:color="auto"/>
        <w:right w:val="none" w:sz="0" w:space="0" w:color="auto"/>
      </w:divBdr>
    </w:div>
    <w:div w:id="107168928">
      <w:bodyDiv w:val="1"/>
      <w:marLeft w:val="0"/>
      <w:marRight w:val="0"/>
      <w:marTop w:val="0"/>
      <w:marBottom w:val="0"/>
      <w:divBdr>
        <w:top w:val="none" w:sz="0" w:space="0" w:color="auto"/>
        <w:left w:val="none" w:sz="0" w:space="0" w:color="auto"/>
        <w:bottom w:val="none" w:sz="0" w:space="0" w:color="auto"/>
        <w:right w:val="none" w:sz="0" w:space="0" w:color="auto"/>
      </w:divBdr>
    </w:div>
    <w:div w:id="108017660">
      <w:bodyDiv w:val="1"/>
      <w:marLeft w:val="0"/>
      <w:marRight w:val="0"/>
      <w:marTop w:val="0"/>
      <w:marBottom w:val="0"/>
      <w:divBdr>
        <w:top w:val="none" w:sz="0" w:space="0" w:color="auto"/>
        <w:left w:val="none" w:sz="0" w:space="0" w:color="auto"/>
        <w:bottom w:val="none" w:sz="0" w:space="0" w:color="auto"/>
        <w:right w:val="none" w:sz="0" w:space="0" w:color="auto"/>
      </w:divBdr>
    </w:div>
    <w:div w:id="108623768">
      <w:bodyDiv w:val="1"/>
      <w:marLeft w:val="0"/>
      <w:marRight w:val="0"/>
      <w:marTop w:val="0"/>
      <w:marBottom w:val="0"/>
      <w:divBdr>
        <w:top w:val="none" w:sz="0" w:space="0" w:color="auto"/>
        <w:left w:val="none" w:sz="0" w:space="0" w:color="auto"/>
        <w:bottom w:val="none" w:sz="0" w:space="0" w:color="auto"/>
        <w:right w:val="none" w:sz="0" w:space="0" w:color="auto"/>
      </w:divBdr>
    </w:div>
    <w:div w:id="109708361">
      <w:bodyDiv w:val="1"/>
      <w:marLeft w:val="0"/>
      <w:marRight w:val="0"/>
      <w:marTop w:val="0"/>
      <w:marBottom w:val="0"/>
      <w:divBdr>
        <w:top w:val="none" w:sz="0" w:space="0" w:color="auto"/>
        <w:left w:val="none" w:sz="0" w:space="0" w:color="auto"/>
        <w:bottom w:val="none" w:sz="0" w:space="0" w:color="auto"/>
        <w:right w:val="none" w:sz="0" w:space="0" w:color="auto"/>
      </w:divBdr>
    </w:div>
    <w:div w:id="115612652">
      <w:bodyDiv w:val="1"/>
      <w:marLeft w:val="0"/>
      <w:marRight w:val="0"/>
      <w:marTop w:val="0"/>
      <w:marBottom w:val="0"/>
      <w:divBdr>
        <w:top w:val="none" w:sz="0" w:space="0" w:color="auto"/>
        <w:left w:val="none" w:sz="0" w:space="0" w:color="auto"/>
        <w:bottom w:val="none" w:sz="0" w:space="0" w:color="auto"/>
        <w:right w:val="none" w:sz="0" w:space="0" w:color="auto"/>
      </w:divBdr>
    </w:div>
    <w:div w:id="117768249">
      <w:bodyDiv w:val="1"/>
      <w:marLeft w:val="0"/>
      <w:marRight w:val="0"/>
      <w:marTop w:val="0"/>
      <w:marBottom w:val="0"/>
      <w:divBdr>
        <w:top w:val="none" w:sz="0" w:space="0" w:color="auto"/>
        <w:left w:val="none" w:sz="0" w:space="0" w:color="auto"/>
        <w:bottom w:val="none" w:sz="0" w:space="0" w:color="auto"/>
        <w:right w:val="none" w:sz="0" w:space="0" w:color="auto"/>
      </w:divBdr>
    </w:div>
    <w:div w:id="119152409">
      <w:bodyDiv w:val="1"/>
      <w:marLeft w:val="0"/>
      <w:marRight w:val="0"/>
      <w:marTop w:val="0"/>
      <w:marBottom w:val="0"/>
      <w:divBdr>
        <w:top w:val="none" w:sz="0" w:space="0" w:color="auto"/>
        <w:left w:val="none" w:sz="0" w:space="0" w:color="auto"/>
        <w:bottom w:val="none" w:sz="0" w:space="0" w:color="auto"/>
        <w:right w:val="none" w:sz="0" w:space="0" w:color="auto"/>
      </w:divBdr>
    </w:div>
    <w:div w:id="120928382">
      <w:bodyDiv w:val="1"/>
      <w:marLeft w:val="0"/>
      <w:marRight w:val="0"/>
      <w:marTop w:val="0"/>
      <w:marBottom w:val="0"/>
      <w:divBdr>
        <w:top w:val="none" w:sz="0" w:space="0" w:color="auto"/>
        <w:left w:val="none" w:sz="0" w:space="0" w:color="auto"/>
        <w:bottom w:val="none" w:sz="0" w:space="0" w:color="auto"/>
        <w:right w:val="none" w:sz="0" w:space="0" w:color="auto"/>
      </w:divBdr>
    </w:div>
    <w:div w:id="121071465">
      <w:bodyDiv w:val="1"/>
      <w:marLeft w:val="0"/>
      <w:marRight w:val="0"/>
      <w:marTop w:val="0"/>
      <w:marBottom w:val="0"/>
      <w:divBdr>
        <w:top w:val="none" w:sz="0" w:space="0" w:color="auto"/>
        <w:left w:val="none" w:sz="0" w:space="0" w:color="auto"/>
        <w:bottom w:val="none" w:sz="0" w:space="0" w:color="auto"/>
        <w:right w:val="none" w:sz="0" w:space="0" w:color="auto"/>
      </w:divBdr>
    </w:div>
    <w:div w:id="123697221">
      <w:bodyDiv w:val="1"/>
      <w:marLeft w:val="0"/>
      <w:marRight w:val="0"/>
      <w:marTop w:val="0"/>
      <w:marBottom w:val="0"/>
      <w:divBdr>
        <w:top w:val="none" w:sz="0" w:space="0" w:color="auto"/>
        <w:left w:val="none" w:sz="0" w:space="0" w:color="auto"/>
        <w:bottom w:val="none" w:sz="0" w:space="0" w:color="auto"/>
        <w:right w:val="none" w:sz="0" w:space="0" w:color="auto"/>
      </w:divBdr>
    </w:div>
    <w:div w:id="125979097">
      <w:bodyDiv w:val="1"/>
      <w:marLeft w:val="0"/>
      <w:marRight w:val="0"/>
      <w:marTop w:val="0"/>
      <w:marBottom w:val="0"/>
      <w:divBdr>
        <w:top w:val="none" w:sz="0" w:space="0" w:color="auto"/>
        <w:left w:val="none" w:sz="0" w:space="0" w:color="auto"/>
        <w:bottom w:val="none" w:sz="0" w:space="0" w:color="auto"/>
        <w:right w:val="none" w:sz="0" w:space="0" w:color="auto"/>
      </w:divBdr>
    </w:div>
    <w:div w:id="126776083">
      <w:bodyDiv w:val="1"/>
      <w:marLeft w:val="0"/>
      <w:marRight w:val="0"/>
      <w:marTop w:val="0"/>
      <w:marBottom w:val="0"/>
      <w:divBdr>
        <w:top w:val="none" w:sz="0" w:space="0" w:color="auto"/>
        <w:left w:val="none" w:sz="0" w:space="0" w:color="auto"/>
        <w:bottom w:val="none" w:sz="0" w:space="0" w:color="auto"/>
        <w:right w:val="none" w:sz="0" w:space="0" w:color="auto"/>
      </w:divBdr>
    </w:div>
    <w:div w:id="129055370">
      <w:bodyDiv w:val="1"/>
      <w:marLeft w:val="0"/>
      <w:marRight w:val="0"/>
      <w:marTop w:val="0"/>
      <w:marBottom w:val="0"/>
      <w:divBdr>
        <w:top w:val="none" w:sz="0" w:space="0" w:color="auto"/>
        <w:left w:val="none" w:sz="0" w:space="0" w:color="auto"/>
        <w:bottom w:val="none" w:sz="0" w:space="0" w:color="auto"/>
        <w:right w:val="none" w:sz="0" w:space="0" w:color="auto"/>
      </w:divBdr>
    </w:div>
    <w:div w:id="131603352">
      <w:bodyDiv w:val="1"/>
      <w:marLeft w:val="0"/>
      <w:marRight w:val="0"/>
      <w:marTop w:val="0"/>
      <w:marBottom w:val="0"/>
      <w:divBdr>
        <w:top w:val="none" w:sz="0" w:space="0" w:color="auto"/>
        <w:left w:val="none" w:sz="0" w:space="0" w:color="auto"/>
        <w:bottom w:val="none" w:sz="0" w:space="0" w:color="auto"/>
        <w:right w:val="none" w:sz="0" w:space="0" w:color="auto"/>
      </w:divBdr>
    </w:div>
    <w:div w:id="132672990">
      <w:bodyDiv w:val="1"/>
      <w:marLeft w:val="0"/>
      <w:marRight w:val="0"/>
      <w:marTop w:val="0"/>
      <w:marBottom w:val="0"/>
      <w:divBdr>
        <w:top w:val="none" w:sz="0" w:space="0" w:color="auto"/>
        <w:left w:val="none" w:sz="0" w:space="0" w:color="auto"/>
        <w:bottom w:val="none" w:sz="0" w:space="0" w:color="auto"/>
        <w:right w:val="none" w:sz="0" w:space="0" w:color="auto"/>
      </w:divBdr>
    </w:div>
    <w:div w:id="134035042">
      <w:bodyDiv w:val="1"/>
      <w:marLeft w:val="0"/>
      <w:marRight w:val="0"/>
      <w:marTop w:val="0"/>
      <w:marBottom w:val="0"/>
      <w:divBdr>
        <w:top w:val="none" w:sz="0" w:space="0" w:color="auto"/>
        <w:left w:val="none" w:sz="0" w:space="0" w:color="auto"/>
        <w:bottom w:val="none" w:sz="0" w:space="0" w:color="auto"/>
        <w:right w:val="none" w:sz="0" w:space="0" w:color="auto"/>
      </w:divBdr>
    </w:div>
    <w:div w:id="135684080">
      <w:bodyDiv w:val="1"/>
      <w:marLeft w:val="0"/>
      <w:marRight w:val="0"/>
      <w:marTop w:val="0"/>
      <w:marBottom w:val="0"/>
      <w:divBdr>
        <w:top w:val="none" w:sz="0" w:space="0" w:color="auto"/>
        <w:left w:val="none" w:sz="0" w:space="0" w:color="auto"/>
        <w:bottom w:val="none" w:sz="0" w:space="0" w:color="auto"/>
        <w:right w:val="none" w:sz="0" w:space="0" w:color="auto"/>
      </w:divBdr>
    </w:div>
    <w:div w:id="142503730">
      <w:bodyDiv w:val="1"/>
      <w:marLeft w:val="0"/>
      <w:marRight w:val="0"/>
      <w:marTop w:val="0"/>
      <w:marBottom w:val="0"/>
      <w:divBdr>
        <w:top w:val="none" w:sz="0" w:space="0" w:color="auto"/>
        <w:left w:val="none" w:sz="0" w:space="0" w:color="auto"/>
        <w:bottom w:val="none" w:sz="0" w:space="0" w:color="auto"/>
        <w:right w:val="none" w:sz="0" w:space="0" w:color="auto"/>
      </w:divBdr>
    </w:div>
    <w:div w:id="142896689">
      <w:bodyDiv w:val="1"/>
      <w:marLeft w:val="0"/>
      <w:marRight w:val="0"/>
      <w:marTop w:val="0"/>
      <w:marBottom w:val="0"/>
      <w:divBdr>
        <w:top w:val="none" w:sz="0" w:space="0" w:color="auto"/>
        <w:left w:val="none" w:sz="0" w:space="0" w:color="auto"/>
        <w:bottom w:val="none" w:sz="0" w:space="0" w:color="auto"/>
        <w:right w:val="none" w:sz="0" w:space="0" w:color="auto"/>
      </w:divBdr>
    </w:div>
    <w:div w:id="144127453">
      <w:bodyDiv w:val="1"/>
      <w:marLeft w:val="0"/>
      <w:marRight w:val="0"/>
      <w:marTop w:val="0"/>
      <w:marBottom w:val="0"/>
      <w:divBdr>
        <w:top w:val="none" w:sz="0" w:space="0" w:color="auto"/>
        <w:left w:val="none" w:sz="0" w:space="0" w:color="auto"/>
        <w:bottom w:val="none" w:sz="0" w:space="0" w:color="auto"/>
        <w:right w:val="none" w:sz="0" w:space="0" w:color="auto"/>
      </w:divBdr>
    </w:div>
    <w:div w:id="148445783">
      <w:bodyDiv w:val="1"/>
      <w:marLeft w:val="0"/>
      <w:marRight w:val="0"/>
      <w:marTop w:val="0"/>
      <w:marBottom w:val="0"/>
      <w:divBdr>
        <w:top w:val="none" w:sz="0" w:space="0" w:color="auto"/>
        <w:left w:val="none" w:sz="0" w:space="0" w:color="auto"/>
        <w:bottom w:val="none" w:sz="0" w:space="0" w:color="auto"/>
        <w:right w:val="none" w:sz="0" w:space="0" w:color="auto"/>
      </w:divBdr>
      <w:divsChild>
        <w:div w:id="968970973">
          <w:marLeft w:val="0"/>
          <w:marRight w:val="0"/>
          <w:marTop w:val="0"/>
          <w:marBottom w:val="0"/>
          <w:divBdr>
            <w:top w:val="none" w:sz="0" w:space="0" w:color="auto"/>
            <w:left w:val="none" w:sz="0" w:space="0" w:color="auto"/>
            <w:bottom w:val="none" w:sz="0" w:space="0" w:color="auto"/>
            <w:right w:val="none" w:sz="0" w:space="0" w:color="auto"/>
          </w:divBdr>
        </w:div>
        <w:div w:id="1430157056">
          <w:marLeft w:val="0"/>
          <w:marRight w:val="0"/>
          <w:marTop w:val="0"/>
          <w:marBottom w:val="0"/>
          <w:divBdr>
            <w:top w:val="none" w:sz="0" w:space="0" w:color="auto"/>
            <w:left w:val="none" w:sz="0" w:space="0" w:color="auto"/>
            <w:bottom w:val="none" w:sz="0" w:space="0" w:color="auto"/>
            <w:right w:val="none" w:sz="0" w:space="0" w:color="auto"/>
          </w:divBdr>
        </w:div>
      </w:divsChild>
    </w:div>
    <w:div w:id="149367953">
      <w:bodyDiv w:val="1"/>
      <w:marLeft w:val="0"/>
      <w:marRight w:val="0"/>
      <w:marTop w:val="0"/>
      <w:marBottom w:val="0"/>
      <w:divBdr>
        <w:top w:val="none" w:sz="0" w:space="0" w:color="auto"/>
        <w:left w:val="none" w:sz="0" w:space="0" w:color="auto"/>
        <w:bottom w:val="none" w:sz="0" w:space="0" w:color="auto"/>
        <w:right w:val="none" w:sz="0" w:space="0" w:color="auto"/>
      </w:divBdr>
    </w:div>
    <w:div w:id="153957835">
      <w:bodyDiv w:val="1"/>
      <w:marLeft w:val="0"/>
      <w:marRight w:val="0"/>
      <w:marTop w:val="0"/>
      <w:marBottom w:val="0"/>
      <w:divBdr>
        <w:top w:val="none" w:sz="0" w:space="0" w:color="auto"/>
        <w:left w:val="none" w:sz="0" w:space="0" w:color="auto"/>
        <w:bottom w:val="none" w:sz="0" w:space="0" w:color="auto"/>
        <w:right w:val="none" w:sz="0" w:space="0" w:color="auto"/>
      </w:divBdr>
    </w:div>
    <w:div w:id="154423421">
      <w:bodyDiv w:val="1"/>
      <w:marLeft w:val="0"/>
      <w:marRight w:val="0"/>
      <w:marTop w:val="0"/>
      <w:marBottom w:val="0"/>
      <w:divBdr>
        <w:top w:val="none" w:sz="0" w:space="0" w:color="auto"/>
        <w:left w:val="none" w:sz="0" w:space="0" w:color="auto"/>
        <w:bottom w:val="none" w:sz="0" w:space="0" w:color="auto"/>
        <w:right w:val="none" w:sz="0" w:space="0" w:color="auto"/>
      </w:divBdr>
    </w:div>
    <w:div w:id="154959651">
      <w:bodyDiv w:val="1"/>
      <w:marLeft w:val="0"/>
      <w:marRight w:val="0"/>
      <w:marTop w:val="0"/>
      <w:marBottom w:val="0"/>
      <w:divBdr>
        <w:top w:val="none" w:sz="0" w:space="0" w:color="auto"/>
        <w:left w:val="none" w:sz="0" w:space="0" w:color="auto"/>
        <w:bottom w:val="none" w:sz="0" w:space="0" w:color="auto"/>
        <w:right w:val="none" w:sz="0" w:space="0" w:color="auto"/>
      </w:divBdr>
    </w:div>
    <w:div w:id="156582965">
      <w:bodyDiv w:val="1"/>
      <w:marLeft w:val="0"/>
      <w:marRight w:val="0"/>
      <w:marTop w:val="0"/>
      <w:marBottom w:val="0"/>
      <w:divBdr>
        <w:top w:val="none" w:sz="0" w:space="0" w:color="auto"/>
        <w:left w:val="none" w:sz="0" w:space="0" w:color="auto"/>
        <w:bottom w:val="none" w:sz="0" w:space="0" w:color="auto"/>
        <w:right w:val="none" w:sz="0" w:space="0" w:color="auto"/>
      </w:divBdr>
    </w:div>
    <w:div w:id="157504544">
      <w:bodyDiv w:val="1"/>
      <w:marLeft w:val="0"/>
      <w:marRight w:val="0"/>
      <w:marTop w:val="0"/>
      <w:marBottom w:val="0"/>
      <w:divBdr>
        <w:top w:val="none" w:sz="0" w:space="0" w:color="auto"/>
        <w:left w:val="none" w:sz="0" w:space="0" w:color="auto"/>
        <w:bottom w:val="none" w:sz="0" w:space="0" w:color="auto"/>
        <w:right w:val="none" w:sz="0" w:space="0" w:color="auto"/>
      </w:divBdr>
    </w:div>
    <w:div w:id="158542328">
      <w:bodyDiv w:val="1"/>
      <w:marLeft w:val="0"/>
      <w:marRight w:val="0"/>
      <w:marTop w:val="0"/>
      <w:marBottom w:val="0"/>
      <w:divBdr>
        <w:top w:val="none" w:sz="0" w:space="0" w:color="auto"/>
        <w:left w:val="none" w:sz="0" w:space="0" w:color="auto"/>
        <w:bottom w:val="none" w:sz="0" w:space="0" w:color="auto"/>
        <w:right w:val="none" w:sz="0" w:space="0" w:color="auto"/>
      </w:divBdr>
    </w:div>
    <w:div w:id="164977620">
      <w:bodyDiv w:val="1"/>
      <w:marLeft w:val="0"/>
      <w:marRight w:val="0"/>
      <w:marTop w:val="0"/>
      <w:marBottom w:val="0"/>
      <w:divBdr>
        <w:top w:val="none" w:sz="0" w:space="0" w:color="auto"/>
        <w:left w:val="none" w:sz="0" w:space="0" w:color="auto"/>
        <w:bottom w:val="none" w:sz="0" w:space="0" w:color="auto"/>
        <w:right w:val="none" w:sz="0" w:space="0" w:color="auto"/>
      </w:divBdr>
    </w:div>
    <w:div w:id="167864247">
      <w:bodyDiv w:val="1"/>
      <w:marLeft w:val="0"/>
      <w:marRight w:val="0"/>
      <w:marTop w:val="0"/>
      <w:marBottom w:val="0"/>
      <w:divBdr>
        <w:top w:val="none" w:sz="0" w:space="0" w:color="auto"/>
        <w:left w:val="none" w:sz="0" w:space="0" w:color="auto"/>
        <w:bottom w:val="none" w:sz="0" w:space="0" w:color="auto"/>
        <w:right w:val="none" w:sz="0" w:space="0" w:color="auto"/>
      </w:divBdr>
    </w:div>
    <w:div w:id="167916027">
      <w:bodyDiv w:val="1"/>
      <w:marLeft w:val="0"/>
      <w:marRight w:val="0"/>
      <w:marTop w:val="0"/>
      <w:marBottom w:val="0"/>
      <w:divBdr>
        <w:top w:val="none" w:sz="0" w:space="0" w:color="auto"/>
        <w:left w:val="none" w:sz="0" w:space="0" w:color="auto"/>
        <w:bottom w:val="none" w:sz="0" w:space="0" w:color="auto"/>
        <w:right w:val="none" w:sz="0" w:space="0" w:color="auto"/>
      </w:divBdr>
    </w:div>
    <w:div w:id="170918584">
      <w:bodyDiv w:val="1"/>
      <w:marLeft w:val="0"/>
      <w:marRight w:val="0"/>
      <w:marTop w:val="0"/>
      <w:marBottom w:val="0"/>
      <w:divBdr>
        <w:top w:val="none" w:sz="0" w:space="0" w:color="auto"/>
        <w:left w:val="none" w:sz="0" w:space="0" w:color="auto"/>
        <w:bottom w:val="none" w:sz="0" w:space="0" w:color="auto"/>
        <w:right w:val="none" w:sz="0" w:space="0" w:color="auto"/>
      </w:divBdr>
    </w:div>
    <w:div w:id="171577914">
      <w:bodyDiv w:val="1"/>
      <w:marLeft w:val="0"/>
      <w:marRight w:val="0"/>
      <w:marTop w:val="0"/>
      <w:marBottom w:val="0"/>
      <w:divBdr>
        <w:top w:val="none" w:sz="0" w:space="0" w:color="auto"/>
        <w:left w:val="none" w:sz="0" w:space="0" w:color="auto"/>
        <w:bottom w:val="none" w:sz="0" w:space="0" w:color="auto"/>
        <w:right w:val="none" w:sz="0" w:space="0" w:color="auto"/>
      </w:divBdr>
    </w:div>
    <w:div w:id="171918583">
      <w:bodyDiv w:val="1"/>
      <w:marLeft w:val="0"/>
      <w:marRight w:val="0"/>
      <w:marTop w:val="0"/>
      <w:marBottom w:val="0"/>
      <w:divBdr>
        <w:top w:val="none" w:sz="0" w:space="0" w:color="auto"/>
        <w:left w:val="none" w:sz="0" w:space="0" w:color="auto"/>
        <w:bottom w:val="none" w:sz="0" w:space="0" w:color="auto"/>
        <w:right w:val="none" w:sz="0" w:space="0" w:color="auto"/>
      </w:divBdr>
    </w:div>
    <w:div w:id="172496378">
      <w:bodyDiv w:val="1"/>
      <w:marLeft w:val="0"/>
      <w:marRight w:val="0"/>
      <w:marTop w:val="0"/>
      <w:marBottom w:val="0"/>
      <w:divBdr>
        <w:top w:val="none" w:sz="0" w:space="0" w:color="auto"/>
        <w:left w:val="none" w:sz="0" w:space="0" w:color="auto"/>
        <w:bottom w:val="none" w:sz="0" w:space="0" w:color="auto"/>
        <w:right w:val="none" w:sz="0" w:space="0" w:color="auto"/>
      </w:divBdr>
    </w:div>
    <w:div w:id="177742723">
      <w:bodyDiv w:val="1"/>
      <w:marLeft w:val="0"/>
      <w:marRight w:val="0"/>
      <w:marTop w:val="0"/>
      <w:marBottom w:val="0"/>
      <w:divBdr>
        <w:top w:val="none" w:sz="0" w:space="0" w:color="auto"/>
        <w:left w:val="none" w:sz="0" w:space="0" w:color="auto"/>
        <w:bottom w:val="none" w:sz="0" w:space="0" w:color="auto"/>
        <w:right w:val="none" w:sz="0" w:space="0" w:color="auto"/>
      </w:divBdr>
    </w:div>
    <w:div w:id="177811831">
      <w:bodyDiv w:val="1"/>
      <w:marLeft w:val="0"/>
      <w:marRight w:val="0"/>
      <w:marTop w:val="0"/>
      <w:marBottom w:val="0"/>
      <w:divBdr>
        <w:top w:val="none" w:sz="0" w:space="0" w:color="auto"/>
        <w:left w:val="none" w:sz="0" w:space="0" w:color="auto"/>
        <w:bottom w:val="none" w:sz="0" w:space="0" w:color="auto"/>
        <w:right w:val="none" w:sz="0" w:space="0" w:color="auto"/>
      </w:divBdr>
    </w:div>
    <w:div w:id="178593081">
      <w:bodyDiv w:val="1"/>
      <w:marLeft w:val="0"/>
      <w:marRight w:val="0"/>
      <w:marTop w:val="0"/>
      <w:marBottom w:val="0"/>
      <w:divBdr>
        <w:top w:val="none" w:sz="0" w:space="0" w:color="auto"/>
        <w:left w:val="none" w:sz="0" w:space="0" w:color="auto"/>
        <w:bottom w:val="none" w:sz="0" w:space="0" w:color="auto"/>
        <w:right w:val="none" w:sz="0" w:space="0" w:color="auto"/>
      </w:divBdr>
    </w:div>
    <w:div w:id="179860470">
      <w:bodyDiv w:val="1"/>
      <w:marLeft w:val="0"/>
      <w:marRight w:val="0"/>
      <w:marTop w:val="0"/>
      <w:marBottom w:val="0"/>
      <w:divBdr>
        <w:top w:val="none" w:sz="0" w:space="0" w:color="auto"/>
        <w:left w:val="none" w:sz="0" w:space="0" w:color="auto"/>
        <w:bottom w:val="none" w:sz="0" w:space="0" w:color="auto"/>
        <w:right w:val="none" w:sz="0" w:space="0" w:color="auto"/>
      </w:divBdr>
    </w:div>
    <w:div w:id="180435974">
      <w:bodyDiv w:val="1"/>
      <w:marLeft w:val="0"/>
      <w:marRight w:val="0"/>
      <w:marTop w:val="0"/>
      <w:marBottom w:val="0"/>
      <w:divBdr>
        <w:top w:val="none" w:sz="0" w:space="0" w:color="auto"/>
        <w:left w:val="none" w:sz="0" w:space="0" w:color="auto"/>
        <w:bottom w:val="none" w:sz="0" w:space="0" w:color="auto"/>
        <w:right w:val="none" w:sz="0" w:space="0" w:color="auto"/>
      </w:divBdr>
    </w:div>
    <w:div w:id="181864716">
      <w:bodyDiv w:val="1"/>
      <w:marLeft w:val="0"/>
      <w:marRight w:val="0"/>
      <w:marTop w:val="0"/>
      <w:marBottom w:val="0"/>
      <w:divBdr>
        <w:top w:val="none" w:sz="0" w:space="0" w:color="auto"/>
        <w:left w:val="none" w:sz="0" w:space="0" w:color="auto"/>
        <w:bottom w:val="none" w:sz="0" w:space="0" w:color="auto"/>
        <w:right w:val="none" w:sz="0" w:space="0" w:color="auto"/>
      </w:divBdr>
    </w:div>
    <w:div w:id="182404368">
      <w:bodyDiv w:val="1"/>
      <w:marLeft w:val="0"/>
      <w:marRight w:val="0"/>
      <w:marTop w:val="0"/>
      <w:marBottom w:val="0"/>
      <w:divBdr>
        <w:top w:val="none" w:sz="0" w:space="0" w:color="auto"/>
        <w:left w:val="none" w:sz="0" w:space="0" w:color="auto"/>
        <w:bottom w:val="none" w:sz="0" w:space="0" w:color="auto"/>
        <w:right w:val="none" w:sz="0" w:space="0" w:color="auto"/>
      </w:divBdr>
    </w:div>
    <w:div w:id="189226982">
      <w:bodyDiv w:val="1"/>
      <w:marLeft w:val="0"/>
      <w:marRight w:val="0"/>
      <w:marTop w:val="0"/>
      <w:marBottom w:val="0"/>
      <w:divBdr>
        <w:top w:val="none" w:sz="0" w:space="0" w:color="auto"/>
        <w:left w:val="none" w:sz="0" w:space="0" w:color="auto"/>
        <w:bottom w:val="none" w:sz="0" w:space="0" w:color="auto"/>
        <w:right w:val="none" w:sz="0" w:space="0" w:color="auto"/>
      </w:divBdr>
    </w:div>
    <w:div w:id="191649968">
      <w:bodyDiv w:val="1"/>
      <w:marLeft w:val="0"/>
      <w:marRight w:val="0"/>
      <w:marTop w:val="0"/>
      <w:marBottom w:val="0"/>
      <w:divBdr>
        <w:top w:val="none" w:sz="0" w:space="0" w:color="auto"/>
        <w:left w:val="none" w:sz="0" w:space="0" w:color="auto"/>
        <w:bottom w:val="none" w:sz="0" w:space="0" w:color="auto"/>
        <w:right w:val="none" w:sz="0" w:space="0" w:color="auto"/>
      </w:divBdr>
    </w:div>
    <w:div w:id="194077481">
      <w:bodyDiv w:val="1"/>
      <w:marLeft w:val="0"/>
      <w:marRight w:val="0"/>
      <w:marTop w:val="0"/>
      <w:marBottom w:val="0"/>
      <w:divBdr>
        <w:top w:val="none" w:sz="0" w:space="0" w:color="auto"/>
        <w:left w:val="none" w:sz="0" w:space="0" w:color="auto"/>
        <w:bottom w:val="none" w:sz="0" w:space="0" w:color="auto"/>
        <w:right w:val="none" w:sz="0" w:space="0" w:color="auto"/>
      </w:divBdr>
    </w:div>
    <w:div w:id="196813929">
      <w:bodyDiv w:val="1"/>
      <w:marLeft w:val="0"/>
      <w:marRight w:val="0"/>
      <w:marTop w:val="0"/>
      <w:marBottom w:val="0"/>
      <w:divBdr>
        <w:top w:val="none" w:sz="0" w:space="0" w:color="auto"/>
        <w:left w:val="none" w:sz="0" w:space="0" w:color="auto"/>
        <w:bottom w:val="none" w:sz="0" w:space="0" w:color="auto"/>
        <w:right w:val="none" w:sz="0" w:space="0" w:color="auto"/>
      </w:divBdr>
    </w:div>
    <w:div w:id="200016631">
      <w:bodyDiv w:val="1"/>
      <w:marLeft w:val="0"/>
      <w:marRight w:val="0"/>
      <w:marTop w:val="0"/>
      <w:marBottom w:val="0"/>
      <w:divBdr>
        <w:top w:val="none" w:sz="0" w:space="0" w:color="auto"/>
        <w:left w:val="none" w:sz="0" w:space="0" w:color="auto"/>
        <w:bottom w:val="none" w:sz="0" w:space="0" w:color="auto"/>
        <w:right w:val="none" w:sz="0" w:space="0" w:color="auto"/>
      </w:divBdr>
    </w:div>
    <w:div w:id="200409934">
      <w:bodyDiv w:val="1"/>
      <w:marLeft w:val="0"/>
      <w:marRight w:val="0"/>
      <w:marTop w:val="0"/>
      <w:marBottom w:val="0"/>
      <w:divBdr>
        <w:top w:val="none" w:sz="0" w:space="0" w:color="auto"/>
        <w:left w:val="none" w:sz="0" w:space="0" w:color="auto"/>
        <w:bottom w:val="none" w:sz="0" w:space="0" w:color="auto"/>
        <w:right w:val="none" w:sz="0" w:space="0" w:color="auto"/>
      </w:divBdr>
    </w:div>
    <w:div w:id="203837110">
      <w:bodyDiv w:val="1"/>
      <w:marLeft w:val="0"/>
      <w:marRight w:val="0"/>
      <w:marTop w:val="0"/>
      <w:marBottom w:val="0"/>
      <w:divBdr>
        <w:top w:val="none" w:sz="0" w:space="0" w:color="auto"/>
        <w:left w:val="none" w:sz="0" w:space="0" w:color="auto"/>
        <w:bottom w:val="none" w:sz="0" w:space="0" w:color="auto"/>
        <w:right w:val="none" w:sz="0" w:space="0" w:color="auto"/>
      </w:divBdr>
    </w:div>
    <w:div w:id="203837235">
      <w:bodyDiv w:val="1"/>
      <w:marLeft w:val="0"/>
      <w:marRight w:val="0"/>
      <w:marTop w:val="0"/>
      <w:marBottom w:val="0"/>
      <w:divBdr>
        <w:top w:val="none" w:sz="0" w:space="0" w:color="auto"/>
        <w:left w:val="none" w:sz="0" w:space="0" w:color="auto"/>
        <w:bottom w:val="none" w:sz="0" w:space="0" w:color="auto"/>
        <w:right w:val="none" w:sz="0" w:space="0" w:color="auto"/>
      </w:divBdr>
    </w:div>
    <w:div w:id="205918113">
      <w:bodyDiv w:val="1"/>
      <w:marLeft w:val="0"/>
      <w:marRight w:val="0"/>
      <w:marTop w:val="0"/>
      <w:marBottom w:val="0"/>
      <w:divBdr>
        <w:top w:val="none" w:sz="0" w:space="0" w:color="auto"/>
        <w:left w:val="none" w:sz="0" w:space="0" w:color="auto"/>
        <w:bottom w:val="none" w:sz="0" w:space="0" w:color="auto"/>
        <w:right w:val="none" w:sz="0" w:space="0" w:color="auto"/>
      </w:divBdr>
    </w:div>
    <w:div w:id="206987599">
      <w:bodyDiv w:val="1"/>
      <w:marLeft w:val="0"/>
      <w:marRight w:val="0"/>
      <w:marTop w:val="0"/>
      <w:marBottom w:val="0"/>
      <w:divBdr>
        <w:top w:val="none" w:sz="0" w:space="0" w:color="auto"/>
        <w:left w:val="none" w:sz="0" w:space="0" w:color="auto"/>
        <w:bottom w:val="none" w:sz="0" w:space="0" w:color="auto"/>
        <w:right w:val="none" w:sz="0" w:space="0" w:color="auto"/>
      </w:divBdr>
    </w:div>
    <w:div w:id="207645994">
      <w:bodyDiv w:val="1"/>
      <w:marLeft w:val="0"/>
      <w:marRight w:val="0"/>
      <w:marTop w:val="0"/>
      <w:marBottom w:val="0"/>
      <w:divBdr>
        <w:top w:val="none" w:sz="0" w:space="0" w:color="auto"/>
        <w:left w:val="none" w:sz="0" w:space="0" w:color="auto"/>
        <w:bottom w:val="none" w:sz="0" w:space="0" w:color="auto"/>
        <w:right w:val="none" w:sz="0" w:space="0" w:color="auto"/>
      </w:divBdr>
    </w:div>
    <w:div w:id="215237185">
      <w:bodyDiv w:val="1"/>
      <w:marLeft w:val="0"/>
      <w:marRight w:val="0"/>
      <w:marTop w:val="0"/>
      <w:marBottom w:val="0"/>
      <w:divBdr>
        <w:top w:val="none" w:sz="0" w:space="0" w:color="auto"/>
        <w:left w:val="none" w:sz="0" w:space="0" w:color="auto"/>
        <w:bottom w:val="none" w:sz="0" w:space="0" w:color="auto"/>
        <w:right w:val="none" w:sz="0" w:space="0" w:color="auto"/>
      </w:divBdr>
    </w:div>
    <w:div w:id="219051123">
      <w:bodyDiv w:val="1"/>
      <w:marLeft w:val="0"/>
      <w:marRight w:val="0"/>
      <w:marTop w:val="0"/>
      <w:marBottom w:val="0"/>
      <w:divBdr>
        <w:top w:val="none" w:sz="0" w:space="0" w:color="auto"/>
        <w:left w:val="none" w:sz="0" w:space="0" w:color="auto"/>
        <w:bottom w:val="none" w:sz="0" w:space="0" w:color="auto"/>
        <w:right w:val="none" w:sz="0" w:space="0" w:color="auto"/>
      </w:divBdr>
    </w:div>
    <w:div w:id="219946617">
      <w:bodyDiv w:val="1"/>
      <w:marLeft w:val="0"/>
      <w:marRight w:val="0"/>
      <w:marTop w:val="0"/>
      <w:marBottom w:val="0"/>
      <w:divBdr>
        <w:top w:val="none" w:sz="0" w:space="0" w:color="auto"/>
        <w:left w:val="none" w:sz="0" w:space="0" w:color="auto"/>
        <w:bottom w:val="none" w:sz="0" w:space="0" w:color="auto"/>
        <w:right w:val="none" w:sz="0" w:space="0" w:color="auto"/>
      </w:divBdr>
    </w:div>
    <w:div w:id="220408162">
      <w:bodyDiv w:val="1"/>
      <w:marLeft w:val="0"/>
      <w:marRight w:val="0"/>
      <w:marTop w:val="0"/>
      <w:marBottom w:val="0"/>
      <w:divBdr>
        <w:top w:val="none" w:sz="0" w:space="0" w:color="auto"/>
        <w:left w:val="none" w:sz="0" w:space="0" w:color="auto"/>
        <w:bottom w:val="none" w:sz="0" w:space="0" w:color="auto"/>
        <w:right w:val="none" w:sz="0" w:space="0" w:color="auto"/>
      </w:divBdr>
    </w:div>
    <w:div w:id="225186162">
      <w:bodyDiv w:val="1"/>
      <w:marLeft w:val="0"/>
      <w:marRight w:val="0"/>
      <w:marTop w:val="0"/>
      <w:marBottom w:val="0"/>
      <w:divBdr>
        <w:top w:val="none" w:sz="0" w:space="0" w:color="auto"/>
        <w:left w:val="none" w:sz="0" w:space="0" w:color="auto"/>
        <w:bottom w:val="none" w:sz="0" w:space="0" w:color="auto"/>
        <w:right w:val="none" w:sz="0" w:space="0" w:color="auto"/>
      </w:divBdr>
    </w:div>
    <w:div w:id="225455205">
      <w:bodyDiv w:val="1"/>
      <w:marLeft w:val="0"/>
      <w:marRight w:val="0"/>
      <w:marTop w:val="0"/>
      <w:marBottom w:val="0"/>
      <w:divBdr>
        <w:top w:val="none" w:sz="0" w:space="0" w:color="auto"/>
        <w:left w:val="none" w:sz="0" w:space="0" w:color="auto"/>
        <w:bottom w:val="none" w:sz="0" w:space="0" w:color="auto"/>
        <w:right w:val="none" w:sz="0" w:space="0" w:color="auto"/>
      </w:divBdr>
    </w:div>
    <w:div w:id="227150135">
      <w:bodyDiv w:val="1"/>
      <w:marLeft w:val="0"/>
      <w:marRight w:val="0"/>
      <w:marTop w:val="0"/>
      <w:marBottom w:val="0"/>
      <w:divBdr>
        <w:top w:val="none" w:sz="0" w:space="0" w:color="auto"/>
        <w:left w:val="none" w:sz="0" w:space="0" w:color="auto"/>
        <w:bottom w:val="none" w:sz="0" w:space="0" w:color="auto"/>
        <w:right w:val="none" w:sz="0" w:space="0" w:color="auto"/>
      </w:divBdr>
    </w:div>
    <w:div w:id="227613839">
      <w:bodyDiv w:val="1"/>
      <w:marLeft w:val="0"/>
      <w:marRight w:val="0"/>
      <w:marTop w:val="0"/>
      <w:marBottom w:val="0"/>
      <w:divBdr>
        <w:top w:val="none" w:sz="0" w:space="0" w:color="auto"/>
        <w:left w:val="none" w:sz="0" w:space="0" w:color="auto"/>
        <w:bottom w:val="none" w:sz="0" w:space="0" w:color="auto"/>
        <w:right w:val="none" w:sz="0" w:space="0" w:color="auto"/>
      </w:divBdr>
    </w:div>
    <w:div w:id="230584691">
      <w:bodyDiv w:val="1"/>
      <w:marLeft w:val="0"/>
      <w:marRight w:val="0"/>
      <w:marTop w:val="0"/>
      <w:marBottom w:val="0"/>
      <w:divBdr>
        <w:top w:val="none" w:sz="0" w:space="0" w:color="auto"/>
        <w:left w:val="none" w:sz="0" w:space="0" w:color="auto"/>
        <w:bottom w:val="none" w:sz="0" w:space="0" w:color="auto"/>
        <w:right w:val="none" w:sz="0" w:space="0" w:color="auto"/>
      </w:divBdr>
    </w:div>
    <w:div w:id="231500793">
      <w:bodyDiv w:val="1"/>
      <w:marLeft w:val="0"/>
      <w:marRight w:val="0"/>
      <w:marTop w:val="0"/>
      <w:marBottom w:val="0"/>
      <w:divBdr>
        <w:top w:val="none" w:sz="0" w:space="0" w:color="auto"/>
        <w:left w:val="none" w:sz="0" w:space="0" w:color="auto"/>
        <w:bottom w:val="none" w:sz="0" w:space="0" w:color="auto"/>
        <w:right w:val="none" w:sz="0" w:space="0" w:color="auto"/>
      </w:divBdr>
    </w:div>
    <w:div w:id="233051346">
      <w:bodyDiv w:val="1"/>
      <w:marLeft w:val="0"/>
      <w:marRight w:val="0"/>
      <w:marTop w:val="0"/>
      <w:marBottom w:val="0"/>
      <w:divBdr>
        <w:top w:val="none" w:sz="0" w:space="0" w:color="auto"/>
        <w:left w:val="none" w:sz="0" w:space="0" w:color="auto"/>
        <w:bottom w:val="none" w:sz="0" w:space="0" w:color="auto"/>
        <w:right w:val="none" w:sz="0" w:space="0" w:color="auto"/>
      </w:divBdr>
    </w:div>
    <w:div w:id="234750532">
      <w:bodyDiv w:val="1"/>
      <w:marLeft w:val="0"/>
      <w:marRight w:val="0"/>
      <w:marTop w:val="0"/>
      <w:marBottom w:val="0"/>
      <w:divBdr>
        <w:top w:val="none" w:sz="0" w:space="0" w:color="auto"/>
        <w:left w:val="none" w:sz="0" w:space="0" w:color="auto"/>
        <w:bottom w:val="none" w:sz="0" w:space="0" w:color="auto"/>
        <w:right w:val="none" w:sz="0" w:space="0" w:color="auto"/>
      </w:divBdr>
    </w:div>
    <w:div w:id="235629778">
      <w:bodyDiv w:val="1"/>
      <w:marLeft w:val="0"/>
      <w:marRight w:val="0"/>
      <w:marTop w:val="0"/>
      <w:marBottom w:val="0"/>
      <w:divBdr>
        <w:top w:val="none" w:sz="0" w:space="0" w:color="auto"/>
        <w:left w:val="none" w:sz="0" w:space="0" w:color="auto"/>
        <w:bottom w:val="none" w:sz="0" w:space="0" w:color="auto"/>
        <w:right w:val="none" w:sz="0" w:space="0" w:color="auto"/>
      </w:divBdr>
    </w:div>
    <w:div w:id="236476527">
      <w:bodyDiv w:val="1"/>
      <w:marLeft w:val="0"/>
      <w:marRight w:val="0"/>
      <w:marTop w:val="0"/>
      <w:marBottom w:val="0"/>
      <w:divBdr>
        <w:top w:val="none" w:sz="0" w:space="0" w:color="auto"/>
        <w:left w:val="none" w:sz="0" w:space="0" w:color="auto"/>
        <w:bottom w:val="none" w:sz="0" w:space="0" w:color="auto"/>
        <w:right w:val="none" w:sz="0" w:space="0" w:color="auto"/>
      </w:divBdr>
    </w:div>
    <w:div w:id="237833452">
      <w:bodyDiv w:val="1"/>
      <w:marLeft w:val="0"/>
      <w:marRight w:val="0"/>
      <w:marTop w:val="0"/>
      <w:marBottom w:val="0"/>
      <w:divBdr>
        <w:top w:val="none" w:sz="0" w:space="0" w:color="auto"/>
        <w:left w:val="none" w:sz="0" w:space="0" w:color="auto"/>
        <w:bottom w:val="none" w:sz="0" w:space="0" w:color="auto"/>
        <w:right w:val="none" w:sz="0" w:space="0" w:color="auto"/>
      </w:divBdr>
    </w:div>
    <w:div w:id="240989089">
      <w:bodyDiv w:val="1"/>
      <w:marLeft w:val="0"/>
      <w:marRight w:val="0"/>
      <w:marTop w:val="0"/>
      <w:marBottom w:val="0"/>
      <w:divBdr>
        <w:top w:val="none" w:sz="0" w:space="0" w:color="auto"/>
        <w:left w:val="none" w:sz="0" w:space="0" w:color="auto"/>
        <w:bottom w:val="none" w:sz="0" w:space="0" w:color="auto"/>
        <w:right w:val="none" w:sz="0" w:space="0" w:color="auto"/>
      </w:divBdr>
    </w:div>
    <w:div w:id="243492557">
      <w:bodyDiv w:val="1"/>
      <w:marLeft w:val="0"/>
      <w:marRight w:val="0"/>
      <w:marTop w:val="0"/>
      <w:marBottom w:val="0"/>
      <w:divBdr>
        <w:top w:val="none" w:sz="0" w:space="0" w:color="auto"/>
        <w:left w:val="none" w:sz="0" w:space="0" w:color="auto"/>
        <w:bottom w:val="none" w:sz="0" w:space="0" w:color="auto"/>
        <w:right w:val="none" w:sz="0" w:space="0" w:color="auto"/>
      </w:divBdr>
    </w:div>
    <w:div w:id="245655132">
      <w:bodyDiv w:val="1"/>
      <w:marLeft w:val="0"/>
      <w:marRight w:val="0"/>
      <w:marTop w:val="0"/>
      <w:marBottom w:val="0"/>
      <w:divBdr>
        <w:top w:val="none" w:sz="0" w:space="0" w:color="auto"/>
        <w:left w:val="none" w:sz="0" w:space="0" w:color="auto"/>
        <w:bottom w:val="none" w:sz="0" w:space="0" w:color="auto"/>
        <w:right w:val="none" w:sz="0" w:space="0" w:color="auto"/>
      </w:divBdr>
    </w:div>
    <w:div w:id="249656419">
      <w:bodyDiv w:val="1"/>
      <w:marLeft w:val="0"/>
      <w:marRight w:val="0"/>
      <w:marTop w:val="0"/>
      <w:marBottom w:val="0"/>
      <w:divBdr>
        <w:top w:val="none" w:sz="0" w:space="0" w:color="auto"/>
        <w:left w:val="none" w:sz="0" w:space="0" w:color="auto"/>
        <w:bottom w:val="none" w:sz="0" w:space="0" w:color="auto"/>
        <w:right w:val="none" w:sz="0" w:space="0" w:color="auto"/>
      </w:divBdr>
    </w:div>
    <w:div w:id="251159827">
      <w:bodyDiv w:val="1"/>
      <w:marLeft w:val="0"/>
      <w:marRight w:val="0"/>
      <w:marTop w:val="0"/>
      <w:marBottom w:val="0"/>
      <w:divBdr>
        <w:top w:val="none" w:sz="0" w:space="0" w:color="auto"/>
        <w:left w:val="none" w:sz="0" w:space="0" w:color="auto"/>
        <w:bottom w:val="none" w:sz="0" w:space="0" w:color="auto"/>
        <w:right w:val="none" w:sz="0" w:space="0" w:color="auto"/>
      </w:divBdr>
    </w:div>
    <w:div w:id="252979155">
      <w:bodyDiv w:val="1"/>
      <w:marLeft w:val="0"/>
      <w:marRight w:val="0"/>
      <w:marTop w:val="0"/>
      <w:marBottom w:val="0"/>
      <w:divBdr>
        <w:top w:val="none" w:sz="0" w:space="0" w:color="auto"/>
        <w:left w:val="none" w:sz="0" w:space="0" w:color="auto"/>
        <w:bottom w:val="none" w:sz="0" w:space="0" w:color="auto"/>
        <w:right w:val="none" w:sz="0" w:space="0" w:color="auto"/>
      </w:divBdr>
    </w:div>
    <w:div w:id="253048975">
      <w:bodyDiv w:val="1"/>
      <w:marLeft w:val="0"/>
      <w:marRight w:val="0"/>
      <w:marTop w:val="0"/>
      <w:marBottom w:val="0"/>
      <w:divBdr>
        <w:top w:val="none" w:sz="0" w:space="0" w:color="auto"/>
        <w:left w:val="none" w:sz="0" w:space="0" w:color="auto"/>
        <w:bottom w:val="none" w:sz="0" w:space="0" w:color="auto"/>
        <w:right w:val="none" w:sz="0" w:space="0" w:color="auto"/>
      </w:divBdr>
    </w:div>
    <w:div w:id="256140599">
      <w:bodyDiv w:val="1"/>
      <w:marLeft w:val="0"/>
      <w:marRight w:val="0"/>
      <w:marTop w:val="0"/>
      <w:marBottom w:val="0"/>
      <w:divBdr>
        <w:top w:val="none" w:sz="0" w:space="0" w:color="auto"/>
        <w:left w:val="none" w:sz="0" w:space="0" w:color="auto"/>
        <w:bottom w:val="none" w:sz="0" w:space="0" w:color="auto"/>
        <w:right w:val="none" w:sz="0" w:space="0" w:color="auto"/>
      </w:divBdr>
    </w:div>
    <w:div w:id="256255555">
      <w:bodyDiv w:val="1"/>
      <w:marLeft w:val="0"/>
      <w:marRight w:val="0"/>
      <w:marTop w:val="0"/>
      <w:marBottom w:val="0"/>
      <w:divBdr>
        <w:top w:val="none" w:sz="0" w:space="0" w:color="auto"/>
        <w:left w:val="none" w:sz="0" w:space="0" w:color="auto"/>
        <w:bottom w:val="none" w:sz="0" w:space="0" w:color="auto"/>
        <w:right w:val="none" w:sz="0" w:space="0" w:color="auto"/>
      </w:divBdr>
    </w:div>
    <w:div w:id="258681942">
      <w:bodyDiv w:val="1"/>
      <w:marLeft w:val="0"/>
      <w:marRight w:val="0"/>
      <w:marTop w:val="0"/>
      <w:marBottom w:val="0"/>
      <w:divBdr>
        <w:top w:val="none" w:sz="0" w:space="0" w:color="auto"/>
        <w:left w:val="none" w:sz="0" w:space="0" w:color="auto"/>
        <w:bottom w:val="none" w:sz="0" w:space="0" w:color="auto"/>
        <w:right w:val="none" w:sz="0" w:space="0" w:color="auto"/>
      </w:divBdr>
    </w:div>
    <w:div w:id="263151195">
      <w:bodyDiv w:val="1"/>
      <w:marLeft w:val="0"/>
      <w:marRight w:val="0"/>
      <w:marTop w:val="0"/>
      <w:marBottom w:val="0"/>
      <w:divBdr>
        <w:top w:val="none" w:sz="0" w:space="0" w:color="auto"/>
        <w:left w:val="none" w:sz="0" w:space="0" w:color="auto"/>
        <w:bottom w:val="none" w:sz="0" w:space="0" w:color="auto"/>
        <w:right w:val="none" w:sz="0" w:space="0" w:color="auto"/>
      </w:divBdr>
    </w:div>
    <w:div w:id="264117546">
      <w:bodyDiv w:val="1"/>
      <w:marLeft w:val="0"/>
      <w:marRight w:val="0"/>
      <w:marTop w:val="0"/>
      <w:marBottom w:val="0"/>
      <w:divBdr>
        <w:top w:val="none" w:sz="0" w:space="0" w:color="auto"/>
        <w:left w:val="none" w:sz="0" w:space="0" w:color="auto"/>
        <w:bottom w:val="none" w:sz="0" w:space="0" w:color="auto"/>
        <w:right w:val="none" w:sz="0" w:space="0" w:color="auto"/>
      </w:divBdr>
    </w:div>
    <w:div w:id="266885771">
      <w:bodyDiv w:val="1"/>
      <w:marLeft w:val="0"/>
      <w:marRight w:val="0"/>
      <w:marTop w:val="0"/>
      <w:marBottom w:val="0"/>
      <w:divBdr>
        <w:top w:val="none" w:sz="0" w:space="0" w:color="auto"/>
        <w:left w:val="none" w:sz="0" w:space="0" w:color="auto"/>
        <w:bottom w:val="none" w:sz="0" w:space="0" w:color="auto"/>
        <w:right w:val="none" w:sz="0" w:space="0" w:color="auto"/>
      </w:divBdr>
    </w:div>
    <w:div w:id="269438385">
      <w:bodyDiv w:val="1"/>
      <w:marLeft w:val="0"/>
      <w:marRight w:val="0"/>
      <w:marTop w:val="0"/>
      <w:marBottom w:val="0"/>
      <w:divBdr>
        <w:top w:val="none" w:sz="0" w:space="0" w:color="auto"/>
        <w:left w:val="none" w:sz="0" w:space="0" w:color="auto"/>
        <w:bottom w:val="none" w:sz="0" w:space="0" w:color="auto"/>
        <w:right w:val="none" w:sz="0" w:space="0" w:color="auto"/>
      </w:divBdr>
    </w:div>
    <w:div w:id="269777648">
      <w:bodyDiv w:val="1"/>
      <w:marLeft w:val="0"/>
      <w:marRight w:val="0"/>
      <w:marTop w:val="0"/>
      <w:marBottom w:val="0"/>
      <w:divBdr>
        <w:top w:val="none" w:sz="0" w:space="0" w:color="auto"/>
        <w:left w:val="none" w:sz="0" w:space="0" w:color="auto"/>
        <w:bottom w:val="none" w:sz="0" w:space="0" w:color="auto"/>
        <w:right w:val="none" w:sz="0" w:space="0" w:color="auto"/>
      </w:divBdr>
    </w:div>
    <w:div w:id="270361420">
      <w:bodyDiv w:val="1"/>
      <w:marLeft w:val="0"/>
      <w:marRight w:val="0"/>
      <w:marTop w:val="0"/>
      <w:marBottom w:val="0"/>
      <w:divBdr>
        <w:top w:val="none" w:sz="0" w:space="0" w:color="auto"/>
        <w:left w:val="none" w:sz="0" w:space="0" w:color="auto"/>
        <w:bottom w:val="none" w:sz="0" w:space="0" w:color="auto"/>
        <w:right w:val="none" w:sz="0" w:space="0" w:color="auto"/>
      </w:divBdr>
    </w:div>
    <w:div w:id="270939259">
      <w:bodyDiv w:val="1"/>
      <w:marLeft w:val="0"/>
      <w:marRight w:val="0"/>
      <w:marTop w:val="0"/>
      <w:marBottom w:val="0"/>
      <w:divBdr>
        <w:top w:val="none" w:sz="0" w:space="0" w:color="auto"/>
        <w:left w:val="none" w:sz="0" w:space="0" w:color="auto"/>
        <w:bottom w:val="none" w:sz="0" w:space="0" w:color="auto"/>
        <w:right w:val="none" w:sz="0" w:space="0" w:color="auto"/>
      </w:divBdr>
    </w:div>
    <w:div w:id="271015795">
      <w:bodyDiv w:val="1"/>
      <w:marLeft w:val="0"/>
      <w:marRight w:val="0"/>
      <w:marTop w:val="0"/>
      <w:marBottom w:val="0"/>
      <w:divBdr>
        <w:top w:val="none" w:sz="0" w:space="0" w:color="auto"/>
        <w:left w:val="none" w:sz="0" w:space="0" w:color="auto"/>
        <w:bottom w:val="none" w:sz="0" w:space="0" w:color="auto"/>
        <w:right w:val="none" w:sz="0" w:space="0" w:color="auto"/>
      </w:divBdr>
    </w:div>
    <w:div w:id="275218031">
      <w:bodyDiv w:val="1"/>
      <w:marLeft w:val="0"/>
      <w:marRight w:val="0"/>
      <w:marTop w:val="0"/>
      <w:marBottom w:val="0"/>
      <w:divBdr>
        <w:top w:val="none" w:sz="0" w:space="0" w:color="auto"/>
        <w:left w:val="none" w:sz="0" w:space="0" w:color="auto"/>
        <w:bottom w:val="none" w:sz="0" w:space="0" w:color="auto"/>
        <w:right w:val="none" w:sz="0" w:space="0" w:color="auto"/>
      </w:divBdr>
    </w:div>
    <w:div w:id="275795797">
      <w:bodyDiv w:val="1"/>
      <w:marLeft w:val="0"/>
      <w:marRight w:val="0"/>
      <w:marTop w:val="0"/>
      <w:marBottom w:val="0"/>
      <w:divBdr>
        <w:top w:val="none" w:sz="0" w:space="0" w:color="auto"/>
        <w:left w:val="none" w:sz="0" w:space="0" w:color="auto"/>
        <w:bottom w:val="none" w:sz="0" w:space="0" w:color="auto"/>
        <w:right w:val="none" w:sz="0" w:space="0" w:color="auto"/>
      </w:divBdr>
    </w:div>
    <w:div w:id="276523326">
      <w:bodyDiv w:val="1"/>
      <w:marLeft w:val="0"/>
      <w:marRight w:val="0"/>
      <w:marTop w:val="0"/>
      <w:marBottom w:val="0"/>
      <w:divBdr>
        <w:top w:val="none" w:sz="0" w:space="0" w:color="auto"/>
        <w:left w:val="none" w:sz="0" w:space="0" w:color="auto"/>
        <w:bottom w:val="none" w:sz="0" w:space="0" w:color="auto"/>
        <w:right w:val="none" w:sz="0" w:space="0" w:color="auto"/>
      </w:divBdr>
    </w:div>
    <w:div w:id="277494685">
      <w:bodyDiv w:val="1"/>
      <w:marLeft w:val="0"/>
      <w:marRight w:val="0"/>
      <w:marTop w:val="0"/>
      <w:marBottom w:val="0"/>
      <w:divBdr>
        <w:top w:val="none" w:sz="0" w:space="0" w:color="auto"/>
        <w:left w:val="none" w:sz="0" w:space="0" w:color="auto"/>
        <w:bottom w:val="none" w:sz="0" w:space="0" w:color="auto"/>
        <w:right w:val="none" w:sz="0" w:space="0" w:color="auto"/>
      </w:divBdr>
    </w:div>
    <w:div w:id="283315903">
      <w:bodyDiv w:val="1"/>
      <w:marLeft w:val="0"/>
      <w:marRight w:val="0"/>
      <w:marTop w:val="0"/>
      <w:marBottom w:val="0"/>
      <w:divBdr>
        <w:top w:val="none" w:sz="0" w:space="0" w:color="auto"/>
        <w:left w:val="none" w:sz="0" w:space="0" w:color="auto"/>
        <w:bottom w:val="none" w:sz="0" w:space="0" w:color="auto"/>
        <w:right w:val="none" w:sz="0" w:space="0" w:color="auto"/>
      </w:divBdr>
    </w:div>
    <w:div w:id="286284027">
      <w:bodyDiv w:val="1"/>
      <w:marLeft w:val="0"/>
      <w:marRight w:val="0"/>
      <w:marTop w:val="0"/>
      <w:marBottom w:val="0"/>
      <w:divBdr>
        <w:top w:val="none" w:sz="0" w:space="0" w:color="auto"/>
        <w:left w:val="none" w:sz="0" w:space="0" w:color="auto"/>
        <w:bottom w:val="none" w:sz="0" w:space="0" w:color="auto"/>
        <w:right w:val="none" w:sz="0" w:space="0" w:color="auto"/>
      </w:divBdr>
    </w:div>
    <w:div w:id="289015121">
      <w:bodyDiv w:val="1"/>
      <w:marLeft w:val="0"/>
      <w:marRight w:val="0"/>
      <w:marTop w:val="0"/>
      <w:marBottom w:val="0"/>
      <w:divBdr>
        <w:top w:val="none" w:sz="0" w:space="0" w:color="auto"/>
        <w:left w:val="none" w:sz="0" w:space="0" w:color="auto"/>
        <w:bottom w:val="none" w:sz="0" w:space="0" w:color="auto"/>
        <w:right w:val="none" w:sz="0" w:space="0" w:color="auto"/>
      </w:divBdr>
    </w:div>
    <w:div w:id="289169469">
      <w:bodyDiv w:val="1"/>
      <w:marLeft w:val="0"/>
      <w:marRight w:val="0"/>
      <w:marTop w:val="0"/>
      <w:marBottom w:val="0"/>
      <w:divBdr>
        <w:top w:val="none" w:sz="0" w:space="0" w:color="auto"/>
        <w:left w:val="none" w:sz="0" w:space="0" w:color="auto"/>
        <w:bottom w:val="none" w:sz="0" w:space="0" w:color="auto"/>
        <w:right w:val="none" w:sz="0" w:space="0" w:color="auto"/>
      </w:divBdr>
    </w:div>
    <w:div w:id="289482776">
      <w:bodyDiv w:val="1"/>
      <w:marLeft w:val="0"/>
      <w:marRight w:val="0"/>
      <w:marTop w:val="0"/>
      <w:marBottom w:val="0"/>
      <w:divBdr>
        <w:top w:val="none" w:sz="0" w:space="0" w:color="auto"/>
        <w:left w:val="none" w:sz="0" w:space="0" w:color="auto"/>
        <w:bottom w:val="none" w:sz="0" w:space="0" w:color="auto"/>
        <w:right w:val="none" w:sz="0" w:space="0" w:color="auto"/>
      </w:divBdr>
    </w:div>
    <w:div w:id="290329615">
      <w:bodyDiv w:val="1"/>
      <w:marLeft w:val="0"/>
      <w:marRight w:val="0"/>
      <w:marTop w:val="0"/>
      <w:marBottom w:val="0"/>
      <w:divBdr>
        <w:top w:val="none" w:sz="0" w:space="0" w:color="auto"/>
        <w:left w:val="none" w:sz="0" w:space="0" w:color="auto"/>
        <w:bottom w:val="none" w:sz="0" w:space="0" w:color="auto"/>
        <w:right w:val="none" w:sz="0" w:space="0" w:color="auto"/>
      </w:divBdr>
    </w:div>
    <w:div w:id="291518252">
      <w:bodyDiv w:val="1"/>
      <w:marLeft w:val="0"/>
      <w:marRight w:val="0"/>
      <w:marTop w:val="0"/>
      <w:marBottom w:val="0"/>
      <w:divBdr>
        <w:top w:val="none" w:sz="0" w:space="0" w:color="auto"/>
        <w:left w:val="none" w:sz="0" w:space="0" w:color="auto"/>
        <w:bottom w:val="none" w:sz="0" w:space="0" w:color="auto"/>
        <w:right w:val="none" w:sz="0" w:space="0" w:color="auto"/>
      </w:divBdr>
    </w:div>
    <w:div w:id="292643385">
      <w:bodyDiv w:val="1"/>
      <w:marLeft w:val="0"/>
      <w:marRight w:val="0"/>
      <w:marTop w:val="0"/>
      <w:marBottom w:val="0"/>
      <w:divBdr>
        <w:top w:val="none" w:sz="0" w:space="0" w:color="auto"/>
        <w:left w:val="none" w:sz="0" w:space="0" w:color="auto"/>
        <w:bottom w:val="none" w:sz="0" w:space="0" w:color="auto"/>
        <w:right w:val="none" w:sz="0" w:space="0" w:color="auto"/>
      </w:divBdr>
    </w:div>
    <w:div w:id="295647102">
      <w:bodyDiv w:val="1"/>
      <w:marLeft w:val="0"/>
      <w:marRight w:val="0"/>
      <w:marTop w:val="0"/>
      <w:marBottom w:val="0"/>
      <w:divBdr>
        <w:top w:val="none" w:sz="0" w:space="0" w:color="auto"/>
        <w:left w:val="none" w:sz="0" w:space="0" w:color="auto"/>
        <w:bottom w:val="none" w:sz="0" w:space="0" w:color="auto"/>
        <w:right w:val="none" w:sz="0" w:space="0" w:color="auto"/>
      </w:divBdr>
    </w:div>
    <w:div w:id="296843542">
      <w:bodyDiv w:val="1"/>
      <w:marLeft w:val="0"/>
      <w:marRight w:val="0"/>
      <w:marTop w:val="0"/>
      <w:marBottom w:val="0"/>
      <w:divBdr>
        <w:top w:val="none" w:sz="0" w:space="0" w:color="auto"/>
        <w:left w:val="none" w:sz="0" w:space="0" w:color="auto"/>
        <w:bottom w:val="none" w:sz="0" w:space="0" w:color="auto"/>
        <w:right w:val="none" w:sz="0" w:space="0" w:color="auto"/>
      </w:divBdr>
    </w:div>
    <w:div w:id="297809772">
      <w:bodyDiv w:val="1"/>
      <w:marLeft w:val="0"/>
      <w:marRight w:val="0"/>
      <w:marTop w:val="0"/>
      <w:marBottom w:val="0"/>
      <w:divBdr>
        <w:top w:val="none" w:sz="0" w:space="0" w:color="auto"/>
        <w:left w:val="none" w:sz="0" w:space="0" w:color="auto"/>
        <w:bottom w:val="none" w:sz="0" w:space="0" w:color="auto"/>
        <w:right w:val="none" w:sz="0" w:space="0" w:color="auto"/>
      </w:divBdr>
    </w:div>
    <w:div w:id="297881095">
      <w:bodyDiv w:val="1"/>
      <w:marLeft w:val="0"/>
      <w:marRight w:val="0"/>
      <w:marTop w:val="0"/>
      <w:marBottom w:val="0"/>
      <w:divBdr>
        <w:top w:val="none" w:sz="0" w:space="0" w:color="auto"/>
        <w:left w:val="none" w:sz="0" w:space="0" w:color="auto"/>
        <w:bottom w:val="none" w:sz="0" w:space="0" w:color="auto"/>
        <w:right w:val="none" w:sz="0" w:space="0" w:color="auto"/>
      </w:divBdr>
    </w:div>
    <w:div w:id="298582797">
      <w:bodyDiv w:val="1"/>
      <w:marLeft w:val="0"/>
      <w:marRight w:val="0"/>
      <w:marTop w:val="0"/>
      <w:marBottom w:val="0"/>
      <w:divBdr>
        <w:top w:val="none" w:sz="0" w:space="0" w:color="auto"/>
        <w:left w:val="none" w:sz="0" w:space="0" w:color="auto"/>
        <w:bottom w:val="none" w:sz="0" w:space="0" w:color="auto"/>
        <w:right w:val="none" w:sz="0" w:space="0" w:color="auto"/>
      </w:divBdr>
    </w:div>
    <w:div w:id="298926121">
      <w:bodyDiv w:val="1"/>
      <w:marLeft w:val="0"/>
      <w:marRight w:val="0"/>
      <w:marTop w:val="0"/>
      <w:marBottom w:val="0"/>
      <w:divBdr>
        <w:top w:val="none" w:sz="0" w:space="0" w:color="auto"/>
        <w:left w:val="none" w:sz="0" w:space="0" w:color="auto"/>
        <w:bottom w:val="none" w:sz="0" w:space="0" w:color="auto"/>
        <w:right w:val="none" w:sz="0" w:space="0" w:color="auto"/>
      </w:divBdr>
    </w:div>
    <w:div w:id="301235297">
      <w:bodyDiv w:val="1"/>
      <w:marLeft w:val="0"/>
      <w:marRight w:val="0"/>
      <w:marTop w:val="0"/>
      <w:marBottom w:val="0"/>
      <w:divBdr>
        <w:top w:val="none" w:sz="0" w:space="0" w:color="auto"/>
        <w:left w:val="none" w:sz="0" w:space="0" w:color="auto"/>
        <w:bottom w:val="none" w:sz="0" w:space="0" w:color="auto"/>
        <w:right w:val="none" w:sz="0" w:space="0" w:color="auto"/>
      </w:divBdr>
    </w:div>
    <w:div w:id="302153556">
      <w:bodyDiv w:val="1"/>
      <w:marLeft w:val="0"/>
      <w:marRight w:val="0"/>
      <w:marTop w:val="0"/>
      <w:marBottom w:val="0"/>
      <w:divBdr>
        <w:top w:val="none" w:sz="0" w:space="0" w:color="auto"/>
        <w:left w:val="none" w:sz="0" w:space="0" w:color="auto"/>
        <w:bottom w:val="none" w:sz="0" w:space="0" w:color="auto"/>
        <w:right w:val="none" w:sz="0" w:space="0" w:color="auto"/>
      </w:divBdr>
    </w:div>
    <w:div w:id="303851517">
      <w:bodyDiv w:val="1"/>
      <w:marLeft w:val="0"/>
      <w:marRight w:val="0"/>
      <w:marTop w:val="0"/>
      <w:marBottom w:val="0"/>
      <w:divBdr>
        <w:top w:val="none" w:sz="0" w:space="0" w:color="auto"/>
        <w:left w:val="none" w:sz="0" w:space="0" w:color="auto"/>
        <w:bottom w:val="none" w:sz="0" w:space="0" w:color="auto"/>
        <w:right w:val="none" w:sz="0" w:space="0" w:color="auto"/>
      </w:divBdr>
    </w:div>
    <w:div w:id="304117948">
      <w:bodyDiv w:val="1"/>
      <w:marLeft w:val="0"/>
      <w:marRight w:val="0"/>
      <w:marTop w:val="0"/>
      <w:marBottom w:val="0"/>
      <w:divBdr>
        <w:top w:val="none" w:sz="0" w:space="0" w:color="auto"/>
        <w:left w:val="none" w:sz="0" w:space="0" w:color="auto"/>
        <w:bottom w:val="none" w:sz="0" w:space="0" w:color="auto"/>
        <w:right w:val="none" w:sz="0" w:space="0" w:color="auto"/>
      </w:divBdr>
    </w:div>
    <w:div w:id="306592465">
      <w:bodyDiv w:val="1"/>
      <w:marLeft w:val="0"/>
      <w:marRight w:val="0"/>
      <w:marTop w:val="0"/>
      <w:marBottom w:val="0"/>
      <w:divBdr>
        <w:top w:val="none" w:sz="0" w:space="0" w:color="auto"/>
        <w:left w:val="none" w:sz="0" w:space="0" w:color="auto"/>
        <w:bottom w:val="none" w:sz="0" w:space="0" w:color="auto"/>
        <w:right w:val="none" w:sz="0" w:space="0" w:color="auto"/>
      </w:divBdr>
    </w:div>
    <w:div w:id="313069637">
      <w:bodyDiv w:val="1"/>
      <w:marLeft w:val="0"/>
      <w:marRight w:val="0"/>
      <w:marTop w:val="0"/>
      <w:marBottom w:val="0"/>
      <w:divBdr>
        <w:top w:val="none" w:sz="0" w:space="0" w:color="auto"/>
        <w:left w:val="none" w:sz="0" w:space="0" w:color="auto"/>
        <w:bottom w:val="none" w:sz="0" w:space="0" w:color="auto"/>
        <w:right w:val="none" w:sz="0" w:space="0" w:color="auto"/>
      </w:divBdr>
    </w:div>
    <w:div w:id="316039217">
      <w:bodyDiv w:val="1"/>
      <w:marLeft w:val="0"/>
      <w:marRight w:val="0"/>
      <w:marTop w:val="0"/>
      <w:marBottom w:val="0"/>
      <w:divBdr>
        <w:top w:val="none" w:sz="0" w:space="0" w:color="auto"/>
        <w:left w:val="none" w:sz="0" w:space="0" w:color="auto"/>
        <w:bottom w:val="none" w:sz="0" w:space="0" w:color="auto"/>
        <w:right w:val="none" w:sz="0" w:space="0" w:color="auto"/>
      </w:divBdr>
    </w:div>
    <w:div w:id="320350812">
      <w:bodyDiv w:val="1"/>
      <w:marLeft w:val="0"/>
      <w:marRight w:val="0"/>
      <w:marTop w:val="0"/>
      <w:marBottom w:val="0"/>
      <w:divBdr>
        <w:top w:val="none" w:sz="0" w:space="0" w:color="auto"/>
        <w:left w:val="none" w:sz="0" w:space="0" w:color="auto"/>
        <w:bottom w:val="none" w:sz="0" w:space="0" w:color="auto"/>
        <w:right w:val="none" w:sz="0" w:space="0" w:color="auto"/>
      </w:divBdr>
    </w:div>
    <w:div w:id="321928569">
      <w:bodyDiv w:val="1"/>
      <w:marLeft w:val="0"/>
      <w:marRight w:val="0"/>
      <w:marTop w:val="0"/>
      <w:marBottom w:val="0"/>
      <w:divBdr>
        <w:top w:val="none" w:sz="0" w:space="0" w:color="auto"/>
        <w:left w:val="none" w:sz="0" w:space="0" w:color="auto"/>
        <w:bottom w:val="none" w:sz="0" w:space="0" w:color="auto"/>
        <w:right w:val="none" w:sz="0" w:space="0" w:color="auto"/>
      </w:divBdr>
    </w:div>
    <w:div w:id="325518074">
      <w:bodyDiv w:val="1"/>
      <w:marLeft w:val="0"/>
      <w:marRight w:val="0"/>
      <w:marTop w:val="0"/>
      <w:marBottom w:val="0"/>
      <w:divBdr>
        <w:top w:val="none" w:sz="0" w:space="0" w:color="auto"/>
        <w:left w:val="none" w:sz="0" w:space="0" w:color="auto"/>
        <w:bottom w:val="none" w:sz="0" w:space="0" w:color="auto"/>
        <w:right w:val="none" w:sz="0" w:space="0" w:color="auto"/>
      </w:divBdr>
    </w:div>
    <w:div w:id="328025969">
      <w:bodyDiv w:val="1"/>
      <w:marLeft w:val="0"/>
      <w:marRight w:val="0"/>
      <w:marTop w:val="0"/>
      <w:marBottom w:val="0"/>
      <w:divBdr>
        <w:top w:val="none" w:sz="0" w:space="0" w:color="auto"/>
        <w:left w:val="none" w:sz="0" w:space="0" w:color="auto"/>
        <w:bottom w:val="none" w:sz="0" w:space="0" w:color="auto"/>
        <w:right w:val="none" w:sz="0" w:space="0" w:color="auto"/>
      </w:divBdr>
    </w:div>
    <w:div w:id="330913733">
      <w:bodyDiv w:val="1"/>
      <w:marLeft w:val="0"/>
      <w:marRight w:val="0"/>
      <w:marTop w:val="0"/>
      <w:marBottom w:val="0"/>
      <w:divBdr>
        <w:top w:val="none" w:sz="0" w:space="0" w:color="auto"/>
        <w:left w:val="none" w:sz="0" w:space="0" w:color="auto"/>
        <w:bottom w:val="none" w:sz="0" w:space="0" w:color="auto"/>
        <w:right w:val="none" w:sz="0" w:space="0" w:color="auto"/>
      </w:divBdr>
    </w:div>
    <w:div w:id="332489319">
      <w:bodyDiv w:val="1"/>
      <w:marLeft w:val="0"/>
      <w:marRight w:val="0"/>
      <w:marTop w:val="0"/>
      <w:marBottom w:val="0"/>
      <w:divBdr>
        <w:top w:val="none" w:sz="0" w:space="0" w:color="auto"/>
        <w:left w:val="none" w:sz="0" w:space="0" w:color="auto"/>
        <w:bottom w:val="none" w:sz="0" w:space="0" w:color="auto"/>
        <w:right w:val="none" w:sz="0" w:space="0" w:color="auto"/>
      </w:divBdr>
    </w:div>
    <w:div w:id="333337402">
      <w:bodyDiv w:val="1"/>
      <w:marLeft w:val="0"/>
      <w:marRight w:val="0"/>
      <w:marTop w:val="0"/>
      <w:marBottom w:val="0"/>
      <w:divBdr>
        <w:top w:val="none" w:sz="0" w:space="0" w:color="auto"/>
        <w:left w:val="none" w:sz="0" w:space="0" w:color="auto"/>
        <w:bottom w:val="none" w:sz="0" w:space="0" w:color="auto"/>
        <w:right w:val="none" w:sz="0" w:space="0" w:color="auto"/>
      </w:divBdr>
    </w:div>
    <w:div w:id="334500874">
      <w:bodyDiv w:val="1"/>
      <w:marLeft w:val="0"/>
      <w:marRight w:val="0"/>
      <w:marTop w:val="0"/>
      <w:marBottom w:val="0"/>
      <w:divBdr>
        <w:top w:val="none" w:sz="0" w:space="0" w:color="auto"/>
        <w:left w:val="none" w:sz="0" w:space="0" w:color="auto"/>
        <w:bottom w:val="none" w:sz="0" w:space="0" w:color="auto"/>
        <w:right w:val="none" w:sz="0" w:space="0" w:color="auto"/>
      </w:divBdr>
    </w:div>
    <w:div w:id="336659272">
      <w:bodyDiv w:val="1"/>
      <w:marLeft w:val="0"/>
      <w:marRight w:val="0"/>
      <w:marTop w:val="0"/>
      <w:marBottom w:val="0"/>
      <w:divBdr>
        <w:top w:val="none" w:sz="0" w:space="0" w:color="auto"/>
        <w:left w:val="none" w:sz="0" w:space="0" w:color="auto"/>
        <w:bottom w:val="none" w:sz="0" w:space="0" w:color="auto"/>
        <w:right w:val="none" w:sz="0" w:space="0" w:color="auto"/>
      </w:divBdr>
    </w:div>
    <w:div w:id="338586807">
      <w:bodyDiv w:val="1"/>
      <w:marLeft w:val="0"/>
      <w:marRight w:val="0"/>
      <w:marTop w:val="0"/>
      <w:marBottom w:val="0"/>
      <w:divBdr>
        <w:top w:val="none" w:sz="0" w:space="0" w:color="auto"/>
        <w:left w:val="none" w:sz="0" w:space="0" w:color="auto"/>
        <w:bottom w:val="none" w:sz="0" w:space="0" w:color="auto"/>
        <w:right w:val="none" w:sz="0" w:space="0" w:color="auto"/>
      </w:divBdr>
    </w:div>
    <w:div w:id="338821765">
      <w:bodyDiv w:val="1"/>
      <w:marLeft w:val="0"/>
      <w:marRight w:val="0"/>
      <w:marTop w:val="0"/>
      <w:marBottom w:val="0"/>
      <w:divBdr>
        <w:top w:val="none" w:sz="0" w:space="0" w:color="auto"/>
        <w:left w:val="none" w:sz="0" w:space="0" w:color="auto"/>
        <w:bottom w:val="none" w:sz="0" w:space="0" w:color="auto"/>
        <w:right w:val="none" w:sz="0" w:space="0" w:color="auto"/>
      </w:divBdr>
    </w:div>
    <w:div w:id="341470860">
      <w:bodyDiv w:val="1"/>
      <w:marLeft w:val="0"/>
      <w:marRight w:val="0"/>
      <w:marTop w:val="0"/>
      <w:marBottom w:val="0"/>
      <w:divBdr>
        <w:top w:val="none" w:sz="0" w:space="0" w:color="auto"/>
        <w:left w:val="none" w:sz="0" w:space="0" w:color="auto"/>
        <w:bottom w:val="none" w:sz="0" w:space="0" w:color="auto"/>
        <w:right w:val="none" w:sz="0" w:space="0" w:color="auto"/>
      </w:divBdr>
    </w:div>
    <w:div w:id="342098321">
      <w:bodyDiv w:val="1"/>
      <w:marLeft w:val="0"/>
      <w:marRight w:val="0"/>
      <w:marTop w:val="0"/>
      <w:marBottom w:val="0"/>
      <w:divBdr>
        <w:top w:val="none" w:sz="0" w:space="0" w:color="auto"/>
        <w:left w:val="none" w:sz="0" w:space="0" w:color="auto"/>
        <w:bottom w:val="none" w:sz="0" w:space="0" w:color="auto"/>
        <w:right w:val="none" w:sz="0" w:space="0" w:color="auto"/>
      </w:divBdr>
    </w:div>
    <w:div w:id="345064290">
      <w:bodyDiv w:val="1"/>
      <w:marLeft w:val="0"/>
      <w:marRight w:val="0"/>
      <w:marTop w:val="0"/>
      <w:marBottom w:val="0"/>
      <w:divBdr>
        <w:top w:val="none" w:sz="0" w:space="0" w:color="auto"/>
        <w:left w:val="none" w:sz="0" w:space="0" w:color="auto"/>
        <w:bottom w:val="none" w:sz="0" w:space="0" w:color="auto"/>
        <w:right w:val="none" w:sz="0" w:space="0" w:color="auto"/>
      </w:divBdr>
    </w:div>
    <w:div w:id="346177516">
      <w:bodyDiv w:val="1"/>
      <w:marLeft w:val="0"/>
      <w:marRight w:val="0"/>
      <w:marTop w:val="0"/>
      <w:marBottom w:val="0"/>
      <w:divBdr>
        <w:top w:val="none" w:sz="0" w:space="0" w:color="auto"/>
        <w:left w:val="none" w:sz="0" w:space="0" w:color="auto"/>
        <w:bottom w:val="none" w:sz="0" w:space="0" w:color="auto"/>
        <w:right w:val="none" w:sz="0" w:space="0" w:color="auto"/>
      </w:divBdr>
    </w:div>
    <w:div w:id="348797170">
      <w:bodyDiv w:val="1"/>
      <w:marLeft w:val="0"/>
      <w:marRight w:val="0"/>
      <w:marTop w:val="0"/>
      <w:marBottom w:val="0"/>
      <w:divBdr>
        <w:top w:val="none" w:sz="0" w:space="0" w:color="auto"/>
        <w:left w:val="none" w:sz="0" w:space="0" w:color="auto"/>
        <w:bottom w:val="none" w:sz="0" w:space="0" w:color="auto"/>
        <w:right w:val="none" w:sz="0" w:space="0" w:color="auto"/>
      </w:divBdr>
    </w:div>
    <w:div w:id="352463651">
      <w:bodyDiv w:val="1"/>
      <w:marLeft w:val="0"/>
      <w:marRight w:val="0"/>
      <w:marTop w:val="0"/>
      <w:marBottom w:val="0"/>
      <w:divBdr>
        <w:top w:val="none" w:sz="0" w:space="0" w:color="auto"/>
        <w:left w:val="none" w:sz="0" w:space="0" w:color="auto"/>
        <w:bottom w:val="none" w:sz="0" w:space="0" w:color="auto"/>
        <w:right w:val="none" w:sz="0" w:space="0" w:color="auto"/>
      </w:divBdr>
    </w:div>
    <w:div w:id="353966692">
      <w:bodyDiv w:val="1"/>
      <w:marLeft w:val="0"/>
      <w:marRight w:val="0"/>
      <w:marTop w:val="0"/>
      <w:marBottom w:val="0"/>
      <w:divBdr>
        <w:top w:val="none" w:sz="0" w:space="0" w:color="auto"/>
        <w:left w:val="none" w:sz="0" w:space="0" w:color="auto"/>
        <w:bottom w:val="none" w:sz="0" w:space="0" w:color="auto"/>
        <w:right w:val="none" w:sz="0" w:space="0" w:color="auto"/>
      </w:divBdr>
    </w:div>
    <w:div w:id="354037378">
      <w:bodyDiv w:val="1"/>
      <w:marLeft w:val="0"/>
      <w:marRight w:val="0"/>
      <w:marTop w:val="0"/>
      <w:marBottom w:val="0"/>
      <w:divBdr>
        <w:top w:val="none" w:sz="0" w:space="0" w:color="auto"/>
        <w:left w:val="none" w:sz="0" w:space="0" w:color="auto"/>
        <w:bottom w:val="none" w:sz="0" w:space="0" w:color="auto"/>
        <w:right w:val="none" w:sz="0" w:space="0" w:color="auto"/>
      </w:divBdr>
    </w:div>
    <w:div w:id="354890168">
      <w:bodyDiv w:val="1"/>
      <w:marLeft w:val="0"/>
      <w:marRight w:val="0"/>
      <w:marTop w:val="0"/>
      <w:marBottom w:val="0"/>
      <w:divBdr>
        <w:top w:val="none" w:sz="0" w:space="0" w:color="auto"/>
        <w:left w:val="none" w:sz="0" w:space="0" w:color="auto"/>
        <w:bottom w:val="none" w:sz="0" w:space="0" w:color="auto"/>
        <w:right w:val="none" w:sz="0" w:space="0" w:color="auto"/>
      </w:divBdr>
    </w:div>
    <w:div w:id="355890343">
      <w:bodyDiv w:val="1"/>
      <w:marLeft w:val="0"/>
      <w:marRight w:val="0"/>
      <w:marTop w:val="0"/>
      <w:marBottom w:val="0"/>
      <w:divBdr>
        <w:top w:val="none" w:sz="0" w:space="0" w:color="auto"/>
        <w:left w:val="none" w:sz="0" w:space="0" w:color="auto"/>
        <w:bottom w:val="none" w:sz="0" w:space="0" w:color="auto"/>
        <w:right w:val="none" w:sz="0" w:space="0" w:color="auto"/>
      </w:divBdr>
    </w:div>
    <w:div w:id="356464928">
      <w:bodyDiv w:val="1"/>
      <w:marLeft w:val="0"/>
      <w:marRight w:val="0"/>
      <w:marTop w:val="0"/>
      <w:marBottom w:val="0"/>
      <w:divBdr>
        <w:top w:val="none" w:sz="0" w:space="0" w:color="auto"/>
        <w:left w:val="none" w:sz="0" w:space="0" w:color="auto"/>
        <w:bottom w:val="none" w:sz="0" w:space="0" w:color="auto"/>
        <w:right w:val="none" w:sz="0" w:space="0" w:color="auto"/>
      </w:divBdr>
    </w:div>
    <w:div w:id="358242002">
      <w:bodyDiv w:val="1"/>
      <w:marLeft w:val="0"/>
      <w:marRight w:val="0"/>
      <w:marTop w:val="0"/>
      <w:marBottom w:val="0"/>
      <w:divBdr>
        <w:top w:val="none" w:sz="0" w:space="0" w:color="auto"/>
        <w:left w:val="none" w:sz="0" w:space="0" w:color="auto"/>
        <w:bottom w:val="none" w:sz="0" w:space="0" w:color="auto"/>
        <w:right w:val="none" w:sz="0" w:space="0" w:color="auto"/>
      </w:divBdr>
    </w:div>
    <w:div w:id="365258342">
      <w:bodyDiv w:val="1"/>
      <w:marLeft w:val="0"/>
      <w:marRight w:val="0"/>
      <w:marTop w:val="0"/>
      <w:marBottom w:val="0"/>
      <w:divBdr>
        <w:top w:val="none" w:sz="0" w:space="0" w:color="auto"/>
        <w:left w:val="none" w:sz="0" w:space="0" w:color="auto"/>
        <w:bottom w:val="none" w:sz="0" w:space="0" w:color="auto"/>
        <w:right w:val="none" w:sz="0" w:space="0" w:color="auto"/>
      </w:divBdr>
    </w:div>
    <w:div w:id="368456097">
      <w:bodyDiv w:val="1"/>
      <w:marLeft w:val="0"/>
      <w:marRight w:val="0"/>
      <w:marTop w:val="0"/>
      <w:marBottom w:val="0"/>
      <w:divBdr>
        <w:top w:val="none" w:sz="0" w:space="0" w:color="auto"/>
        <w:left w:val="none" w:sz="0" w:space="0" w:color="auto"/>
        <w:bottom w:val="none" w:sz="0" w:space="0" w:color="auto"/>
        <w:right w:val="none" w:sz="0" w:space="0" w:color="auto"/>
      </w:divBdr>
    </w:div>
    <w:div w:id="368602957">
      <w:bodyDiv w:val="1"/>
      <w:marLeft w:val="0"/>
      <w:marRight w:val="0"/>
      <w:marTop w:val="0"/>
      <w:marBottom w:val="0"/>
      <w:divBdr>
        <w:top w:val="none" w:sz="0" w:space="0" w:color="auto"/>
        <w:left w:val="none" w:sz="0" w:space="0" w:color="auto"/>
        <w:bottom w:val="none" w:sz="0" w:space="0" w:color="auto"/>
        <w:right w:val="none" w:sz="0" w:space="0" w:color="auto"/>
      </w:divBdr>
    </w:div>
    <w:div w:id="370230325">
      <w:bodyDiv w:val="1"/>
      <w:marLeft w:val="0"/>
      <w:marRight w:val="0"/>
      <w:marTop w:val="0"/>
      <w:marBottom w:val="0"/>
      <w:divBdr>
        <w:top w:val="none" w:sz="0" w:space="0" w:color="auto"/>
        <w:left w:val="none" w:sz="0" w:space="0" w:color="auto"/>
        <w:bottom w:val="none" w:sz="0" w:space="0" w:color="auto"/>
        <w:right w:val="none" w:sz="0" w:space="0" w:color="auto"/>
      </w:divBdr>
    </w:div>
    <w:div w:id="374698194">
      <w:bodyDiv w:val="1"/>
      <w:marLeft w:val="0"/>
      <w:marRight w:val="0"/>
      <w:marTop w:val="0"/>
      <w:marBottom w:val="0"/>
      <w:divBdr>
        <w:top w:val="none" w:sz="0" w:space="0" w:color="auto"/>
        <w:left w:val="none" w:sz="0" w:space="0" w:color="auto"/>
        <w:bottom w:val="none" w:sz="0" w:space="0" w:color="auto"/>
        <w:right w:val="none" w:sz="0" w:space="0" w:color="auto"/>
      </w:divBdr>
    </w:div>
    <w:div w:id="375547705">
      <w:bodyDiv w:val="1"/>
      <w:marLeft w:val="0"/>
      <w:marRight w:val="0"/>
      <w:marTop w:val="0"/>
      <w:marBottom w:val="0"/>
      <w:divBdr>
        <w:top w:val="none" w:sz="0" w:space="0" w:color="auto"/>
        <w:left w:val="none" w:sz="0" w:space="0" w:color="auto"/>
        <w:bottom w:val="none" w:sz="0" w:space="0" w:color="auto"/>
        <w:right w:val="none" w:sz="0" w:space="0" w:color="auto"/>
      </w:divBdr>
    </w:div>
    <w:div w:id="376394825">
      <w:bodyDiv w:val="1"/>
      <w:marLeft w:val="0"/>
      <w:marRight w:val="0"/>
      <w:marTop w:val="0"/>
      <w:marBottom w:val="0"/>
      <w:divBdr>
        <w:top w:val="none" w:sz="0" w:space="0" w:color="auto"/>
        <w:left w:val="none" w:sz="0" w:space="0" w:color="auto"/>
        <w:bottom w:val="none" w:sz="0" w:space="0" w:color="auto"/>
        <w:right w:val="none" w:sz="0" w:space="0" w:color="auto"/>
      </w:divBdr>
    </w:div>
    <w:div w:id="378172353">
      <w:bodyDiv w:val="1"/>
      <w:marLeft w:val="0"/>
      <w:marRight w:val="0"/>
      <w:marTop w:val="0"/>
      <w:marBottom w:val="0"/>
      <w:divBdr>
        <w:top w:val="none" w:sz="0" w:space="0" w:color="auto"/>
        <w:left w:val="none" w:sz="0" w:space="0" w:color="auto"/>
        <w:bottom w:val="none" w:sz="0" w:space="0" w:color="auto"/>
        <w:right w:val="none" w:sz="0" w:space="0" w:color="auto"/>
      </w:divBdr>
    </w:div>
    <w:div w:id="379524356">
      <w:bodyDiv w:val="1"/>
      <w:marLeft w:val="0"/>
      <w:marRight w:val="0"/>
      <w:marTop w:val="0"/>
      <w:marBottom w:val="0"/>
      <w:divBdr>
        <w:top w:val="none" w:sz="0" w:space="0" w:color="auto"/>
        <w:left w:val="none" w:sz="0" w:space="0" w:color="auto"/>
        <w:bottom w:val="none" w:sz="0" w:space="0" w:color="auto"/>
        <w:right w:val="none" w:sz="0" w:space="0" w:color="auto"/>
      </w:divBdr>
    </w:div>
    <w:div w:id="380402336">
      <w:bodyDiv w:val="1"/>
      <w:marLeft w:val="0"/>
      <w:marRight w:val="0"/>
      <w:marTop w:val="0"/>
      <w:marBottom w:val="0"/>
      <w:divBdr>
        <w:top w:val="none" w:sz="0" w:space="0" w:color="auto"/>
        <w:left w:val="none" w:sz="0" w:space="0" w:color="auto"/>
        <w:bottom w:val="none" w:sz="0" w:space="0" w:color="auto"/>
        <w:right w:val="none" w:sz="0" w:space="0" w:color="auto"/>
      </w:divBdr>
    </w:div>
    <w:div w:id="382877208">
      <w:bodyDiv w:val="1"/>
      <w:marLeft w:val="0"/>
      <w:marRight w:val="0"/>
      <w:marTop w:val="0"/>
      <w:marBottom w:val="0"/>
      <w:divBdr>
        <w:top w:val="none" w:sz="0" w:space="0" w:color="auto"/>
        <w:left w:val="none" w:sz="0" w:space="0" w:color="auto"/>
        <w:bottom w:val="none" w:sz="0" w:space="0" w:color="auto"/>
        <w:right w:val="none" w:sz="0" w:space="0" w:color="auto"/>
      </w:divBdr>
    </w:div>
    <w:div w:id="385565121">
      <w:bodyDiv w:val="1"/>
      <w:marLeft w:val="0"/>
      <w:marRight w:val="0"/>
      <w:marTop w:val="0"/>
      <w:marBottom w:val="0"/>
      <w:divBdr>
        <w:top w:val="none" w:sz="0" w:space="0" w:color="auto"/>
        <w:left w:val="none" w:sz="0" w:space="0" w:color="auto"/>
        <w:bottom w:val="none" w:sz="0" w:space="0" w:color="auto"/>
        <w:right w:val="none" w:sz="0" w:space="0" w:color="auto"/>
      </w:divBdr>
    </w:div>
    <w:div w:id="386882200">
      <w:bodyDiv w:val="1"/>
      <w:marLeft w:val="0"/>
      <w:marRight w:val="0"/>
      <w:marTop w:val="0"/>
      <w:marBottom w:val="0"/>
      <w:divBdr>
        <w:top w:val="none" w:sz="0" w:space="0" w:color="auto"/>
        <w:left w:val="none" w:sz="0" w:space="0" w:color="auto"/>
        <w:bottom w:val="none" w:sz="0" w:space="0" w:color="auto"/>
        <w:right w:val="none" w:sz="0" w:space="0" w:color="auto"/>
      </w:divBdr>
    </w:div>
    <w:div w:id="388187674">
      <w:bodyDiv w:val="1"/>
      <w:marLeft w:val="0"/>
      <w:marRight w:val="0"/>
      <w:marTop w:val="0"/>
      <w:marBottom w:val="0"/>
      <w:divBdr>
        <w:top w:val="none" w:sz="0" w:space="0" w:color="auto"/>
        <w:left w:val="none" w:sz="0" w:space="0" w:color="auto"/>
        <w:bottom w:val="none" w:sz="0" w:space="0" w:color="auto"/>
        <w:right w:val="none" w:sz="0" w:space="0" w:color="auto"/>
      </w:divBdr>
    </w:div>
    <w:div w:id="390925756">
      <w:bodyDiv w:val="1"/>
      <w:marLeft w:val="0"/>
      <w:marRight w:val="0"/>
      <w:marTop w:val="0"/>
      <w:marBottom w:val="0"/>
      <w:divBdr>
        <w:top w:val="none" w:sz="0" w:space="0" w:color="auto"/>
        <w:left w:val="none" w:sz="0" w:space="0" w:color="auto"/>
        <w:bottom w:val="none" w:sz="0" w:space="0" w:color="auto"/>
        <w:right w:val="none" w:sz="0" w:space="0" w:color="auto"/>
      </w:divBdr>
    </w:div>
    <w:div w:id="391387213">
      <w:bodyDiv w:val="1"/>
      <w:marLeft w:val="0"/>
      <w:marRight w:val="0"/>
      <w:marTop w:val="0"/>
      <w:marBottom w:val="0"/>
      <w:divBdr>
        <w:top w:val="none" w:sz="0" w:space="0" w:color="auto"/>
        <w:left w:val="none" w:sz="0" w:space="0" w:color="auto"/>
        <w:bottom w:val="none" w:sz="0" w:space="0" w:color="auto"/>
        <w:right w:val="none" w:sz="0" w:space="0" w:color="auto"/>
      </w:divBdr>
    </w:div>
    <w:div w:id="392965534">
      <w:bodyDiv w:val="1"/>
      <w:marLeft w:val="0"/>
      <w:marRight w:val="0"/>
      <w:marTop w:val="0"/>
      <w:marBottom w:val="0"/>
      <w:divBdr>
        <w:top w:val="none" w:sz="0" w:space="0" w:color="auto"/>
        <w:left w:val="none" w:sz="0" w:space="0" w:color="auto"/>
        <w:bottom w:val="none" w:sz="0" w:space="0" w:color="auto"/>
        <w:right w:val="none" w:sz="0" w:space="0" w:color="auto"/>
      </w:divBdr>
    </w:div>
    <w:div w:id="393815522">
      <w:bodyDiv w:val="1"/>
      <w:marLeft w:val="0"/>
      <w:marRight w:val="0"/>
      <w:marTop w:val="0"/>
      <w:marBottom w:val="0"/>
      <w:divBdr>
        <w:top w:val="none" w:sz="0" w:space="0" w:color="auto"/>
        <w:left w:val="none" w:sz="0" w:space="0" w:color="auto"/>
        <w:bottom w:val="none" w:sz="0" w:space="0" w:color="auto"/>
        <w:right w:val="none" w:sz="0" w:space="0" w:color="auto"/>
      </w:divBdr>
    </w:div>
    <w:div w:id="396051837">
      <w:bodyDiv w:val="1"/>
      <w:marLeft w:val="0"/>
      <w:marRight w:val="0"/>
      <w:marTop w:val="0"/>
      <w:marBottom w:val="0"/>
      <w:divBdr>
        <w:top w:val="none" w:sz="0" w:space="0" w:color="auto"/>
        <w:left w:val="none" w:sz="0" w:space="0" w:color="auto"/>
        <w:bottom w:val="none" w:sz="0" w:space="0" w:color="auto"/>
        <w:right w:val="none" w:sz="0" w:space="0" w:color="auto"/>
      </w:divBdr>
    </w:div>
    <w:div w:id="396054527">
      <w:bodyDiv w:val="1"/>
      <w:marLeft w:val="0"/>
      <w:marRight w:val="0"/>
      <w:marTop w:val="0"/>
      <w:marBottom w:val="0"/>
      <w:divBdr>
        <w:top w:val="none" w:sz="0" w:space="0" w:color="auto"/>
        <w:left w:val="none" w:sz="0" w:space="0" w:color="auto"/>
        <w:bottom w:val="none" w:sz="0" w:space="0" w:color="auto"/>
        <w:right w:val="none" w:sz="0" w:space="0" w:color="auto"/>
      </w:divBdr>
    </w:div>
    <w:div w:id="396127163">
      <w:bodyDiv w:val="1"/>
      <w:marLeft w:val="0"/>
      <w:marRight w:val="0"/>
      <w:marTop w:val="0"/>
      <w:marBottom w:val="0"/>
      <w:divBdr>
        <w:top w:val="none" w:sz="0" w:space="0" w:color="auto"/>
        <w:left w:val="none" w:sz="0" w:space="0" w:color="auto"/>
        <w:bottom w:val="none" w:sz="0" w:space="0" w:color="auto"/>
        <w:right w:val="none" w:sz="0" w:space="0" w:color="auto"/>
      </w:divBdr>
    </w:div>
    <w:div w:id="396825944">
      <w:bodyDiv w:val="1"/>
      <w:marLeft w:val="0"/>
      <w:marRight w:val="0"/>
      <w:marTop w:val="0"/>
      <w:marBottom w:val="0"/>
      <w:divBdr>
        <w:top w:val="none" w:sz="0" w:space="0" w:color="auto"/>
        <w:left w:val="none" w:sz="0" w:space="0" w:color="auto"/>
        <w:bottom w:val="none" w:sz="0" w:space="0" w:color="auto"/>
        <w:right w:val="none" w:sz="0" w:space="0" w:color="auto"/>
      </w:divBdr>
    </w:div>
    <w:div w:id="397434821">
      <w:bodyDiv w:val="1"/>
      <w:marLeft w:val="0"/>
      <w:marRight w:val="0"/>
      <w:marTop w:val="0"/>
      <w:marBottom w:val="0"/>
      <w:divBdr>
        <w:top w:val="none" w:sz="0" w:space="0" w:color="auto"/>
        <w:left w:val="none" w:sz="0" w:space="0" w:color="auto"/>
        <w:bottom w:val="none" w:sz="0" w:space="0" w:color="auto"/>
        <w:right w:val="none" w:sz="0" w:space="0" w:color="auto"/>
      </w:divBdr>
    </w:div>
    <w:div w:id="399400400">
      <w:bodyDiv w:val="1"/>
      <w:marLeft w:val="0"/>
      <w:marRight w:val="0"/>
      <w:marTop w:val="0"/>
      <w:marBottom w:val="0"/>
      <w:divBdr>
        <w:top w:val="none" w:sz="0" w:space="0" w:color="auto"/>
        <w:left w:val="none" w:sz="0" w:space="0" w:color="auto"/>
        <w:bottom w:val="none" w:sz="0" w:space="0" w:color="auto"/>
        <w:right w:val="none" w:sz="0" w:space="0" w:color="auto"/>
      </w:divBdr>
    </w:div>
    <w:div w:id="399788290">
      <w:bodyDiv w:val="1"/>
      <w:marLeft w:val="0"/>
      <w:marRight w:val="0"/>
      <w:marTop w:val="0"/>
      <w:marBottom w:val="0"/>
      <w:divBdr>
        <w:top w:val="none" w:sz="0" w:space="0" w:color="auto"/>
        <w:left w:val="none" w:sz="0" w:space="0" w:color="auto"/>
        <w:bottom w:val="none" w:sz="0" w:space="0" w:color="auto"/>
        <w:right w:val="none" w:sz="0" w:space="0" w:color="auto"/>
      </w:divBdr>
    </w:div>
    <w:div w:id="401296935">
      <w:bodyDiv w:val="1"/>
      <w:marLeft w:val="0"/>
      <w:marRight w:val="0"/>
      <w:marTop w:val="0"/>
      <w:marBottom w:val="0"/>
      <w:divBdr>
        <w:top w:val="none" w:sz="0" w:space="0" w:color="auto"/>
        <w:left w:val="none" w:sz="0" w:space="0" w:color="auto"/>
        <w:bottom w:val="none" w:sz="0" w:space="0" w:color="auto"/>
        <w:right w:val="none" w:sz="0" w:space="0" w:color="auto"/>
      </w:divBdr>
    </w:div>
    <w:div w:id="402022066">
      <w:bodyDiv w:val="1"/>
      <w:marLeft w:val="0"/>
      <w:marRight w:val="0"/>
      <w:marTop w:val="0"/>
      <w:marBottom w:val="0"/>
      <w:divBdr>
        <w:top w:val="none" w:sz="0" w:space="0" w:color="auto"/>
        <w:left w:val="none" w:sz="0" w:space="0" w:color="auto"/>
        <w:bottom w:val="none" w:sz="0" w:space="0" w:color="auto"/>
        <w:right w:val="none" w:sz="0" w:space="0" w:color="auto"/>
      </w:divBdr>
    </w:div>
    <w:div w:id="404256877">
      <w:bodyDiv w:val="1"/>
      <w:marLeft w:val="0"/>
      <w:marRight w:val="0"/>
      <w:marTop w:val="0"/>
      <w:marBottom w:val="0"/>
      <w:divBdr>
        <w:top w:val="none" w:sz="0" w:space="0" w:color="auto"/>
        <w:left w:val="none" w:sz="0" w:space="0" w:color="auto"/>
        <w:bottom w:val="none" w:sz="0" w:space="0" w:color="auto"/>
        <w:right w:val="none" w:sz="0" w:space="0" w:color="auto"/>
      </w:divBdr>
    </w:div>
    <w:div w:id="405492215">
      <w:bodyDiv w:val="1"/>
      <w:marLeft w:val="0"/>
      <w:marRight w:val="0"/>
      <w:marTop w:val="0"/>
      <w:marBottom w:val="0"/>
      <w:divBdr>
        <w:top w:val="none" w:sz="0" w:space="0" w:color="auto"/>
        <w:left w:val="none" w:sz="0" w:space="0" w:color="auto"/>
        <w:bottom w:val="none" w:sz="0" w:space="0" w:color="auto"/>
        <w:right w:val="none" w:sz="0" w:space="0" w:color="auto"/>
      </w:divBdr>
    </w:div>
    <w:div w:id="407772721">
      <w:bodyDiv w:val="1"/>
      <w:marLeft w:val="0"/>
      <w:marRight w:val="0"/>
      <w:marTop w:val="0"/>
      <w:marBottom w:val="0"/>
      <w:divBdr>
        <w:top w:val="none" w:sz="0" w:space="0" w:color="auto"/>
        <w:left w:val="none" w:sz="0" w:space="0" w:color="auto"/>
        <w:bottom w:val="none" w:sz="0" w:space="0" w:color="auto"/>
        <w:right w:val="none" w:sz="0" w:space="0" w:color="auto"/>
      </w:divBdr>
    </w:div>
    <w:div w:id="409737736">
      <w:bodyDiv w:val="1"/>
      <w:marLeft w:val="0"/>
      <w:marRight w:val="0"/>
      <w:marTop w:val="0"/>
      <w:marBottom w:val="0"/>
      <w:divBdr>
        <w:top w:val="none" w:sz="0" w:space="0" w:color="auto"/>
        <w:left w:val="none" w:sz="0" w:space="0" w:color="auto"/>
        <w:bottom w:val="none" w:sz="0" w:space="0" w:color="auto"/>
        <w:right w:val="none" w:sz="0" w:space="0" w:color="auto"/>
      </w:divBdr>
    </w:div>
    <w:div w:id="411585482">
      <w:bodyDiv w:val="1"/>
      <w:marLeft w:val="0"/>
      <w:marRight w:val="0"/>
      <w:marTop w:val="0"/>
      <w:marBottom w:val="0"/>
      <w:divBdr>
        <w:top w:val="none" w:sz="0" w:space="0" w:color="auto"/>
        <w:left w:val="none" w:sz="0" w:space="0" w:color="auto"/>
        <w:bottom w:val="none" w:sz="0" w:space="0" w:color="auto"/>
        <w:right w:val="none" w:sz="0" w:space="0" w:color="auto"/>
      </w:divBdr>
    </w:div>
    <w:div w:id="412239002">
      <w:bodyDiv w:val="1"/>
      <w:marLeft w:val="0"/>
      <w:marRight w:val="0"/>
      <w:marTop w:val="0"/>
      <w:marBottom w:val="0"/>
      <w:divBdr>
        <w:top w:val="none" w:sz="0" w:space="0" w:color="auto"/>
        <w:left w:val="none" w:sz="0" w:space="0" w:color="auto"/>
        <w:bottom w:val="none" w:sz="0" w:space="0" w:color="auto"/>
        <w:right w:val="none" w:sz="0" w:space="0" w:color="auto"/>
      </w:divBdr>
    </w:div>
    <w:div w:id="422384045">
      <w:bodyDiv w:val="1"/>
      <w:marLeft w:val="0"/>
      <w:marRight w:val="0"/>
      <w:marTop w:val="0"/>
      <w:marBottom w:val="0"/>
      <w:divBdr>
        <w:top w:val="none" w:sz="0" w:space="0" w:color="auto"/>
        <w:left w:val="none" w:sz="0" w:space="0" w:color="auto"/>
        <w:bottom w:val="none" w:sz="0" w:space="0" w:color="auto"/>
        <w:right w:val="none" w:sz="0" w:space="0" w:color="auto"/>
      </w:divBdr>
    </w:div>
    <w:div w:id="426387890">
      <w:bodyDiv w:val="1"/>
      <w:marLeft w:val="0"/>
      <w:marRight w:val="0"/>
      <w:marTop w:val="0"/>
      <w:marBottom w:val="0"/>
      <w:divBdr>
        <w:top w:val="none" w:sz="0" w:space="0" w:color="auto"/>
        <w:left w:val="none" w:sz="0" w:space="0" w:color="auto"/>
        <w:bottom w:val="none" w:sz="0" w:space="0" w:color="auto"/>
        <w:right w:val="none" w:sz="0" w:space="0" w:color="auto"/>
      </w:divBdr>
    </w:div>
    <w:div w:id="426393193">
      <w:bodyDiv w:val="1"/>
      <w:marLeft w:val="0"/>
      <w:marRight w:val="0"/>
      <w:marTop w:val="0"/>
      <w:marBottom w:val="0"/>
      <w:divBdr>
        <w:top w:val="none" w:sz="0" w:space="0" w:color="auto"/>
        <w:left w:val="none" w:sz="0" w:space="0" w:color="auto"/>
        <w:bottom w:val="none" w:sz="0" w:space="0" w:color="auto"/>
        <w:right w:val="none" w:sz="0" w:space="0" w:color="auto"/>
      </w:divBdr>
    </w:div>
    <w:div w:id="427506633">
      <w:bodyDiv w:val="1"/>
      <w:marLeft w:val="0"/>
      <w:marRight w:val="0"/>
      <w:marTop w:val="0"/>
      <w:marBottom w:val="0"/>
      <w:divBdr>
        <w:top w:val="none" w:sz="0" w:space="0" w:color="auto"/>
        <w:left w:val="none" w:sz="0" w:space="0" w:color="auto"/>
        <w:bottom w:val="none" w:sz="0" w:space="0" w:color="auto"/>
        <w:right w:val="none" w:sz="0" w:space="0" w:color="auto"/>
      </w:divBdr>
    </w:div>
    <w:div w:id="427582581">
      <w:bodyDiv w:val="1"/>
      <w:marLeft w:val="0"/>
      <w:marRight w:val="0"/>
      <w:marTop w:val="0"/>
      <w:marBottom w:val="0"/>
      <w:divBdr>
        <w:top w:val="none" w:sz="0" w:space="0" w:color="auto"/>
        <w:left w:val="none" w:sz="0" w:space="0" w:color="auto"/>
        <w:bottom w:val="none" w:sz="0" w:space="0" w:color="auto"/>
        <w:right w:val="none" w:sz="0" w:space="0" w:color="auto"/>
      </w:divBdr>
    </w:div>
    <w:div w:id="428157981">
      <w:bodyDiv w:val="1"/>
      <w:marLeft w:val="0"/>
      <w:marRight w:val="0"/>
      <w:marTop w:val="0"/>
      <w:marBottom w:val="0"/>
      <w:divBdr>
        <w:top w:val="none" w:sz="0" w:space="0" w:color="auto"/>
        <w:left w:val="none" w:sz="0" w:space="0" w:color="auto"/>
        <w:bottom w:val="none" w:sz="0" w:space="0" w:color="auto"/>
        <w:right w:val="none" w:sz="0" w:space="0" w:color="auto"/>
      </w:divBdr>
    </w:div>
    <w:div w:id="430787218">
      <w:bodyDiv w:val="1"/>
      <w:marLeft w:val="0"/>
      <w:marRight w:val="0"/>
      <w:marTop w:val="0"/>
      <w:marBottom w:val="0"/>
      <w:divBdr>
        <w:top w:val="none" w:sz="0" w:space="0" w:color="auto"/>
        <w:left w:val="none" w:sz="0" w:space="0" w:color="auto"/>
        <w:bottom w:val="none" w:sz="0" w:space="0" w:color="auto"/>
        <w:right w:val="none" w:sz="0" w:space="0" w:color="auto"/>
      </w:divBdr>
    </w:div>
    <w:div w:id="434784719">
      <w:bodyDiv w:val="1"/>
      <w:marLeft w:val="0"/>
      <w:marRight w:val="0"/>
      <w:marTop w:val="0"/>
      <w:marBottom w:val="0"/>
      <w:divBdr>
        <w:top w:val="none" w:sz="0" w:space="0" w:color="auto"/>
        <w:left w:val="none" w:sz="0" w:space="0" w:color="auto"/>
        <w:bottom w:val="none" w:sz="0" w:space="0" w:color="auto"/>
        <w:right w:val="none" w:sz="0" w:space="0" w:color="auto"/>
      </w:divBdr>
    </w:div>
    <w:div w:id="436675749">
      <w:bodyDiv w:val="1"/>
      <w:marLeft w:val="0"/>
      <w:marRight w:val="0"/>
      <w:marTop w:val="0"/>
      <w:marBottom w:val="0"/>
      <w:divBdr>
        <w:top w:val="none" w:sz="0" w:space="0" w:color="auto"/>
        <w:left w:val="none" w:sz="0" w:space="0" w:color="auto"/>
        <w:bottom w:val="none" w:sz="0" w:space="0" w:color="auto"/>
        <w:right w:val="none" w:sz="0" w:space="0" w:color="auto"/>
      </w:divBdr>
    </w:div>
    <w:div w:id="437408297">
      <w:bodyDiv w:val="1"/>
      <w:marLeft w:val="0"/>
      <w:marRight w:val="0"/>
      <w:marTop w:val="0"/>
      <w:marBottom w:val="0"/>
      <w:divBdr>
        <w:top w:val="none" w:sz="0" w:space="0" w:color="auto"/>
        <w:left w:val="none" w:sz="0" w:space="0" w:color="auto"/>
        <w:bottom w:val="none" w:sz="0" w:space="0" w:color="auto"/>
        <w:right w:val="none" w:sz="0" w:space="0" w:color="auto"/>
      </w:divBdr>
    </w:div>
    <w:div w:id="438988462">
      <w:bodyDiv w:val="1"/>
      <w:marLeft w:val="0"/>
      <w:marRight w:val="0"/>
      <w:marTop w:val="0"/>
      <w:marBottom w:val="0"/>
      <w:divBdr>
        <w:top w:val="none" w:sz="0" w:space="0" w:color="auto"/>
        <w:left w:val="none" w:sz="0" w:space="0" w:color="auto"/>
        <w:bottom w:val="none" w:sz="0" w:space="0" w:color="auto"/>
        <w:right w:val="none" w:sz="0" w:space="0" w:color="auto"/>
      </w:divBdr>
    </w:div>
    <w:div w:id="439105630">
      <w:bodyDiv w:val="1"/>
      <w:marLeft w:val="0"/>
      <w:marRight w:val="0"/>
      <w:marTop w:val="0"/>
      <w:marBottom w:val="0"/>
      <w:divBdr>
        <w:top w:val="none" w:sz="0" w:space="0" w:color="auto"/>
        <w:left w:val="none" w:sz="0" w:space="0" w:color="auto"/>
        <w:bottom w:val="none" w:sz="0" w:space="0" w:color="auto"/>
        <w:right w:val="none" w:sz="0" w:space="0" w:color="auto"/>
      </w:divBdr>
    </w:div>
    <w:div w:id="442116141">
      <w:bodyDiv w:val="1"/>
      <w:marLeft w:val="0"/>
      <w:marRight w:val="0"/>
      <w:marTop w:val="0"/>
      <w:marBottom w:val="0"/>
      <w:divBdr>
        <w:top w:val="none" w:sz="0" w:space="0" w:color="auto"/>
        <w:left w:val="none" w:sz="0" w:space="0" w:color="auto"/>
        <w:bottom w:val="none" w:sz="0" w:space="0" w:color="auto"/>
        <w:right w:val="none" w:sz="0" w:space="0" w:color="auto"/>
      </w:divBdr>
    </w:div>
    <w:div w:id="442499124">
      <w:bodyDiv w:val="1"/>
      <w:marLeft w:val="0"/>
      <w:marRight w:val="0"/>
      <w:marTop w:val="0"/>
      <w:marBottom w:val="0"/>
      <w:divBdr>
        <w:top w:val="none" w:sz="0" w:space="0" w:color="auto"/>
        <w:left w:val="none" w:sz="0" w:space="0" w:color="auto"/>
        <w:bottom w:val="none" w:sz="0" w:space="0" w:color="auto"/>
        <w:right w:val="none" w:sz="0" w:space="0" w:color="auto"/>
      </w:divBdr>
    </w:div>
    <w:div w:id="444541790">
      <w:bodyDiv w:val="1"/>
      <w:marLeft w:val="0"/>
      <w:marRight w:val="0"/>
      <w:marTop w:val="0"/>
      <w:marBottom w:val="0"/>
      <w:divBdr>
        <w:top w:val="none" w:sz="0" w:space="0" w:color="auto"/>
        <w:left w:val="none" w:sz="0" w:space="0" w:color="auto"/>
        <w:bottom w:val="none" w:sz="0" w:space="0" w:color="auto"/>
        <w:right w:val="none" w:sz="0" w:space="0" w:color="auto"/>
      </w:divBdr>
    </w:div>
    <w:div w:id="444928015">
      <w:bodyDiv w:val="1"/>
      <w:marLeft w:val="0"/>
      <w:marRight w:val="0"/>
      <w:marTop w:val="0"/>
      <w:marBottom w:val="0"/>
      <w:divBdr>
        <w:top w:val="none" w:sz="0" w:space="0" w:color="auto"/>
        <w:left w:val="none" w:sz="0" w:space="0" w:color="auto"/>
        <w:bottom w:val="none" w:sz="0" w:space="0" w:color="auto"/>
        <w:right w:val="none" w:sz="0" w:space="0" w:color="auto"/>
      </w:divBdr>
    </w:div>
    <w:div w:id="450780801">
      <w:bodyDiv w:val="1"/>
      <w:marLeft w:val="0"/>
      <w:marRight w:val="0"/>
      <w:marTop w:val="0"/>
      <w:marBottom w:val="0"/>
      <w:divBdr>
        <w:top w:val="none" w:sz="0" w:space="0" w:color="auto"/>
        <w:left w:val="none" w:sz="0" w:space="0" w:color="auto"/>
        <w:bottom w:val="none" w:sz="0" w:space="0" w:color="auto"/>
        <w:right w:val="none" w:sz="0" w:space="0" w:color="auto"/>
      </w:divBdr>
    </w:div>
    <w:div w:id="451873324">
      <w:bodyDiv w:val="1"/>
      <w:marLeft w:val="0"/>
      <w:marRight w:val="0"/>
      <w:marTop w:val="0"/>
      <w:marBottom w:val="0"/>
      <w:divBdr>
        <w:top w:val="none" w:sz="0" w:space="0" w:color="auto"/>
        <w:left w:val="none" w:sz="0" w:space="0" w:color="auto"/>
        <w:bottom w:val="none" w:sz="0" w:space="0" w:color="auto"/>
        <w:right w:val="none" w:sz="0" w:space="0" w:color="auto"/>
      </w:divBdr>
    </w:div>
    <w:div w:id="452217335">
      <w:bodyDiv w:val="1"/>
      <w:marLeft w:val="0"/>
      <w:marRight w:val="0"/>
      <w:marTop w:val="0"/>
      <w:marBottom w:val="0"/>
      <w:divBdr>
        <w:top w:val="none" w:sz="0" w:space="0" w:color="auto"/>
        <w:left w:val="none" w:sz="0" w:space="0" w:color="auto"/>
        <w:bottom w:val="none" w:sz="0" w:space="0" w:color="auto"/>
        <w:right w:val="none" w:sz="0" w:space="0" w:color="auto"/>
      </w:divBdr>
    </w:div>
    <w:div w:id="453182523">
      <w:bodyDiv w:val="1"/>
      <w:marLeft w:val="0"/>
      <w:marRight w:val="0"/>
      <w:marTop w:val="0"/>
      <w:marBottom w:val="0"/>
      <w:divBdr>
        <w:top w:val="none" w:sz="0" w:space="0" w:color="auto"/>
        <w:left w:val="none" w:sz="0" w:space="0" w:color="auto"/>
        <w:bottom w:val="none" w:sz="0" w:space="0" w:color="auto"/>
        <w:right w:val="none" w:sz="0" w:space="0" w:color="auto"/>
      </w:divBdr>
    </w:div>
    <w:div w:id="454910277">
      <w:bodyDiv w:val="1"/>
      <w:marLeft w:val="0"/>
      <w:marRight w:val="0"/>
      <w:marTop w:val="0"/>
      <w:marBottom w:val="0"/>
      <w:divBdr>
        <w:top w:val="none" w:sz="0" w:space="0" w:color="auto"/>
        <w:left w:val="none" w:sz="0" w:space="0" w:color="auto"/>
        <w:bottom w:val="none" w:sz="0" w:space="0" w:color="auto"/>
        <w:right w:val="none" w:sz="0" w:space="0" w:color="auto"/>
      </w:divBdr>
    </w:div>
    <w:div w:id="455107478">
      <w:bodyDiv w:val="1"/>
      <w:marLeft w:val="0"/>
      <w:marRight w:val="0"/>
      <w:marTop w:val="0"/>
      <w:marBottom w:val="0"/>
      <w:divBdr>
        <w:top w:val="none" w:sz="0" w:space="0" w:color="auto"/>
        <w:left w:val="none" w:sz="0" w:space="0" w:color="auto"/>
        <w:bottom w:val="none" w:sz="0" w:space="0" w:color="auto"/>
        <w:right w:val="none" w:sz="0" w:space="0" w:color="auto"/>
      </w:divBdr>
    </w:div>
    <w:div w:id="458111552">
      <w:bodyDiv w:val="1"/>
      <w:marLeft w:val="0"/>
      <w:marRight w:val="0"/>
      <w:marTop w:val="0"/>
      <w:marBottom w:val="0"/>
      <w:divBdr>
        <w:top w:val="none" w:sz="0" w:space="0" w:color="auto"/>
        <w:left w:val="none" w:sz="0" w:space="0" w:color="auto"/>
        <w:bottom w:val="none" w:sz="0" w:space="0" w:color="auto"/>
        <w:right w:val="none" w:sz="0" w:space="0" w:color="auto"/>
      </w:divBdr>
    </w:div>
    <w:div w:id="458380633">
      <w:bodyDiv w:val="1"/>
      <w:marLeft w:val="0"/>
      <w:marRight w:val="0"/>
      <w:marTop w:val="0"/>
      <w:marBottom w:val="0"/>
      <w:divBdr>
        <w:top w:val="none" w:sz="0" w:space="0" w:color="auto"/>
        <w:left w:val="none" w:sz="0" w:space="0" w:color="auto"/>
        <w:bottom w:val="none" w:sz="0" w:space="0" w:color="auto"/>
        <w:right w:val="none" w:sz="0" w:space="0" w:color="auto"/>
      </w:divBdr>
    </w:div>
    <w:div w:id="458453377">
      <w:bodyDiv w:val="1"/>
      <w:marLeft w:val="0"/>
      <w:marRight w:val="0"/>
      <w:marTop w:val="0"/>
      <w:marBottom w:val="0"/>
      <w:divBdr>
        <w:top w:val="none" w:sz="0" w:space="0" w:color="auto"/>
        <w:left w:val="none" w:sz="0" w:space="0" w:color="auto"/>
        <w:bottom w:val="none" w:sz="0" w:space="0" w:color="auto"/>
        <w:right w:val="none" w:sz="0" w:space="0" w:color="auto"/>
      </w:divBdr>
    </w:div>
    <w:div w:id="458764870">
      <w:bodyDiv w:val="1"/>
      <w:marLeft w:val="0"/>
      <w:marRight w:val="0"/>
      <w:marTop w:val="0"/>
      <w:marBottom w:val="0"/>
      <w:divBdr>
        <w:top w:val="none" w:sz="0" w:space="0" w:color="auto"/>
        <w:left w:val="none" w:sz="0" w:space="0" w:color="auto"/>
        <w:bottom w:val="none" w:sz="0" w:space="0" w:color="auto"/>
        <w:right w:val="none" w:sz="0" w:space="0" w:color="auto"/>
      </w:divBdr>
    </w:div>
    <w:div w:id="460420540">
      <w:bodyDiv w:val="1"/>
      <w:marLeft w:val="0"/>
      <w:marRight w:val="0"/>
      <w:marTop w:val="0"/>
      <w:marBottom w:val="0"/>
      <w:divBdr>
        <w:top w:val="none" w:sz="0" w:space="0" w:color="auto"/>
        <w:left w:val="none" w:sz="0" w:space="0" w:color="auto"/>
        <w:bottom w:val="none" w:sz="0" w:space="0" w:color="auto"/>
        <w:right w:val="none" w:sz="0" w:space="0" w:color="auto"/>
      </w:divBdr>
    </w:div>
    <w:div w:id="461265445">
      <w:bodyDiv w:val="1"/>
      <w:marLeft w:val="0"/>
      <w:marRight w:val="0"/>
      <w:marTop w:val="0"/>
      <w:marBottom w:val="0"/>
      <w:divBdr>
        <w:top w:val="none" w:sz="0" w:space="0" w:color="auto"/>
        <w:left w:val="none" w:sz="0" w:space="0" w:color="auto"/>
        <w:bottom w:val="none" w:sz="0" w:space="0" w:color="auto"/>
        <w:right w:val="none" w:sz="0" w:space="0" w:color="auto"/>
      </w:divBdr>
    </w:div>
    <w:div w:id="461995287">
      <w:bodyDiv w:val="1"/>
      <w:marLeft w:val="0"/>
      <w:marRight w:val="0"/>
      <w:marTop w:val="0"/>
      <w:marBottom w:val="0"/>
      <w:divBdr>
        <w:top w:val="none" w:sz="0" w:space="0" w:color="auto"/>
        <w:left w:val="none" w:sz="0" w:space="0" w:color="auto"/>
        <w:bottom w:val="none" w:sz="0" w:space="0" w:color="auto"/>
        <w:right w:val="none" w:sz="0" w:space="0" w:color="auto"/>
      </w:divBdr>
    </w:div>
    <w:div w:id="464472034">
      <w:bodyDiv w:val="1"/>
      <w:marLeft w:val="0"/>
      <w:marRight w:val="0"/>
      <w:marTop w:val="0"/>
      <w:marBottom w:val="0"/>
      <w:divBdr>
        <w:top w:val="none" w:sz="0" w:space="0" w:color="auto"/>
        <w:left w:val="none" w:sz="0" w:space="0" w:color="auto"/>
        <w:bottom w:val="none" w:sz="0" w:space="0" w:color="auto"/>
        <w:right w:val="none" w:sz="0" w:space="0" w:color="auto"/>
      </w:divBdr>
    </w:div>
    <w:div w:id="464548922">
      <w:bodyDiv w:val="1"/>
      <w:marLeft w:val="0"/>
      <w:marRight w:val="0"/>
      <w:marTop w:val="0"/>
      <w:marBottom w:val="0"/>
      <w:divBdr>
        <w:top w:val="none" w:sz="0" w:space="0" w:color="auto"/>
        <w:left w:val="none" w:sz="0" w:space="0" w:color="auto"/>
        <w:bottom w:val="none" w:sz="0" w:space="0" w:color="auto"/>
        <w:right w:val="none" w:sz="0" w:space="0" w:color="auto"/>
      </w:divBdr>
    </w:div>
    <w:div w:id="468010746">
      <w:bodyDiv w:val="1"/>
      <w:marLeft w:val="0"/>
      <w:marRight w:val="0"/>
      <w:marTop w:val="0"/>
      <w:marBottom w:val="0"/>
      <w:divBdr>
        <w:top w:val="none" w:sz="0" w:space="0" w:color="auto"/>
        <w:left w:val="none" w:sz="0" w:space="0" w:color="auto"/>
        <w:bottom w:val="none" w:sz="0" w:space="0" w:color="auto"/>
        <w:right w:val="none" w:sz="0" w:space="0" w:color="auto"/>
      </w:divBdr>
    </w:div>
    <w:div w:id="469130184">
      <w:bodyDiv w:val="1"/>
      <w:marLeft w:val="0"/>
      <w:marRight w:val="0"/>
      <w:marTop w:val="0"/>
      <w:marBottom w:val="0"/>
      <w:divBdr>
        <w:top w:val="none" w:sz="0" w:space="0" w:color="auto"/>
        <w:left w:val="none" w:sz="0" w:space="0" w:color="auto"/>
        <w:bottom w:val="none" w:sz="0" w:space="0" w:color="auto"/>
        <w:right w:val="none" w:sz="0" w:space="0" w:color="auto"/>
      </w:divBdr>
    </w:div>
    <w:div w:id="469321603">
      <w:bodyDiv w:val="1"/>
      <w:marLeft w:val="0"/>
      <w:marRight w:val="0"/>
      <w:marTop w:val="0"/>
      <w:marBottom w:val="0"/>
      <w:divBdr>
        <w:top w:val="none" w:sz="0" w:space="0" w:color="auto"/>
        <w:left w:val="none" w:sz="0" w:space="0" w:color="auto"/>
        <w:bottom w:val="none" w:sz="0" w:space="0" w:color="auto"/>
        <w:right w:val="none" w:sz="0" w:space="0" w:color="auto"/>
      </w:divBdr>
    </w:div>
    <w:div w:id="469901899">
      <w:bodyDiv w:val="1"/>
      <w:marLeft w:val="0"/>
      <w:marRight w:val="0"/>
      <w:marTop w:val="0"/>
      <w:marBottom w:val="0"/>
      <w:divBdr>
        <w:top w:val="none" w:sz="0" w:space="0" w:color="auto"/>
        <w:left w:val="none" w:sz="0" w:space="0" w:color="auto"/>
        <w:bottom w:val="none" w:sz="0" w:space="0" w:color="auto"/>
        <w:right w:val="none" w:sz="0" w:space="0" w:color="auto"/>
      </w:divBdr>
    </w:div>
    <w:div w:id="470294639">
      <w:bodyDiv w:val="1"/>
      <w:marLeft w:val="0"/>
      <w:marRight w:val="0"/>
      <w:marTop w:val="0"/>
      <w:marBottom w:val="0"/>
      <w:divBdr>
        <w:top w:val="none" w:sz="0" w:space="0" w:color="auto"/>
        <w:left w:val="none" w:sz="0" w:space="0" w:color="auto"/>
        <w:bottom w:val="none" w:sz="0" w:space="0" w:color="auto"/>
        <w:right w:val="none" w:sz="0" w:space="0" w:color="auto"/>
      </w:divBdr>
    </w:div>
    <w:div w:id="476454166">
      <w:bodyDiv w:val="1"/>
      <w:marLeft w:val="0"/>
      <w:marRight w:val="0"/>
      <w:marTop w:val="0"/>
      <w:marBottom w:val="0"/>
      <w:divBdr>
        <w:top w:val="none" w:sz="0" w:space="0" w:color="auto"/>
        <w:left w:val="none" w:sz="0" w:space="0" w:color="auto"/>
        <w:bottom w:val="none" w:sz="0" w:space="0" w:color="auto"/>
        <w:right w:val="none" w:sz="0" w:space="0" w:color="auto"/>
      </w:divBdr>
    </w:div>
    <w:div w:id="476457953">
      <w:bodyDiv w:val="1"/>
      <w:marLeft w:val="0"/>
      <w:marRight w:val="0"/>
      <w:marTop w:val="0"/>
      <w:marBottom w:val="0"/>
      <w:divBdr>
        <w:top w:val="none" w:sz="0" w:space="0" w:color="auto"/>
        <w:left w:val="none" w:sz="0" w:space="0" w:color="auto"/>
        <w:bottom w:val="none" w:sz="0" w:space="0" w:color="auto"/>
        <w:right w:val="none" w:sz="0" w:space="0" w:color="auto"/>
      </w:divBdr>
    </w:div>
    <w:div w:id="478378161">
      <w:bodyDiv w:val="1"/>
      <w:marLeft w:val="0"/>
      <w:marRight w:val="0"/>
      <w:marTop w:val="0"/>
      <w:marBottom w:val="0"/>
      <w:divBdr>
        <w:top w:val="none" w:sz="0" w:space="0" w:color="auto"/>
        <w:left w:val="none" w:sz="0" w:space="0" w:color="auto"/>
        <w:bottom w:val="none" w:sz="0" w:space="0" w:color="auto"/>
        <w:right w:val="none" w:sz="0" w:space="0" w:color="auto"/>
      </w:divBdr>
    </w:div>
    <w:div w:id="484322519">
      <w:bodyDiv w:val="1"/>
      <w:marLeft w:val="0"/>
      <w:marRight w:val="0"/>
      <w:marTop w:val="0"/>
      <w:marBottom w:val="0"/>
      <w:divBdr>
        <w:top w:val="none" w:sz="0" w:space="0" w:color="auto"/>
        <w:left w:val="none" w:sz="0" w:space="0" w:color="auto"/>
        <w:bottom w:val="none" w:sz="0" w:space="0" w:color="auto"/>
        <w:right w:val="none" w:sz="0" w:space="0" w:color="auto"/>
      </w:divBdr>
    </w:div>
    <w:div w:id="494612937">
      <w:bodyDiv w:val="1"/>
      <w:marLeft w:val="0"/>
      <w:marRight w:val="0"/>
      <w:marTop w:val="0"/>
      <w:marBottom w:val="0"/>
      <w:divBdr>
        <w:top w:val="none" w:sz="0" w:space="0" w:color="auto"/>
        <w:left w:val="none" w:sz="0" w:space="0" w:color="auto"/>
        <w:bottom w:val="none" w:sz="0" w:space="0" w:color="auto"/>
        <w:right w:val="none" w:sz="0" w:space="0" w:color="auto"/>
      </w:divBdr>
      <w:divsChild>
        <w:div w:id="83308891">
          <w:marLeft w:val="0"/>
          <w:marRight w:val="0"/>
          <w:marTop w:val="0"/>
          <w:marBottom w:val="0"/>
          <w:divBdr>
            <w:top w:val="none" w:sz="0" w:space="0" w:color="auto"/>
            <w:left w:val="none" w:sz="0" w:space="0" w:color="auto"/>
            <w:bottom w:val="none" w:sz="0" w:space="0" w:color="auto"/>
            <w:right w:val="none" w:sz="0" w:space="0" w:color="auto"/>
          </w:divBdr>
        </w:div>
        <w:div w:id="478038185">
          <w:marLeft w:val="0"/>
          <w:marRight w:val="0"/>
          <w:marTop w:val="0"/>
          <w:marBottom w:val="0"/>
          <w:divBdr>
            <w:top w:val="none" w:sz="0" w:space="0" w:color="auto"/>
            <w:left w:val="none" w:sz="0" w:space="0" w:color="auto"/>
            <w:bottom w:val="none" w:sz="0" w:space="0" w:color="auto"/>
            <w:right w:val="none" w:sz="0" w:space="0" w:color="auto"/>
          </w:divBdr>
        </w:div>
        <w:div w:id="1434402070">
          <w:marLeft w:val="0"/>
          <w:marRight w:val="0"/>
          <w:marTop w:val="0"/>
          <w:marBottom w:val="0"/>
          <w:divBdr>
            <w:top w:val="none" w:sz="0" w:space="0" w:color="auto"/>
            <w:left w:val="none" w:sz="0" w:space="0" w:color="auto"/>
            <w:bottom w:val="none" w:sz="0" w:space="0" w:color="auto"/>
            <w:right w:val="none" w:sz="0" w:space="0" w:color="auto"/>
          </w:divBdr>
        </w:div>
        <w:div w:id="2001617009">
          <w:marLeft w:val="0"/>
          <w:marRight w:val="0"/>
          <w:marTop w:val="0"/>
          <w:marBottom w:val="0"/>
          <w:divBdr>
            <w:top w:val="none" w:sz="0" w:space="0" w:color="auto"/>
            <w:left w:val="none" w:sz="0" w:space="0" w:color="auto"/>
            <w:bottom w:val="none" w:sz="0" w:space="0" w:color="auto"/>
            <w:right w:val="none" w:sz="0" w:space="0" w:color="auto"/>
          </w:divBdr>
        </w:div>
      </w:divsChild>
    </w:div>
    <w:div w:id="496120593">
      <w:bodyDiv w:val="1"/>
      <w:marLeft w:val="0"/>
      <w:marRight w:val="0"/>
      <w:marTop w:val="0"/>
      <w:marBottom w:val="0"/>
      <w:divBdr>
        <w:top w:val="none" w:sz="0" w:space="0" w:color="auto"/>
        <w:left w:val="none" w:sz="0" w:space="0" w:color="auto"/>
        <w:bottom w:val="none" w:sz="0" w:space="0" w:color="auto"/>
        <w:right w:val="none" w:sz="0" w:space="0" w:color="auto"/>
      </w:divBdr>
    </w:div>
    <w:div w:id="497814081">
      <w:bodyDiv w:val="1"/>
      <w:marLeft w:val="0"/>
      <w:marRight w:val="0"/>
      <w:marTop w:val="0"/>
      <w:marBottom w:val="0"/>
      <w:divBdr>
        <w:top w:val="none" w:sz="0" w:space="0" w:color="auto"/>
        <w:left w:val="none" w:sz="0" w:space="0" w:color="auto"/>
        <w:bottom w:val="none" w:sz="0" w:space="0" w:color="auto"/>
        <w:right w:val="none" w:sz="0" w:space="0" w:color="auto"/>
      </w:divBdr>
    </w:div>
    <w:div w:id="499203918">
      <w:bodyDiv w:val="1"/>
      <w:marLeft w:val="0"/>
      <w:marRight w:val="0"/>
      <w:marTop w:val="0"/>
      <w:marBottom w:val="0"/>
      <w:divBdr>
        <w:top w:val="none" w:sz="0" w:space="0" w:color="auto"/>
        <w:left w:val="none" w:sz="0" w:space="0" w:color="auto"/>
        <w:bottom w:val="none" w:sz="0" w:space="0" w:color="auto"/>
        <w:right w:val="none" w:sz="0" w:space="0" w:color="auto"/>
      </w:divBdr>
    </w:div>
    <w:div w:id="500236530">
      <w:bodyDiv w:val="1"/>
      <w:marLeft w:val="0"/>
      <w:marRight w:val="0"/>
      <w:marTop w:val="0"/>
      <w:marBottom w:val="0"/>
      <w:divBdr>
        <w:top w:val="none" w:sz="0" w:space="0" w:color="auto"/>
        <w:left w:val="none" w:sz="0" w:space="0" w:color="auto"/>
        <w:bottom w:val="none" w:sz="0" w:space="0" w:color="auto"/>
        <w:right w:val="none" w:sz="0" w:space="0" w:color="auto"/>
      </w:divBdr>
    </w:div>
    <w:div w:id="502204707">
      <w:bodyDiv w:val="1"/>
      <w:marLeft w:val="0"/>
      <w:marRight w:val="0"/>
      <w:marTop w:val="0"/>
      <w:marBottom w:val="0"/>
      <w:divBdr>
        <w:top w:val="none" w:sz="0" w:space="0" w:color="auto"/>
        <w:left w:val="none" w:sz="0" w:space="0" w:color="auto"/>
        <w:bottom w:val="none" w:sz="0" w:space="0" w:color="auto"/>
        <w:right w:val="none" w:sz="0" w:space="0" w:color="auto"/>
      </w:divBdr>
    </w:div>
    <w:div w:id="504513146">
      <w:bodyDiv w:val="1"/>
      <w:marLeft w:val="0"/>
      <w:marRight w:val="0"/>
      <w:marTop w:val="0"/>
      <w:marBottom w:val="0"/>
      <w:divBdr>
        <w:top w:val="none" w:sz="0" w:space="0" w:color="auto"/>
        <w:left w:val="none" w:sz="0" w:space="0" w:color="auto"/>
        <w:bottom w:val="none" w:sz="0" w:space="0" w:color="auto"/>
        <w:right w:val="none" w:sz="0" w:space="0" w:color="auto"/>
      </w:divBdr>
    </w:div>
    <w:div w:id="505435644">
      <w:bodyDiv w:val="1"/>
      <w:marLeft w:val="0"/>
      <w:marRight w:val="0"/>
      <w:marTop w:val="0"/>
      <w:marBottom w:val="0"/>
      <w:divBdr>
        <w:top w:val="none" w:sz="0" w:space="0" w:color="auto"/>
        <w:left w:val="none" w:sz="0" w:space="0" w:color="auto"/>
        <w:bottom w:val="none" w:sz="0" w:space="0" w:color="auto"/>
        <w:right w:val="none" w:sz="0" w:space="0" w:color="auto"/>
      </w:divBdr>
    </w:div>
    <w:div w:id="506142144">
      <w:bodyDiv w:val="1"/>
      <w:marLeft w:val="0"/>
      <w:marRight w:val="0"/>
      <w:marTop w:val="0"/>
      <w:marBottom w:val="0"/>
      <w:divBdr>
        <w:top w:val="none" w:sz="0" w:space="0" w:color="auto"/>
        <w:left w:val="none" w:sz="0" w:space="0" w:color="auto"/>
        <w:bottom w:val="none" w:sz="0" w:space="0" w:color="auto"/>
        <w:right w:val="none" w:sz="0" w:space="0" w:color="auto"/>
      </w:divBdr>
    </w:div>
    <w:div w:id="507136349">
      <w:bodyDiv w:val="1"/>
      <w:marLeft w:val="0"/>
      <w:marRight w:val="0"/>
      <w:marTop w:val="0"/>
      <w:marBottom w:val="0"/>
      <w:divBdr>
        <w:top w:val="none" w:sz="0" w:space="0" w:color="auto"/>
        <w:left w:val="none" w:sz="0" w:space="0" w:color="auto"/>
        <w:bottom w:val="none" w:sz="0" w:space="0" w:color="auto"/>
        <w:right w:val="none" w:sz="0" w:space="0" w:color="auto"/>
      </w:divBdr>
    </w:div>
    <w:div w:id="508451116">
      <w:bodyDiv w:val="1"/>
      <w:marLeft w:val="0"/>
      <w:marRight w:val="0"/>
      <w:marTop w:val="0"/>
      <w:marBottom w:val="0"/>
      <w:divBdr>
        <w:top w:val="none" w:sz="0" w:space="0" w:color="auto"/>
        <w:left w:val="none" w:sz="0" w:space="0" w:color="auto"/>
        <w:bottom w:val="none" w:sz="0" w:space="0" w:color="auto"/>
        <w:right w:val="none" w:sz="0" w:space="0" w:color="auto"/>
      </w:divBdr>
    </w:div>
    <w:div w:id="510484637">
      <w:bodyDiv w:val="1"/>
      <w:marLeft w:val="0"/>
      <w:marRight w:val="0"/>
      <w:marTop w:val="0"/>
      <w:marBottom w:val="0"/>
      <w:divBdr>
        <w:top w:val="none" w:sz="0" w:space="0" w:color="auto"/>
        <w:left w:val="none" w:sz="0" w:space="0" w:color="auto"/>
        <w:bottom w:val="none" w:sz="0" w:space="0" w:color="auto"/>
        <w:right w:val="none" w:sz="0" w:space="0" w:color="auto"/>
      </w:divBdr>
    </w:div>
    <w:div w:id="511263252">
      <w:bodyDiv w:val="1"/>
      <w:marLeft w:val="0"/>
      <w:marRight w:val="0"/>
      <w:marTop w:val="0"/>
      <w:marBottom w:val="0"/>
      <w:divBdr>
        <w:top w:val="none" w:sz="0" w:space="0" w:color="auto"/>
        <w:left w:val="none" w:sz="0" w:space="0" w:color="auto"/>
        <w:bottom w:val="none" w:sz="0" w:space="0" w:color="auto"/>
        <w:right w:val="none" w:sz="0" w:space="0" w:color="auto"/>
      </w:divBdr>
    </w:div>
    <w:div w:id="511798499">
      <w:bodyDiv w:val="1"/>
      <w:marLeft w:val="0"/>
      <w:marRight w:val="0"/>
      <w:marTop w:val="0"/>
      <w:marBottom w:val="0"/>
      <w:divBdr>
        <w:top w:val="none" w:sz="0" w:space="0" w:color="auto"/>
        <w:left w:val="none" w:sz="0" w:space="0" w:color="auto"/>
        <w:bottom w:val="none" w:sz="0" w:space="0" w:color="auto"/>
        <w:right w:val="none" w:sz="0" w:space="0" w:color="auto"/>
      </w:divBdr>
    </w:div>
    <w:div w:id="512110021">
      <w:bodyDiv w:val="1"/>
      <w:marLeft w:val="0"/>
      <w:marRight w:val="0"/>
      <w:marTop w:val="0"/>
      <w:marBottom w:val="0"/>
      <w:divBdr>
        <w:top w:val="none" w:sz="0" w:space="0" w:color="auto"/>
        <w:left w:val="none" w:sz="0" w:space="0" w:color="auto"/>
        <w:bottom w:val="none" w:sz="0" w:space="0" w:color="auto"/>
        <w:right w:val="none" w:sz="0" w:space="0" w:color="auto"/>
      </w:divBdr>
    </w:div>
    <w:div w:id="513690269">
      <w:bodyDiv w:val="1"/>
      <w:marLeft w:val="0"/>
      <w:marRight w:val="0"/>
      <w:marTop w:val="0"/>
      <w:marBottom w:val="0"/>
      <w:divBdr>
        <w:top w:val="none" w:sz="0" w:space="0" w:color="auto"/>
        <w:left w:val="none" w:sz="0" w:space="0" w:color="auto"/>
        <w:bottom w:val="none" w:sz="0" w:space="0" w:color="auto"/>
        <w:right w:val="none" w:sz="0" w:space="0" w:color="auto"/>
      </w:divBdr>
    </w:div>
    <w:div w:id="518663676">
      <w:bodyDiv w:val="1"/>
      <w:marLeft w:val="0"/>
      <w:marRight w:val="0"/>
      <w:marTop w:val="0"/>
      <w:marBottom w:val="0"/>
      <w:divBdr>
        <w:top w:val="none" w:sz="0" w:space="0" w:color="auto"/>
        <w:left w:val="none" w:sz="0" w:space="0" w:color="auto"/>
        <w:bottom w:val="none" w:sz="0" w:space="0" w:color="auto"/>
        <w:right w:val="none" w:sz="0" w:space="0" w:color="auto"/>
      </w:divBdr>
    </w:div>
    <w:div w:id="520510511">
      <w:bodyDiv w:val="1"/>
      <w:marLeft w:val="0"/>
      <w:marRight w:val="0"/>
      <w:marTop w:val="0"/>
      <w:marBottom w:val="0"/>
      <w:divBdr>
        <w:top w:val="none" w:sz="0" w:space="0" w:color="auto"/>
        <w:left w:val="none" w:sz="0" w:space="0" w:color="auto"/>
        <w:bottom w:val="none" w:sz="0" w:space="0" w:color="auto"/>
        <w:right w:val="none" w:sz="0" w:space="0" w:color="auto"/>
      </w:divBdr>
    </w:div>
    <w:div w:id="527177411">
      <w:bodyDiv w:val="1"/>
      <w:marLeft w:val="0"/>
      <w:marRight w:val="0"/>
      <w:marTop w:val="0"/>
      <w:marBottom w:val="0"/>
      <w:divBdr>
        <w:top w:val="none" w:sz="0" w:space="0" w:color="auto"/>
        <w:left w:val="none" w:sz="0" w:space="0" w:color="auto"/>
        <w:bottom w:val="none" w:sz="0" w:space="0" w:color="auto"/>
        <w:right w:val="none" w:sz="0" w:space="0" w:color="auto"/>
      </w:divBdr>
    </w:div>
    <w:div w:id="527378067">
      <w:bodyDiv w:val="1"/>
      <w:marLeft w:val="0"/>
      <w:marRight w:val="0"/>
      <w:marTop w:val="0"/>
      <w:marBottom w:val="0"/>
      <w:divBdr>
        <w:top w:val="none" w:sz="0" w:space="0" w:color="auto"/>
        <w:left w:val="none" w:sz="0" w:space="0" w:color="auto"/>
        <w:bottom w:val="none" w:sz="0" w:space="0" w:color="auto"/>
        <w:right w:val="none" w:sz="0" w:space="0" w:color="auto"/>
      </w:divBdr>
    </w:div>
    <w:div w:id="528034631">
      <w:bodyDiv w:val="1"/>
      <w:marLeft w:val="0"/>
      <w:marRight w:val="0"/>
      <w:marTop w:val="0"/>
      <w:marBottom w:val="0"/>
      <w:divBdr>
        <w:top w:val="none" w:sz="0" w:space="0" w:color="auto"/>
        <w:left w:val="none" w:sz="0" w:space="0" w:color="auto"/>
        <w:bottom w:val="none" w:sz="0" w:space="0" w:color="auto"/>
        <w:right w:val="none" w:sz="0" w:space="0" w:color="auto"/>
      </w:divBdr>
    </w:div>
    <w:div w:id="528878173">
      <w:bodyDiv w:val="1"/>
      <w:marLeft w:val="0"/>
      <w:marRight w:val="0"/>
      <w:marTop w:val="0"/>
      <w:marBottom w:val="0"/>
      <w:divBdr>
        <w:top w:val="none" w:sz="0" w:space="0" w:color="auto"/>
        <w:left w:val="none" w:sz="0" w:space="0" w:color="auto"/>
        <w:bottom w:val="none" w:sz="0" w:space="0" w:color="auto"/>
        <w:right w:val="none" w:sz="0" w:space="0" w:color="auto"/>
      </w:divBdr>
    </w:div>
    <w:div w:id="529808220">
      <w:bodyDiv w:val="1"/>
      <w:marLeft w:val="0"/>
      <w:marRight w:val="0"/>
      <w:marTop w:val="0"/>
      <w:marBottom w:val="0"/>
      <w:divBdr>
        <w:top w:val="none" w:sz="0" w:space="0" w:color="auto"/>
        <w:left w:val="none" w:sz="0" w:space="0" w:color="auto"/>
        <w:bottom w:val="none" w:sz="0" w:space="0" w:color="auto"/>
        <w:right w:val="none" w:sz="0" w:space="0" w:color="auto"/>
      </w:divBdr>
    </w:div>
    <w:div w:id="530193102">
      <w:bodyDiv w:val="1"/>
      <w:marLeft w:val="0"/>
      <w:marRight w:val="0"/>
      <w:marTop w:val="0"/>
      <w:marBottom w:val="0"/>
      <w:divBdr>
        <w:top w:val="none" w:sz="0" w:space="0" w:color="auto"/>
        <w:left w:val="none" w:sz="0" w:space="0" w:color="auto"/>
        <w:bottom w:val="none" w:sz="0" w:space="0" w:color="auto"/>
        <w:right w:val="none" w:sz="0" w:space="0" w:color="auto"/>
      </w:divBdr>
    </w:div>
    <w:div w:id="530387434">
      <w:bodyDiv w:val="1"/>
      <w:marLeft w:val="0"/>
      <w:marRight w:val="0"/>
      <w:marTop w:val="0"/>
      <w:marBottom w:val="0"/>
      <w:divBdr>
        <w:top w:val="none" w:sz="0" w:space="0" w:color="auto"/>
        <w:left w:val="none" w:sz="0" w:space="0" w:color="auto"/>
        <w:bottom w:val="none" w:sz="0" w:space="0" w:color="auto"/>
        <w:right w:val="none" w:sz="0" w:space="0" w:color="auto"/>
      </w:divBdr>
    </w:div>
    <w:div w:id="531070368">
      <w:bodyDiv w:val="1"/>
      <w:marLeft w:val="0"/>
      <w:marRight w:val="0"/>
      <w:marTop w:val="0"/>
      <w:marBottom w:val="0"/>
      <w:divBdr>
        <w:top w:val="none" w:sz="0" w:space="0" w:color="auto"/>
        <w:left w:val="none" w:sz="0" w:space="0" w:color="auto"/>
        <w:bottom w:val="none" w:sz="0" w:space="0" w:color="auto"/>
        <w:right w:val="none" w:sz="0" w:space="0" w:color="auto"/>
      </w:divBdr>
    </w:div>
    <w:div w:id="531308270">
      <w:bodyDiv w:val="1"/>
      <w:marLeft w:val="0"/>
      <w:marRight w:val="0"/>
      <w:marTop w:val="0"/>
      <w:marBottom w:val="0"/>
      <w:divBdr>
        <w:top w:val="none" w:sz="0" w:space="0" w:color="auto"/>
        <w:left w:val="none" w:sz="0" w:space="0" w:color="auto"/>
        <w:bottom w:val="none" w:sz="0" w:space="0" w:color="auto"/>
        <w:right w:val="none" w:sz="0" w:space="0" w:color="auto"/>
      </w:divBdr>
    </w:div>
    <w:div w:id="533422311">
      <w:bodyDiv w:val="1"/>
      <w:marLeft w:val="0"/>
      <w:marRight w:val="0"/>
      <w:marTop w:val="0"/>
      <w:marBottom w:val="0"/>
      <w:divBdr>
        <w:top w:val="none" w:sz="0" w:space="0" w:color="auto"/>
        <w:left w:val="none" w:sz="0" w:space="0" w:color="auto"/>
        <w:bottom w:val="none" w:sz="0" w:space="0" w:color="auto"/>
        <w:right w:val="none" w:sz="0" w:space="0" w:color="auto"/>
      </w:divBdr>
    </w:div>
    <w:div w:id="533881654">
      <w:bodyDiv w:val="1"/>
      <w:marLeft w:val="0"/>
      <w:marRight w:val="0"/>
      <w:marTop w:val="0"/>
      <w:marBottom w:val="0"/>
      <w:divBdr>
        <w:top w:val="none" w:sz="0" w:space="0" w:color="auto"/>
        <w:left w:val="none" w:sz="0" w:space="0" w:color="auto"/>
        <w:bottom w:val="none" w:sz="0" w:space="0" w:color="auto"/>
        <w:right w:val="none" w:sz="0" w:space="0" w:color="auto"/>
      </w:divBdr>
    </w:div>
    <w:div w:id="535042214">
      <w:bodyDiv w:val="1"/>
      <w:marLeft w:val="0"/>
      <w:marRight w:val="0"/>
      <w:marTop w:val="0"/>
      <w:marBottom w:val="0"/>
      <w:divBdr>
        <w:top w:val="none" w:sz="0" w:space="0" w:color="auto"/>
        <w:left w:val="none" w:sz="0" w:space="0" w:color="auto"/>
        <w:bottom w:val="none" w:sz="0" w:space="0" w:color="auto"/>
        <w:right w:val="none" w:sz="0" w:space="0" w:color="auto"/>
      </w:divBdr>
    </w:div>
    <w:div w:id="536813900">
      <w:bodyDiv w:val="1"/>
      <w:marLeft w:val="0"/>
      <w:marRight w:val="0"/>
      <w:marTop w:val="0"/>
      <w:marBottom w:val="0"/>
      <w:divBdr>
        <w:top w:val="none" w:sz="0" w:space="0" w:color="auto"/>
        <w:left w:val="none" w:sz="0" w:space="0" w:color="auto"/>
        <w:bottom w:val="none" w:sz="0" w:space="0" w:color="auto"/>
        <w:right w:val="none" w:sz="0" w:space="0" w:color="auto"/>
      </w:divBdr>
    </w:div>
    <w:div w:id="538401090">
      <w:bodyDiv w:val="1"/>
      <w:marLeft w:val="0"/>
      <w:marRight w:val="0"/>
      <w:marTop w:val="0"/>
      <w:marBottom w:val="0"/>
      <w:divBdr>
        <w:top w:val="none" w:sz="0" w:space="0" w:color="auto"/>
        <w:left w:val="none" w:sz="0" w:space="0" w:color="auto"/>
        <w:bottom w:val="none" w:sz="0" w:space="0" w:color="auto"/>
        <w:right w:val="none" w:sz="0" w:space="0" w:color="auto"/>
      </w:divBdr>
    </w:div>
    <w:div w:id="538975670">
      <w:bodyDiv w:val="1"/>
      <w:marLeft w:val="0"/>
      <w:marRight w:val="0"/>
      <w:marTop w:val="0"/>
      <w:marBottom w:val="0"/>
      <w:divBdr>
        <w:top w:val="none" w:sz="0" w:space="0" w:color="auto"/>
        <w:left w:val="none" w:sz="0" w:space="0" w:color="auto"/>
        <w:bottom w:val="none" w:sz="0" w:space="0" w:color="auto"/>
        <w:right w:val="none" w:sz="0" w:space="0" w:color="auto"/>
      </w:divBdr>
    </w:div>
    <w:div w:id="542139695">
      <w:bodyDiv w:val="1"/>
      <w:marLeft w:val="0"/>
      <w:marRight w:val="0"/>
      <w:marTop w:val="0"/>
      <w:marBottom w:val="0"/>
      <w:divBdr>
        <w:top w:val="none" w:sz="0" w:space="0" w:color="auto"/>
        <w:left w:val="none" w:sz="0" w:space="0" w:color="auto"/>
        <w:bottom w:val="none" w:sz="0" w:space="0" w:color="auto"/>
        <w:right w:val="none" w:sz="0" w:space="0" w:color="auto"/>
      </w:divBdr>
    </w:div>
    <w:div w:id="542642689">
      <w:bodyDiv w:val="1"/>
      <w:marLeft w:val="0"/>
      <w:marRight w:val="0"/>
      <w:marTop w:val="0"/>
      <w:marBottom w:val="0"/>
      <w:divBdr>
        <w:top w:val="none" w:sz="0" w:space="0" w:color="auto"/>
        <w:left w:val="none" w:sz="0" w:space="0" w:color="auto"/>
        <w:bottom w:val="none" w:sz="0" w:space="0" w:color="auto"/>
        <w:right w:val="none" w:sz="0" w:space="0" w:color="auto"/>
      </w:divBdr>
    </w:div>
    <w:div w:id="543173959">
      <w:bodyDiv w:val="1"/>
      <w:marLeft w:val="0"/>
      <w:marRight w:val="0"/>
      <w:marTop w:val="0"/>
      <w:marBottom w:val="0"/>
      <w:divBdr>
        <w:top w:val="none" w:sz="0" w:space="0" w:color="auto"/>
        <w:left w:val="none" w:sz="0" w:space="0" w:color="auto"/>
        <w:bottom w:val="none" w:sz="0" w:space="0" w:color="auto"/>
        <w:right w:val="none" w:sz="0" w:space="0" w:color="auto"/>
      </w:divBdr>
    </w:div>
    <w:div w:id="546721070">
      <w:bodyDiv w:val="1"/>
      <w:marLeft w:val="0"/>
      <w:marRight w:val="0"/>
      <w:marTop w:val="0"/>
      <w:marBottom w:val="0"/>
      <w:divBdr>
        <w:top w:val="none" w:sz="0" w:space="0" w:color="auto"/>
        <w:left w:val="none" w:sz="0" w:space="0" w:color="auto"/>
        <w:bottom w:val="none" w:sz="0" w:space="0" w:color="auto"/>
        <w:right w:val="none" w:sz="0" w:space="0" w:color="auto"/>
      </w:divBdr>
    </w:div>
    <w:div w:id="550462758">
      <w:bodyDiv w:val="1"/>
      <w:marLeft w:val="0"/>
      <w:marRight w:val="0"/>
      <w:marTop w:val="0"/>
      <w:marBottom w:val="0"/>
      <w:divBdr>
        <w:top w:val="none" w:sz="0" w:space="0" w:color="auto"/>
        <w:left w:val="none" w:sz="0" w:space="0" w:color="auto"/>
        <w:bottom w:val="none" w:sz="0" w:space="0" w:color="auto"/>
        <w:right w:val="none" w:sz="0" w:space="0" w:color="auto"/>
      </w:divBdr>
    </w:div>
    <w:div w:id="551036025">
      <w:bodyDiv w:val="1"/>
      <w:marLeft w:val="0"/>
      <w:marRight w:val="0"/>
      <w:marTop w:val="0"/>
      <w:marBottom w:val="0"/>
      <w:divBdr>
        <w:top w:val="none" w:sz="0" w:space="0" w:color="auto"/>
        <w:left w:val="none" w:sz="0" w:space="0" w:color="auto"/>
        <w:bottom w:val="none" w:sz="0" w:space="0" w:color="auto"/>
        <w:right w:val="none" w:sz="0" w:space="0" w:color="auto"/>
      </w:divBdr>
    </w:div>
    <w:div w:id="552935007">
      <w:bodyDiv w:val="1"/>
      <w:marLeft w:val="0"/>
      <w:marRight w:val="0"/>
      <w:marTop w:val="0"/>
      <w:marBottom w:val="0"/>
      <w:divBdr>
        <w:top w:val="none" w:sz="0" w:space="0" w:color="auto"/>
        <w:left w:val="none" w:sz="0" w:space="0" w:color="auto"/>
        <w:bottom w:val="none" w:sz="0" w:space="0" w:color="auto"/>
        <w:right w:val="none" w:sz="0" w:space="0" w:color="auto"/>
      </w:divBdr>
    </w:div>
    <w:div w:id="553664766">
      <w:bodyDiv w:val="1"/>
      <w:marLeft w:val="0"/>
      <w:marRight w:val="0"/>
      <w:marTop w:val="0"/>
      <w:marBottom w:val="0"/>
      <w:divBdr>
        <w:top w:val="none" w:sz="0" w:space="0" w:color="auto"/>
        <w:left w:val="none" w:sz="0" w:space="0" w:color="auto"/>
        <w:bottom w:val="none" w:sz="0" w:space="0" w:color="auto"/>
        <w:right w:val="none" w:sz="0" w:space="0" w:color="auto"/>
      </w:divBdr>
    </w:div>
    <w:div w:id="556820906">
      <w:bodyDiv w:val="1"/>
      <w:marLeft w:val="0"/>
      <w:marRight w:val="0"/>
      <w:marTop w:val="0"/>
      <w:marBottom w:val="0"/>
      <w:divBdr>
        <w:top w:val="none" w:sz="0" w:space="0" w:color="auto"/>
        <w:left w:val="none" w:sz="0" w:space="0" w:color="auto"/>
        <w:bottom w:val="none" w:sz="0" w:space="0" w:color="auto"/>
        <w:right w:val="none" w:sz="0" w:space="0" w:color="auto"/>
      </w:divBdr>
    </w:div>
    <w:div w:id="557857408">
      <w:bodyDiv w:val="1"/>
      <w:marLeft w:val="0"/>
      <w:marRight w:val="0"/>
      <w:marTop w:val="0"/>
      <w:marBottom w:val="0"/>
      <w:divBdr>
        <w:top w:val="none" w:sz="0" w:space="0" w:color="auto"/>
        <w:left w:val="none" w:sz="0" w:space="0" w:color="auto"/>
        <w:bottom w:val="none" w:sz="0" w:space="0" w:color="auto"/>
        <w:right w:val="none" w:sz="0" w:space="0" w:color="auto"/>
      </w:divBdr>
    </w:div>
    <w:div w:id="557908857">
      <w:bodyDiv w:val="1"/>
      <w:marLeft w:val="0"/>
      <w:marRight w:val="0"/>
      <w:marTop w:val="0"/>
      <w:marBottom w:val="0"/>
      <w:divBdr>
        <w:top w:val="none" w:sz="0" w:space="0" w:color="auto"/>
        <w:left w:val="none" w:sz="0" w:space="0" w:color="auto"/>
        <w:bottom w:val="none" w:sz="0" w:space="0" w:color="auto"/>
        <w:right w:val="none" w:sz="0" w:space="0" w:color="auto"/>
      </w:divBdr>
    </w:div>
    <w:div w:id="558326176">
      <w:bodyDiv w:val="1"/>
      <w:marLeft w:val="0"/>
      <w:marRight w:val="0"/>
      <w:marTop w:val="0"/>
      <w:marBottom w:val="0"/>
      <w:divBdr>
        <w:top w:val="none" w:sz="0" w:space="0" w:color="auto"/>
        <w:left w:val="none" w:sz="0" w:space="0" w:color="auto"/>
        <w:bottom w:val="none" w:sz="0" w:space="0" w:color="auto"/>
        <w:right w:val="none" w:sz="0" w:space="0" w:color="auto"/>
      </w:divBdr>
    </w:div>
    <w:div w:id="562373244">
      <w:bodyDiv w:val="1"/>
      <w:marLeft w:val="0"/>
      <w:marRight w:val="0"/>
      <w:marTop w:val="0"/>
      <w:marBottom w:val="0"/>
      <w:divBdr>
        <w:top w:val="none" w:sz="0" w:space="0" w:color="auto"/>
        <w:left w:val="none" w:sz="0" w:space="0" w:color="auto"/>
        <w:bottom w:val="none" w:sz="0" w:space="0" w:color="auto"/>
        <w:right w:val="none" w:sz="0" w:space="0" w:color="auto"/>
      </w:divBdr>
    </w:div>
    <w:div w:id="562907452">
      <w:bodyDiv w:val="1"/>
      <w:marLeft w:val="0"/>
      <w:marRight w:val="0"/>
      <w:marTop w:val="0"/>
      <w:marBottom w:val="0"/>
      <w:divBdr>
        <w:top w:val="none" w:sz="0" w:space="0" w:color="auto"/>
        <w:left w:val="none" w:sz="0" w:space="0" w:color="auto"/>
        <w:bottom w:val="none" w:sz="0" w:space="0" w:color="auto"/>
        <w:right w:val="none" w:sz="0" w:space="0" w:color="auto"/>
      </w:divBdr>
    </w:div>
    <w:div w:id="563764156">
      <w:bodyDiv w:val="1"/>
      <w:marLeft w:val="0"/>
      <w:marRight w:val="0"/>
      <w:marTop w:val="0"/>
      <w:marBottom w:val="0"/>
      <w:divBdr>
        <w:top w:val="none" w:sz="0" w:space="0" w:color="auto"/>
        <w:left w:val="none" w:sz="0" w:space="0" w:color="auto"/>
        <w:bottom w:val="none" w:sz="0" w:space="0" w:color="auto"/>
        <w:right w:val="none" w:sz="0" w:space="0" w:color="auto"/>
      </w:divBdr>
    </w:div>
    <w:div w:id="564609109">
      <w:bodyDiv w:val="1"/>
      <w:marLeft w:val="0"/>
      <w:marRight w:val="0"/>
      <w:marTop w:val="0"/>
      <w:marBottom w:val="0"/>
      <w:divBdr>
        <w:top w:val="none" w:sz="0" w:space="0" w:color="auto"/>
        <w:left w:val="none" w:sz="0" w:space="0" w:color="auto"/>
        <w:bottom w:val="none" w:sz="0" w:space="0" w:color="auto"/>
        <w:right w:val="none" w:sz="0" w:space="0" w:color="auto"/>
      </w:divBdr>
    </w:div>
    <w:div w:id="564723926">
      <w:bodyDiv w:val="1"/>
      <w:marLeft w:val="0"/>
      <w:marRight w:val="0"/>
      <w:marTop w:val="0"/>
      <w:marBottom w:val="0"/>
      <w:divBdr>
        <w:top w:val="none" w:sz="0" w:space="0" w:color="auto"/>
        <w:left w:val="none" w:sz="0" w:space="0" w:color="auto"/>
        <w:bottom w:val="none" w:sz="0" w:space="0" w:color="auto"/>
        <w:right w:val="none" w:sz="0" w:space="0" w:color="auto"/>
      </w:divBdr>
    </w:div>
    <w:div w:id="567498333">
      <w:bodyDiv w:val="1"/>
      <w:marLeft w:val="0"/>
      <w:marRight w:val="0"/>
      <w:marTop w:val="0"/>
      <w:marBottom w:val="0"/>
      <w:divBdr>
        <w:top w:val="none" w:sz="0" w:space="0" w:color="auto"/>
        <w:left w:val="none" w:sz="0" w:space="0" w:color="auto"/>
        <w:bottom w:val="none" w:sz="0" w:space="0" w:color="auto"/>
        <w:right w:val="none" w:sz="0" w:space="0" w:color="auto"/>
      </w:divBdr>
    </w:div>
    <w:div w:id="570626791">
      <w:bodyDiv w:val="1"/>
      <w:marLeft w:val="0"/>
      <w:marRight w:val="0"/>
      <w:marTop w:val="0"/>
      <w:marBottom w:val="0"/>
      <w:divBdr>
        <w:top w:val="none" w:sz="0" w:space="0" w:color="auto"/>
        <w:left w:val="none" w:sz="0" w:space="0" w:color="auto"/>
        <w:bottom w:val="none" w:sz="0" w:space="0" w:color="auto"/>
        <w:right w:val="none" w:sz="0" w:space="0" w:color="auto"/>
      </w:divBdr>
    </w:div>
    <w:div w:id="573324434">
      <w:bodyDiv w:val="1"/>
      <w:marLeft w:val="0"/>
      <w:marRight w:val="0"/>
      <w:marTop w:val="0"/>
      <w:marBottom w:val="0"/>
      <w:divBdr>
        <w:top w:val="none" w:sz="0" w:space="0" w:color="auto"/>
        <w:left w:val="none" w:sz="0" w:space="0" w:color="auto"/>
        <w:bottom w:val="none" w:sz="0" w:space="0" w:color="auto"/>
        <w:right w:val="none" w:sz="0" w:space="0" w:color="auto"/>
      </w:divBdr>
    </w:div>
    <w:div w:id="577790637">
      <w:bodyDiv w:val="1"/>
      <w:marLeft w:val="0"/>
      <w:marRight w:val="0"/>
      <w:marTop w:val="0"/>
      <w:marBottom w:val="0"/>
      <w:divBdr>
        <w:top w:val="none" w:sz="0" w:space="0" w:color="auto"/>
        <w:left w:val="none" w:sz="0" w:space="0" w:color="auto"/>
        <w:bottom w:val="none" w:sz="0" w:space="0" w:color="auto"/>
        <w:right w:val="none" w:sz="0" w:space="0" w:color="auto"/>
      </w:divBdr>
    </w:div>
    <w:div w:id="582881118">
      <w:bodyDiv w:val="1"/>
      <w:marLeft w:val="0"/>
      <w:marRight w:val="0"/>
      <w:marTop w:val="0"/>
      <w:marBottom w:val="0"/>
      <w:divBdr>
        <w:top w:val="none" w:sz="0" w:space="0" w:color="auto"/>
        <w:left w:val="none" w:sz="0" w:space="0" w:color="auto"/>
        <w:bottom w:val="none" w:sz="0" w:space="0" w:color="auto"/>
        <w:right w:val="none" w:sz="0" w:space="0" w:color="auto"/>
      </w:divBdr>
    </w:div>
    <w:div w:id="584844161">
      <w:bodyDiv w:val="1"/>
      <w:marLeft w:val="0"/>
      <w:marRight w:val="0"/>
      <w:marTop w:val="0"/>
      <w:marBottom w:val="0"/>
      <w:divBdr>
        <w:top w:val="none" w:sz="0" w:space="0" w:color="auto"/>
        <w:left w:val="none" w:sz="0" w:space="0" w:color="auto"/>
        <w:bottom w:val="none" w:sz="0" w:space="0" w:color="auto"/>
        <w:right w:val="none" w:sz="0" w:space="0" w:color="auto"/>
      </w:divBdr>
    </w:div>
    <w:div w:id="587857946">
      <w:bodyDiv w:val="1"/>
      <w:marLeft w:val="0"/>
      <w:marRight w:val="0"/>
      <w:marTop w:val="0"/>
      <w:marBottom w:val="0"/>
      <w:divBdr>
        <w:top w:val="none" w:sz="0" w:space="0" w:color="auto"/>
        <w:left w:val="none" w:sz="0" w:space="0" w:color="auto"/>
        <w:bottom w:val="none" w:sz="0" w:space="0" w:color="auto"/>
        <w:right w:val="none" w:sz="0" w:space="0" w:color="auto"/>
      </w:divBdr>
    </w:div>
    <w:div w:id="588779081">
      <w:bodyDiv w:val="1"/>
      <w:marLeft w:val="0"/>
      <w:marRight w:val="0"/>
      <w:marTop w:val="0"/>
      <w:marBottom w:val="0"/>
      <w:divBdr>
        <w:top w:val="none" w:sz="0" w:space="0" w:color="auto"/>
        <w:left w:val="none" w:sz="0" w:space="0" w:color="auto"/>
        <w:bottom w:val="none" w:sz="0" w:space="0" w:color="auto"/>
        <w:right w:val="none" w:sz="0" w:space="0" w:color="auto"/>
      </w:divBdr>
    </w:div>
    <w:div w:id="588975094">
      <w:bodyDiv w:val="1"/>
      <w:marLeft w:val="0"/>
      <w:marRight w:val="0"/>
      <w:marTop w:val="0"/>
      <w:marBottom w:val="0"/>
      <w:divBdr>
        <w:top w:val="none" w:sz="0" w:space="0" w:color="auto"/>
        <w:left w:val="none" w:sz="0" w:space="0" w:color="auto"/>
        <w:bottom w:val="none" w:sz="0" w:space="0" w:color="auto"/>
        <w:right w:val="none" w:sz="0" w:space="0" w:color="auto"/>
      </w:divBdr>
    </w:div>
    <w:div w:id="590351959">
      <w:bodyDiv w:val="1"/>
      <w:marLeft w:val="0"/>
      <w:marRight w:val="0"/>
      <w:marTop w:val="0"/>
      <w:marBottom w:val="0"/>
      <w:divBdr>
        <w:top w:val="none" w:sz="0" w:space="0" w:color="auto"/>
        <w:left w:val="none" w:sz="0" w:space="0" w:color="auto"/>
        <w:bottom w:val="none" w:sz="0" w:space="0" w:color="auto"/>
        <w:right w:val="none" w:sz="0" w:space="0" w:color="auto"/>
      </w:divBdr>
    </w:div>
    <w:div w:id="591546421">
      <w:bodyDiv w:val="1"/>
      <w:marLeft w:val="0"/>
      <w:marRight w:val="0"/>
      <w:marTop w:val="0"/>
      <w:marBottom w:val="0"/>
      <w:divBdr>
        <w:top w:val="none" w:sz="0" w:space="0" w:color="auto"/>
        <w:left w:val="none" w:sz="0" w:space="0" w:color="auto"/>
        <w:bottom w:val="none" w:sz="0" w:space="0" w:color="auto"/>
        <w:right w:val="none" w:sz="0" w:space="0" w:color="auto"/>
      </w:divBdr>
    </w:div>
    <w:div w:id="593781413">
      <w:bodyDiv w:val="1"/>
      <w:marLeft w:val="0"/>
      <w:marRight w:val="0"/>
      <w:marTop w:val="0"/>
      <w:marBottom w:val="0"/>
      <w:divBdr>
        <w:top w:val="none" w:sz="0" w:space="0" w:color="auto"/>
        <w:left w:val="none" w:sz="0" w:space="0" w:color="auto"/>
        <w:bottom w:val="none" w:sz="0" w:space="0" w:color="auto"/>
        <w:right w:val="none" w:sz="0" w:space="0" w:color="auto"/>
      </w:divBdr>
    </w:div>
    <w:div w:id="594633833">
      <w:bodyDiv w:val="1"/>
      <w:marLeft w:val="0"/>
      <w:marRight w:val="0"/>
      <w:marTop w:val="0"/>
      <w:marBottom w:val="0"/>
      <w:divBdr>
        <w:top w:val="none" w:sz="0" w:space="0" w:color="auto"/>
        <w:left w:val="none" w:sz="0" w:space="0" w:color="auto"/>
        <w:bottom w:val="none" w:sz="0" w:space="0" w:color="auto"/>
        <w:right w:val="none" w:sz="0" w:space="0" w:color="auto"/>
      </w:divBdr>
    </w:div>
    <w:div w:id="600065395">
      <w:bodyDiv w:val="1"/>
      <w:marLeft w:val="0"/>
      <w:marRight w:val="0"/>
      <w:marTop w:val="0"/>
      <w:marBottom w:val="0"/>
      <w:divBdr>
        <w:top w:val="none" w:sz="0" w:space="0" w:color="auto"/>
        <w:left w:val="none" w:sz="0" w:space="0" w:color="auto"/>
        <w:bottom w:val="none" w:sz="0" w:space="0" w:color="auto"/>
        <w:right w:val="none" w:sz="0" w:space="0" w:color="auto"/>
      </w:divBdr>
    </w:div>
    <w:div w:id="600186819">
      <w:bodyDiv w:val="1"/>
      <w:marLeft w:val="0"/>
      <w:marRight w:val="0"/>
      <w:marTop w:val="0"/>
      <w:marBottom w:val="0"/>
      <w:divBdr>
        <w:top w:val="none" w:sz="0" w:space="0" w:color="auto"/>
        <w:left w:val="none" w:sz="0" w:space="0" w:color="auto"/>
        <w:bottom w:val="none" w:sz="0" w:space="0" w:color="auto"/>
        <w:right w:val="none" w:sz="0" w:space="0" w:color="auto"/>
      </w:divBdr>
    </w:div>
    <w:div w:id="601915171">
      <w:bodyDiv w:val="1"/>
      <w:marLeft w:val="0"/>
      <w:marRight w:val="0"/>
      <w:marTop w:val="0"/>
      <w:marBottom w:val="0"/>
      <w:divBdr>
        <w:top w:val="none" w:sz="0" w:space="0" w:color="auto"/>
        <w:left w:val="none" w:sz="0" w:space="0" w:color="auto"/>
        <w:bottom w:val="none" w:sz="0" w:space="0" w:color="auto"/>
        <w:right w:val="none" w:sz="0" w:space="0" w:color="auto"/>
      </w:divBdr>
    </w:div>
    <w:div w:id="602424421">
      <w:bodyDiv w:val="1"/>
      <w:marLeft w:val="0"/>
      <w:marRight w:val="0"/>
      <w:marTop w:val="0"/>
      <w:marBottom w:val="0"/>
      <w:divBdr>
        <w:top w:val="none" w:sz="0" w:space="0" w:color="auto"/>
        <w:left w:val="none" w:sz="0" w:space="0" w:color="auto"/>
        <w:bottom w:val="none" w:sz="0" w:space="0" w:color="auto"/>
        <w:right w:val="none" w:sz="0" w:space="0" w:color="auto"/>
      </w:divBdr>
    </w:div>
    <w:div w:id="602542704">
      <w:bodyDiv w:val="1"/>
      <w:marLeft w:val="0"/>
      <w:marRight w:val="0"/>
      <w:marTop w:val="0"/>
      <w:marBottom w:val="0"/>
      <w:divBdr>
        <w:top w:val="none" w:sz="0" w:space="0" w:color="auto"/>
        <w:left w:val="none" w:sz="0" w:space="0" w:color="auto"/>
        <w:bottom w:val="none" w:sz="0" w:space="0" w:color="auto"/>
        <w:right w:val="none" w:sz="0" w:space="0" w:color="auto"/>
      </w:divBdr>
    </w:div>
    <w:div w:id="602568092">
      <w:bodyDiv w:val="1"/>
      <w:marLeft w:val="0"/>
      <w:marRight w:val="0"/>
      <w:marTop w:val="0"/>
      <w:marBottom w:val="0"/>
      <w:divBdr>
        <w:top w:val="none" w:sz="0" w:space="0" w:color="auto"/>
        <w:left w:val="none" w:sz="0" w:space="0" w:color="auto"/>
        <w:bottom w:val="none" w:sz="0" w:space="0" w:color="auto"/>
        <w:right w:val="none" w:sz="0" w:space="0" w:color="auto"/>
      </w:divBdr>
    </w:div>
    <w:div w:id="606040349">
      <w:bodyDiv w:val="1"/>
      <w:marLeft w:val="0"/>
      <w:marRight w:val="0"/>
      <w:marTop w:val="0"/>
      <w:marBottom w:val="0"/>
      <w:divBdr>
        <w:top w:val="none" w:sz="0" w:space="0" w:color="auto"/>
        <w:left w:val="none" w:sz="0" w:space="0" w:color="auto"/>
        <w:bottom w:val="none" w:sz="0" w:space="0" w:color="auto"/>
        <w:right w:val="none" w:sz="0" w:space="0" w:color="auto"/>
      </w:divBdr>
    </w:div>
    <w:div w:id="606163161">
      <w:bodyDiv w:val="1"/>
      <w:marLeft w:val="0"/>
      <w:marRight w:val="0"/>
      <w:marTop w:val="0"/>
      <w:marBottom w:val="0"/>
      <w:divBdr>
        <w:top w:val="none" w:sz="0" w:space="0" w:color="auto"/>
        <w:left w:val="none" w:sz="0" w:space="0" w:color="auto"/>
        <w:bottom w:val="none" w:sz="0" w:space="0" w:color="auto"/>
        <w:right w:val="none" w:sz="0" w:space="0" w:color="auto"/>
      </w:divBdr>
    </w:div>
    <w:div w:id="606354719">
      <w:bodyDiv w:val="1"/>
      <w:marLeft w:val="0"/>
      <w:marRight w:val="0"/>
      <w:marTop w:val="0"/>
      <w:marBottom w:val="0"/>
      <w:divBdr>
        <w:top w:val="none" w:sz="0" w:space="0" w:color="auto"/>
        <w:left w:val="none" w:sz="0" w:space="0" w:color="auto"/>
        <w:bottom w:val="none" w:sz="0" w:space="0" w:color="auto"/>
        <w:right w:val="none" w:sz="0" w:space="0" w:color="auto"/>
      </w:divBdr>
    </w:div>
    <w:div w:id="608661984">
      <w:bodyDiv w:val="1"/>
      <w:marLeft w:val="0"/>
      <w:marRight w:val="0"/>
      <w:marTop w:val="0"/>
      <w:marBottom w:val="0"/>
      <w:divBdr>
        <w:top w:val="none" w:sz="0" w:space="0" w:color="auto"/>
        <w:left w:val="none" w:sz="0" w:space="0" w:color="auto"/>
        <w:bottom w:val="none" w:sz="0" w:space="0" w:color="auto"/>
        <w:right w:val="none" w:sz="0" w:space="0" w:color="auto"/>
      </w:divBdr>
    </w:div>
    <w:div w:id="610093412">
      <w:bodyDiv w:val="1"/>
      <w:marLeft w:val="0"/>
      <w:marRight w:val="0"/>
      <w:marTop w:val="0"/>
      <w:marBottom w:val="0"/>
      <w:divBdr>
        <w:top w:val="none" w:sz="0" w:space="0" w:color="auto"/>
        <w:left w:val="none" w:sz="0" w:space="0" w:color="auto"/>
        <w:bottom w:val="none" w:sz="0" w:space="0" w:color="auto"/>
        <w:right w:val="none" w:sz="0" w:space="0" w:color="auto"/>
      </w:divBdr>
    </w:div>
    <w:div w:id="612782628">
      <w:bodyDiv w:val="1"/>
      <w:marLeft w:val="0"/>
      <w:marRight w:val="0"/>
      <w:marTop w:val="0"/>
      <w:marBottom w:val="0"/>
      <w:divBdr>
        <w:top w:val="none" w:sz="0" w:space="0" w:color="auto"/>
        <w:left w:val="none" w:sz="0" w:space="0" w:color="auto"/>
        <w:bottom w:val="none" w:sz="0" w:space="0" w:color="auto"/>
        <w:right w:val="none" w:sz="0" w:space="0" w:color="auto"/>
      </w:divBdr>
    </w:div>
    <w:div w:id="614217579">
      <w:bodyDiv w:val="1"/>
      <w:marLeft w:val="0"/>
      <w:marRight w:val="0"/>
      <w:marTop w:val="0"/>
      <w:marBottom w:val="0"/>
      <w:divBdr>
        <w:top w:val="none" w:sz="0" w:space="0" w:color="auto"/>
        <w:left w:val="none" w:sz="0" w:space="0" w:color="auto"/>
        <w:bottom w:val="none" w:sz="0" w:space="0" w:color="auto"/>
        <w:right w:val="none" w:sz="0" w:space="0" w:color="auto"/>
      </w:divBdr>
    </w:div>
    <w:div w:id="621692276">
      <w:bodyDiv w:val="1"/>
      <w:marLeft w:val="0"/>
      <w:marRight w:val="0"/>
      <w:marTop w:val="0"/>
      <w:marBottom w:val="0"/>
      <w:divBdr>
        <w:top w:val="none" w:sz="0" w:space="0" w:color="auto"/>
        <w:left w:val="none" w:sz="0" w:space="0" w:color="auto"/>
        <w:bottom w:val="none" w:sz="0" w:space="0" w:color="auto"/>
        <w:right w:val="none" w:sz="0" w:space="0" w:color="auto"/>
      </w:divBdr>
    </w:div>
    <w:div w:id="621814388">
      <w:bodyDiv w:val="1"/>
      <w:marLeft w:val="0"/>
      <w:marRight w:val="0"/>
      <w:marTop w:val="0"/>
      <w:marBottom w:val="0"/>
      <w:divBdr>
        <w:top w:val="none" w:sz="0" w:space="0" w:color="auto"/>
        <w:left w:val="none" w:sz="0" w:space="0" w:color="auto"/>
        <w:bottom w:val="none" w:sz="0" w:space="0" w:color="auto"/>
        <w:right w:val="none" w:sz="0" w:space="0" w:color="auto"/>
      </w:divBdr>
    </w:div>
    <w:div w:id="622688693">
      <w:bodyDiv w:val="1"/>
      <w:marLeft w:val="0"/>
      <w:marRight w:val="0"/>
      <w:marTop w:val="0"/>
      <w:marBottom w:val="0"/>
      <w:divBdr>
        <w:top w:val="none" w:sz="0" w:space="0" w:color="auto"/>
        <w:left w:val="none" w:sz="0" w:space="0" w:color="auto"/>
        <w:bottom w:val="none" w:sz="0" w:space="0" w:color="auto"/>
        <w:right w:val="none" w:sz="0" w:space="0" w:color="auto"/>
      </w:divBdr>
    </w:div>
    <w:div w:id="623080107">
      <w:bodyDiv w:val="1"/>
      <w:marLeft w:val="0"/>
      <w:marRight w:val="0"/>
      <w:marTop w:val="0"/>
      <w:marBottom w:val="0"/>
      <w:divBdr>
        <w:top w:val="none" w:sz="0" w:space="0" w:color="auto"/>
        <w:left w:val="none" w:sz="0" w:space="0" w:color="auto"/>
        <w:bottom w:val="none" w:sz="0" w:space="0" w:color="auto"/>
        <w:right w:val="none" w:sz="0" w:space="0" w:color="auto"/>
      </w:divBdr>
    </w:div>
    <w:div w:id="623577475">
      <w:bodyDiv w:val="1"/>
      <w:marLeft w:val="0"/>
      <w:marRight w:val="0"/>
      <w:marTop w:val="0"/>
      <w:marBottom w:val="0"/>
      <w:divBdr>
        <w:top w:val="none" w:sz="0" w:space="0" w:color="auto"/>
        <w:left w:val="none" w:sz="0" w:space="0" w:color="auto"/>
        <w:bottom w:val="none" w:sz="0" w:space="0" w:color="auto"/>
        <w:right w:val="none" w:sz="0" w:space="0" w:color="auto"/>
      </w:divBdr>
    </w:div>
    <w:div w:id="624042048">
      <w:bodyDiv w:val="1"/>
      <w:marLeft w:val="0"/>
      <w:marRight w:val="0"/>
      <w:marTop w:val="0"/>
      <w:marBottom w:val="0"/>
      <w:divBdr>
        <w:top w:val="none" w:sz="0" w:space="0" w:color="auto"/>
        <w:left w:val="none" w:sz="0" w:space="0" w:color="auto"/>
        <w:bottom w:val="none" w:sz="0" w:space="0" w:color="auto"/>
        <w:right w:val="none" w:sz="0" w:space="0" w:color="auto"/>
      </w:divBdr>
    </w:div>
    <w:div w:id="624390653">
      <w:bodyDiv w:val="1"/>
      <w:marLeft w:val="0"/>
      <w:marRight w:val="0"/>
      <w:marTop w:val="0"/>
      <w:marBottom w:val="0"/>
      <w:divBdr>
        <w:top w:val="none" w:sz="0" w:space="0" w:color="auto"/>
        <w:left w:val="none" w:sz="0" w:space="0" w:color="auto"/>
        <w:bottom w:val="none" w:sz="0" w:space="0" w:color="auto"/>
        <w:right w:val="none" w:sz="0" w:space="0" w:color="auto"/>
      </w:divBdr>
    </w:div>
    <w:div w:id="627664235">
      <w:bodyDiv w:val="1"/>
      <w:marLeft w:val="0"/>
      <w:marRight w:val="0"/>
      <w:marTop w:val="0"/>
      <w:marBottom w:val="0"/>
      <w:divBdr>
        <w:top w:val="none" w:sz="0" w:space="0" w:color="auto"/>
        <w:left w:val="none" w:sz="0" w:space="0" w:color="auto"/>
        <w:bottom w:val="none" w:sz="0" w:space="0" w:color="auto"/>
        <w:right w:val="none" w:sz="0" w:space="0" w:color="auto"/>
      </w:divBdr>
    </w:div>
    <w:div w:id="629358786">
      <w:bodyDiv w:val="1"/>
      <w:marLeft w:val="0"/>
      <w:marRight w:val="0"/>
      <w:marTop w:val="0"/>
      <w:marBottom w:val="0"/>
      <w:divBdr>
        <w:top w:val="none" w:sz="0" w:space="0" w:color="auto"/>
        <w:left w:val="none" w:sz="0" w:space="0" w:color="auto"/>
        <w:bottom w:val="none" w:sz="0" w:space="0" w:color="auto"/>
        <w:right w:val="none" w:sz="0" w:space="0" w:color="auto"/>
      </w:divBdr>
    </w:div>
    <w:div w:id="631138485">
      <w:bodyDiv w:val="1"/>
      <w:marLeft w:val="0"/>
      <w:marRight w:val="0"/>
      <w:marTop w:val="0"/>
      <w:marBottom w:val="0"/>
      <w:divBdr>
        <w:top w:val="none" w:sz="0" w:space="0" w:color="auto"/>
        <w:left w:val="none" w:sz="0" w:space="0" w:color="auto"/>
        <w:bottom w:val="none" w:sz="0" w:space="0" w:color="auto"/>
        <w:right w:val="none" w:sz="0" w:space="0" w:color="auto"/>
      </w:divBdr>
    </w:div>
    <w:div w:id="633759581">
      <w:bodyDiv w:val="1"/>
      <w:marLeft w:val="0"/>
      <w:marRight w:val="0"/>
      <w:marTop w:val="0"/>
      <w:marBottom w:val="0"/>
      <w:divBdr>
        <w:top w:val="none" w:sz="0" w:space="0" w:color="auto"/>
        <w:left w:val="none" w:sz="0" w:space="0" w:color="auto"/>
        <w:bottom w:val="none" w:sz="0" w:space="0" w:color="auto"/>
        <w:right w:val="none" w:sz="0" w:space="0" w:color="auto"/>
      </w:divBdr>
    </w:div>
    <w:div w:id="634027187">
      <w:bodyDiv w:val="1"/>
      <w:marLeft w:val="0"/>
      <w:marRight w:val="0"/>
      <w:marTop w:val="0"/>
      <w:marBottom w:val="0"/>
      <w:divBdr>
        <w:top w:val="none" w:sz="0" w:space="0" w:color="auto"/>
        <w:left w:val="none" w:sz="0" w:space="0" w:color="auto"/>
        <w:bottom w:val="none" w:sz="0" w:space="0" w:color="auto"/>
        <w:right w:val="none" w:sz="0" w:space="0" w:color="auto"/>
      </w:divBdr>
    </w:div>
    <w:div w:id="640353515">
      <w:bodyDiv w:val="1"/>
      <w:marLeft w:val="0"/>
      <w:marRight w:val="0"/>
      <w:marTop w:val="0"/>
      <w:marBottom w:val="0"/>
      <w:divBdr>
        <w:top w:val="none" w:sz="0" w:space="0" w:color="auto"/>
        <w:left w:val="none" w:sz="0" w:space="0" w:color="auto"/>
        <w:bottom w:val="none" w:sz="0" w:space="0" w:color="auto"/>
        <w:right w:val="none" w:sz="0" w:space="0" w:color="auto"/>
      </w:divBdr>
    </w:div>
    <w:div w:id="646053907">
      <w:bodyDiv w:val="1"/>
      <w:marLeft w:val="0"/>
      <w:marRight w:val="0"/>
      <w:marTop w:val="0"/>
      <w:marBottom w:val="0"/>
      <w:divBdr>
        <w:top w:val="none" w:sz="0" w:space="0" w:color="auto"/>
        <w:left w:val="none" w:sz="0" w:space="0" w:color="auto"/>
        <w:bottom w:val="none" w:sz="0" w:space="0" w:color="auto"/>
        <w:right w:val="none" w:sz="0" w:space="0" w:color="auto"/>
      </w:divBdr>
    </w:div>
    <w:div w:id="646204901">
      <w:bodyDiv w:val="1"/>
      <w:marLeft w:val="0"/>
      <w:marRight w:val="0"/>
      <w:marTop w:val="0"/>
      <w:marBottom w:val="0"/>
      <w:divBdr>
        <w:top w:val="none" w:sz="0" w:space="0" w:color="auto"/>
        <w:left w:val="none" w:sz="0" w:space="0" w:color="auto"/>
        <w:bottom w:val="none" w:sz="0" w:space="0" w:color="auto"/>
        <w:right w:val="none" w:sz="0" w:space="0" w:color="auto"/>
      </w:divBdr>
    </w:div>
    <w:div w:id="646320391">
      <w:bodyDiv w:val="1"/>
      <w:marLeft w:val="0"/>
      <w:marRight w:val="0"/>
      <w:marTop w:val="0"/>
      <w:marBottom w:val="0"/>
      <w:divBdr>
        <w:top w:val="none" w:sz="0" w:space="0" w:color="auto"/>
        <w:left w:val="none" w:sz="0" w:space="0" w:color="auto"/>
        <w:bottom w:val="none" w:sz="0" w:space="0" w:color="auto"/>
        <w:right w:val="none" w:sz="0" w:space="0" w:color="auto"/>
      </w:divBdr>
    </w:div>
    <w:div w:id="647318020">
      <w:bodyDiv w:val="1"/>
      <w:marLeft w:val="0"/>
      <w:marRight w:val="0"/>
      <w:marTop w:val="0"/>
      <w:marBottom w:val="0"/>
      <w:divBdr>
        <w:top w:val="none" w:sz="0" w:space="0" w:color="auto"/>
        <w:left w:val="none" w:sz="0" w:space="0" w:color="auto"/>
        <w:bottom w:val="none" w:sz="0" w:space="0" w:color="auto"/>
        <w:right w:val="none" w:sz="0" w:space="0" w:color="auto"/>
      </w:divBdr>
    </w:div>
    <w:div w:id="647518159">
      <w:bodyDiv w:val="1"/>
      <w:marLeft w:val="0"/>
      <w:marRight w:val="0"/>
      <w:marTop w:val="0"/>
      <w:marBottom w:val="0"/>
      <w:divBdr>
        <w:top w:val="none" w:sz="0" w:space="0" w:color="auto"/>
        <w:left w:val="none" w:sz="0" w:space="0" w:color="auto"/>
        <w:bottom w:val="none" w:sz="0" w:space="0" w:color="auto"/>
        <w:right w:val="none" w:sz="0" w:space="0" w:color="auto"/>
      </w:divBdr>
    </w:div>
    <w:div w:id="649867943">
      <w:bodyDiv w:val="1"/>
      <w:marLeft w:val="0"/>
      <w:marRight w:val="0"/>
      <w:marTop w:val="0"/>
      <w:marBottom w:val="0"/>
      <w:divBdr>
        <w:top w:val="none" w:sz="0" w:space="0" w:color="auto"/>
        <w:left w:val="none" w:sz="0" w:space="0" w:color="auto"/>
        <w:bottom w:val="none" w:sz="0" w:space="0" w:color="auto"/>
        <w:right w:val="none" w:sz="0" w:space="0" w:color="auto"/>
      </w:divBdr>
    </w:div>
    <w:div w:id="652951713">
      <w:bodyDiv w:val="1"/>
      <w:marLeft w:val="0"/>
      <w:marRight w:val="0"/>
      <w:marTop w:val="0"/>
      <w:marBottom w:val="0"/>
      <w:divBdr>
        <w:top w:val="none" w:sz="0" w:space="0" w:color="auto"/>
        <w:left w:val="none" w:sz="0" w:space="0" w:color="auto"/>
        <w:bottom w:val="none" w:sz="0" w:space="0" w:color="auto"/>
        <w:right w:val="none" w:sz="0" w:space="0" w:color="auto"/>
      </w:divBdr>
    </w:div>
    <w:div w:id="653534707">
      <w:bodyDiv w:val="1"/>
      <w:marLeft w:val="0"/>
      <w:marRight w:val="0"/>
      <w:marTop w:val="0"/>
      <w:marBottom w:val="0"/>
      <w:divBdr>
        <w:top w:val="none" w:sz="0" w:space="0" w:color="auto"/>
        <w:left w:val="none" w:sz="0" w:space="0" w:color="auto"/>
        <w:bottom w:val="none" w:sz="0" w:space="0" w:color="auto"/>
        <w:right w:val="none" w:sz="0" w:space="0" w:color="auto"/>
      </w:divBdr>
    </w:div>
    <w:div w:id="655840008">
      <w:bodyDiv w:val="1"/>
      <w:marLeft w:val="0"/>
      <w:marRight w:val="0"/>
      <w:marTop w:val="0"/>
      <w:marBottom w:val="0"/>
      <w:divBdr>
        <w:top w:val="none" w:sz="0" w:space="0" w:color="auto"/>
        <w:left w:val="none" w:sz="0" w:space="0" w:color="auto"/>
        <w:bottom w:val="none" w:sz="0" w:space="0" w:color="auto"/>
        <w:right w:val="none" w:sz="0" w:space="0" w:color="auto"/>
      </w:divBdr>
    </w:div>
    <w:div w:id="656154554">
      <w:bodyDiv w:val="1"/>
      <w:marLeft w:val="0"/>
      <w:marRight w:val="0"/>
      <w:marTop w:val="0"/>
      <w:marBottom w:val="0"/>
      <w:divBdr>
        <w:top w:val="none" w:sz="0" w:space="0" w:color="auto"/>
        <w:left w:val="none" w:sz="0" w:space="0" w:color="auto"/>
        <w:bottom w:val="none" w:sz="0" w:space="0" w:color="auto"/>
        <w:right w:val="none" w:sz="0" w:space="0" w:color="auto"/>
      </w:divBdr>
    </w:div>
    <w:div w:id="656883960">
      <w:bodyDiv w:val="1"/>
      <w:marLeft w:val="0"/>
      <w:marRight w:val="0"/>
      <w:marTop w:val="0"/>
      <w:marBottom w:val="0"/>
      <w:divBdr>
        <w:top w:val="none" w:sz="0" w:space="0" w:color="auto"/>
        <w:left w:val="none" w:sz="0" w:space="0" w:color="auto"/>
        <w:bottom w:val="none" w:sz="0" w:space="0" w:color="auto"/>
        <w:right w:val="none" w:sz="0" w:space="0" w:color="auto"/>
      </w:divBdr>
    </w:div>
    <w:div w:id="657077184">
      <w:bodyDiv w:val="1"/>
      <w:marLeft w:val="0"/>
      <w:marRight w:val="0"/>
      <w:marTop w:val="0"/>
      <w:marBottom w:val="0"/>
      <w:divBdr>
        <w:top w:val="none" w:sz="0" w:space="0" w:color="auto"/>
        <w:left w:val="none" w:sz="0" w:space="0" w:color="auto"/>
        <w:bottom w:val="none" w:sz="0" w:space="0" w:color="auto"/>
        <w:right w:val="none" w:sz="0" w:space="0" w:color="auto"/>
      </w:divBdr>
    </w:div>
    <w:div w:id="657343452">
      <w:bodyDiv w:val="1"/>
      <w:marLeft w:val="0"/>
      <w:marRight w:val="0"/>
      <w:marTop w:val="0"/>
      <w:marBottom w:val="0"/>
      <w:divBdr>
        <w:top w:val="none" w:sz="0" w:space="0" w:color="auto"/>
        <w:left w:val="none" w:sz="0" w:space="0" w:color="auto"/>
        <w:bottom w:val="none" w:sz="0" w:space="0" w:color="auto"/>
        <w:right w:val="none" w:sz="0" w:space="0" w:color="auto"/>
      </w:divBdr>
    </w:div>
    <w:div w:id="657423012">
      <w:bodyDiv w:val="1"/>
      <w:marLeft w:val="0"/>
      <w:marRight w:val="0"/>
      <w:marTop w:val="0"/>
      <w:marBottom w:val="0"/>
      <w:divBdr>
        <w:top w:val="none" w:sz="0" w:space="0" w:color="auto"/>
        <w:left w:val="none" w:sz="0" w:space="0" w:color="auto"/>
        <w:bottom w:val="none" w:sz="0" w:space="0" w:color="auto"/>
        <w:right w:val="none" w:sz="0" w:space="0" w:color="auto"/>
      </w:divBdr>
    </w:div>
    <w:div w:id="657925374">
      <w:bodyDiv w:val="1"/>
      <w:marLeft w:val="0"/>
      <w:marRight w:val="0"/>
      <w:marTop w:val="0"/>
      <w:marBottom w:val="0"/>
      <w:divBdr>
        <w:top w:val="none" w:sz="0" w:space="0" w:color="auto"/>
        <w:left w:val="none" w:sz="0" w:space="0" w:color="auto"/>
        <w:bottom w:val="none" w:sz="0" w:space="0" w:color="auto"/>
        <w:right w:val="none" w:sz="0" w:space="0" w:color="auto"/>
      </w:divBdr>
    </w:div>
    <w:div w:id="660279114">
      <w:bodyDiv w:val="1"/>
      <w:marLeft w:val="0"/>
      <w:marRight w:val="0"/>
      <w:marTop w:val="0"/>
      <w:marBottom w:val="0"/>
      <w:divBdr>
        <w:top w:val="none" w:sz="0" w:space="0" w:color="auto"/>
        <w:left w:val="none" w:sz="0" w:space="0" w:color="auto"/>
        <w:bottom w:val="none" w:sz="0" w:space="0" w:color="auto"/>
        <w:right w:val="none" w:sz="0" w:space="0" w:color="auto"/>
      </w:divBdr>
    </w:div>
    <w:div w:id="661276322">
      <w:bodyDiv w:val="1"/>
      <w:marLeft w:val="0"/>
      <w:marRight w:val="0"/>
      <w:marTop w:val="0"/>
      <w:marBottom w:val="0"/>
      <w:divBdr>
        <w:top w:val="none" w:sz="0" w:space="0" w:color="auto"/>
        <w:left w:val="none" w:sz="0" w:space="0" w:color="auto"/>
        <w:bottom w:val="none" w:sz="0" w:space="0" w:color="auto"/>
        <w:right w:val="none" w:sz="0" w:space="0" w:color="auto"/>
      </w:divBdr>
    </w:div>
    <w:div w:id="667362914">
      <w:bodyDiv w:val="1"/>
      <w:marLeft w:val="0"/>
      <w:marRight w:val="0"/>
      <w:marTop w:val="0"/>
      <w:marBottom w:val="0"/>
      <w:divBdr>
        <w:top w:val="none" w:sz="0" w:space="0" w:color="auto"/>
        <w:left w:val="none" w:sz="0" w:space="0" w:color="auto"/>
        <w:bottom w:val="none" w:sz="0" w:space="0" w:color="auto"/>
        <w:right w:val="none" w:sz="0" w:space="0" w:color="auto"/>
      </w:divBdr>
    </w:div>
    <w:div w:id="668412194">
      <w:bodyDiv w:val="1"/>
      <w:marLeft w:val="0"/>
      <w:marRight w:val="0"/>
      <w:marTop w:val="0"/>
      <w:marBottom w:val="0"/>
      <w:divBdr>
        <w:top w:val="none" w:sz="0" w:space="0" w:color="auto"/>
        <w:left w:val="none" w:sz="0" w:space="0" w:color="auto"/>
        <w:bottom w:val="none" w:sz="0" w:space="0" w:color="auto"/>
        <w:right w:val="none" w:sz="0" w:space="0" w:color="auto"/>
      </w:divBdr>
    </w:div>
    <w:div w:id="668800560">
      <w:bodyDiv w:val="1"/>
      <w:marLeft w:val="0"/>
      <w:marRight w:val="0"/>
      <w:marTop w:val="0"/>
      <w:marBottom w:val="0"/>
      <w:divBdr>
        <w:top w:val="none" w:sz="0" w:space="0" w:color="auto"/>
        <w:left w:val="none" w:sz="0" w:space="0" w:color="auto"/>
        <w:bottom w:val="none" w:sz="0" w:space="0" w:color="auto"/>
        <w:right w:val="none" w:sz="0" w:space="0" w:color="auto"/>
      </w:divBdr>
    </w:div>
    <w:div w:id="669521819">
      <w:bodyDiv w:val="1"/>
      <w:marLeft w:val="0"/>
      <w:marRight w:val="0"/>
      <w:marTop w:val="0"/>
      <w:marBottom w:val="0"/>
      <w:divBdr>
        <w:top w:val="none" w:sz="0" w:space="0" w:color="auto"/>
        <w:left w:val="none" w:sz="0" w:space="0" w:color="auto"/>
        <w:bottom w:val="none" w:sz="0" w:space="0" w:color="auto"/>
        <w:right w:val="none" w:sz="0" w:space="0" w:color="auto"/>
      </w:divBdr>
    </w:div>
    <w:div w:id="672688029">
      <w:bodyDiv w:val="1"/>
      <w:marLeft w:val="0"/>
      <w:marRight w:val="0"/>
      <w:marTop w:val="0"/>
      <w:marBottom w:val="0"/>
      <w:divBdr>
        <w:top w:val="none" w:sz="0" w:space="0" w:color="auto"/>
        <w:left w:val="none" w:sz="0" w:space="0" w:color="auto"/>
        <w:bottom w:val="none" w:sz="0" w:space="0" w:color="auto"/>
        <w:right w:val="none" w:sz="0" w:space="0" w:color="auto"/>
      </w:divBdr>
    </w:div>
    <w:div w:id="675381031">
      <w:bodyDiv w:val="1"/>
      <w:marLeft w:val="0"/>
      <w:marRight w:val="0"/>
      <w:marTop w:val="0"/>
      <w:marBottom w:val="0"/>
      <w:divBdr>
        <w:top w:val="none" w:sz="0" w:space="0" w:color="auto"/>
        <w:left w:val="none" w:sz="0" w:space="0" w:color="auto"/>
        <w:bottom w:val="none" w:sz="0" w:space="0" w:color="auto"/>
        <w:right w:val="none" w:sz="0" w:space="0" w:color="auto"/>
      </w:divBdr>
    </w:div>
    <w:div w:id="675767918">
      <w:bodyDiv w:val="1"/>
      <w:marLeft w:val="0"/>
      <w:marRight w:val="0"/>
      <w:marTop w:val="0"/>
      <w:marBottom w:val="0"/>
      <w:divBdr>
        <w:top w:val="none" w:sz="0" w:space="0" w:color="auto"/>
        <w:left w:val="none" w:sz="0" w:space="0" w:color="auto"/>
        <w:bottom w:val="none" w:sz="0" w:space="0" w:color="auto"/>
        <w:right w:val="none" w:sz="0" w:space="0" w:color="auto"/>
      </w:divBdr>
    </w:div>
    <w:div w:id="676078968">
      <w:bodyDiv w:val="1"/>
      <w:marLeft w:val="0"/>
      <w:marRight w:val="0"/>
      <w:marTop w:val="0"/>
      <w:marBottom w:val="0"/>
      <w:divBdr>
        <w:top w:val="none" w:sz="0" w:space="0" w:color="auto"/>
        <w:left w:val="none" w:sz="0" w:space="0" w:color="auto"/>
        <w:bottom w:val="none" w:sz="0" w:space="0" w:color="auto"/>
        <w:right w:val="none" w:sz="0" w:space="0" w:color="auto"/>
      </w:divBdr>
    </w:div>
    <w:div w:id="678778867">
      <w:bodyDiv w:val="1"/>
      <w:marLeft w:val="0"/>
      <w:marRight w:val="0"/>
      <w:marTop w:val="0"/>
      <w:marBottom w:val="0"/>
      <w:divBdr>
        <w:top w:val="none" w:sz="0" w:space="0" w:color="auto"/>
        <w:left w:val="none" w:sz="0" w:space="0" w:color="auto"/>
        <w:bottom w:val="none" w:sz="0" w:space="0" w:color="auto"/>
        <w:right w:val="none" w:sz="0" w:space="0" w:color="auto"/>
      </w:divBdr>
    </w:div>
    <w:div w:id="683283774">
      <w:bodyDiv w:val="1"/>
      <w:marLeft w:val="0"/>
      <w:marRight w:val="0"/>
      <w:marTop w:val="0"/>
      <w:marBottom w:val="0"/>
      <w:divBdr>
        <w:top w:val="none" w:sz="0" w:space="0" w:color="auto"/>
        <w:left w:val="none" w:sz="0" w:space="0" w:color="auto"/>
        <w:bottom w:val="none" w:sz="0" w:space="0" w:color="auto"/>
        <w:right w:val="none" w:sz="0" w:space="0" w:color="auto"/>
      </w:divBdr>
    </w:div>
    <w:div w:id="683747771">
      <w:bodyDiv w:val="1"/>
      <w:marLeft w:val="0"/>
      <w:marRight w:val="0"/>
      <w:marTop w:val="0"/>
      <w:marBottom w:val="0"/>
      <w:divBdr>
        <w:top w:val="none" w:sz="0" w:space="0" w:color="auto"/>
        <w:left w:val="none" w:sz="0" w:space="0" w:color="auto"/>
        <w:bottom w:val="none" w:sz="0" w:space="0" w:color="auto"/>
        <w:right w:val="none" w:sz="0" w:space="0" w:color="auto"/>
      </w:divBdr>
    </w:div>
    <w:div w:id="686909963">
      <w:bodyDiv w:val="1"/>
      <w:marLeft w:val="0"/>
      <w:marRight w:val="0"/>
      <w:marTop w:val="0"/>
      <w:marBottom w:val="0"/>
      <w:divBdr>
        <w:top w:val="none" w:sz="0" w:space="0" w:color="auto"/>
        <w:left w:val="none" w:sz="0" w:space="0" w:color="auto"/>
        <w:bottom w:val="none" w:sz="0" w:space="0" w:color="auto"/>
        <w:right w:val="none" w:sz="0" w:space="0" w:color="auto"/>
      </w:divBdr>
    </w:div>
    <w:div w:id="689721104">
      <w:bodyDiv w:val="1"/>
      <w:marLeft w:val="0"/>
      <w:marRight w:val="0"/>
      <w:marTop w:val="0"/>
      <w:marBottom w:val="0"/>
      <w:divBdr>
        <w:top w:val="none" w:sz="0" w:space="0" w:color="auto"/>
        <w:left w:val="none" w:sz="0" w:space="0" w:color="auto"/>
        <w:bottom w:val="none" w:sz="0" w:space="0" w:color="auto"/>
        <w:right w:val="none" w:sz="0" w:space="0" w:color="auto"/>
      </w:divBdr>
    </w:div>
    <w:div w:id="691109192">
      <w:bodyDiv w:val="1"/>
      <w:marLeft w:val="0"/>
      <w:marRight w:val="0"/>
      <w:marTop w:val="0"/>
      <w:marBottom w:val="0"/>
      <w:divBdr>
        <w:top w:val="none" w:sz="0" w:space="0" w:color="auto"/>
        <w:left w:val="none" w:sz="0" w:space="0" w:color="auto"/>
        <w:bottom w:val="none" w:sz="0" w:space="0" w:color="auto"/>
        <w:right w:val="none" w:sz="0" w:space="0" w:color="auto"/>
      </w:divBdr>
    </w:div>
    <w:div w:id="693918175">
      <w:bodyDiv w:val="1"/>
      <w:marLeft w:val="0"/>
      <w:marRight w:val="0"/>
      <w:marTop w:val="0"/>
      <w:marBottom w:val="0"/>
      <w:divBdr>
        <w:top w:val="none" w:sz="0" w:space="0" w:color="auto"/>
        <w:left w:val="none" w:sz="0" w:space="0" w:color="auto"/>
        <w:bottom w:val="none" w:sz="0" w:space="0" w:color="auto"/>
        <w:right w:val="none" w:sz="0" w:space="0" w:color="auto"/>
      </w:divBdr>
    </w:div>
    <w:div w:id="695155420">
      <w:bodyDiv w:val="1"/>
      <w:marLeft w:val="0"/>
      <w:marRight w:val="0"/>
      <w:marTop w:val="0"/>
      <w:marBottom w:val="0"/>
      <w:divBdr>
        <w:top w:val="none" w:sz="0" w:space="0" w:color="auto"/>
        <w:left w:val="none" w:sz="0" w:space="0" w:color="auto"/>
        <w:bottom w:val="none" w:sz="0" w:space="0" w:color="auto"/>
        <w:right w:val="none" w:sz="0" w:space="0" w:color="auto"/>
      </w:divBdr>
    </w:div>
    <w:div w:id="695930479">
      <w:bodyDiv w:val="1"/>
      <w:marLeft w:val="0"/>
      <w:marRight w:val="0"/>
      <w:marTop w:val="0"/>
      <w:marBottom w:val="0"/>
      <w:divBdr>
        <w:top w:val="none" w:sz="0" w:space="0" w:color="auto"/>
        <w:left w:val="none" w:sz="0" w:space="0" w:color="auto"/>
        <w:bottom w:val="none" w:sz="0" w:space="0" w:color="auto"/>
        <w:right w:val="none" w:sz="0" w:space="0" w:color="auto"/>
      </w:divBdr>
    </w:div>
    <w:div w:id="696082764">
      <w:bodyDiv w:val="1"/>
      <w:marLeft w:val="0"/>
      <w:marRight w:val="0"/>
      <w:marTop w:val="0"/>
      <w:marBottom w:val="0"/>
      <w:divBdr>
        <w:top w:val="none" w:sz="0" w:space="0" w:color="auto"/>
        <w:left w:val="none" w:sz="0" w:space="0" w:color="auto"/>
        <w:bottom w:val="none" w:sz="0" w:space="0" w:color="auto"/>
        <w:right w:val="none" w:sz="0" w:space="0" w:color="auto"/>
      </w:divBdr>
    </w:div>
    <w:div w:id="696588034">
      <w:bodyDiv w:val="1"/>
      <w:marLeft w:val="0"/>
      <w:marRight w:val="0"/>
      <w:marTop w:val="0"/>
      <w:marBottom w:val="0"/>
      <w:divBdr>
        <w:top w:val="none" w:sz="0" w:space="0" w:color="auto"/>
        <w:left w:val="none" w:sz="0" w:space="0" w:color="auto"/>
        <w:bottom w:val="none" w:sz="0" w:space="0" w:color="auto"/>
        <w:right w:val="none" w:sz="0" w:space="0" w:color="auto"/>
      </w:divBdr>
    </w:div>
    <w:div w:id="696810835">
      <w:bodyDiv w:val="1"/>
      <w:marLeft w:val="0"/>
      <w:marRight w:val="0"/>
      <w:marTop w:val="0"/>
      <w:marBottom w:val="0"/>
      <w:divBdr>
        <w:top w:val="none" w:sz="0" w:space="0" w:color="auto"/>
        <w:left w:val="none" w:sz="0" w:space="0" w:color="auto"/>
        <w:bottom w:val="none" w:sz="0" w:space="0" w:color="auto"/>
        <w:right w:val="none" w:sz="0" w:space="0" w:color="auto"/>
      </w:divBdr>
    </w:div>
    <w:div w:id="697852577">
      <w:bodyDiv w:val="1"/>
      <w:marLeft w:val="0"/>
      <w:marRight w:val="0"/>
      <w:marTop w:val="0"/>
      <w:marBottom w:val="0"/>
      <w:divBdr>
        <w:top w:val="none" w:sz="0" w:space="0" w:color="auto"/>
        <w:left w:val="none" w:sz="0" w:space="0" w:color="auto"/>
        <w:bottom w:val="none" w:sz="0" w:space="0" w:color="auto"/>
        <w:right w:val="none" w:sz="0" w:space="0" w:color="auto"/>
      </w:divBdr>
    </w:div>
    <w:div w:id="698745111">
      <w:bodyDiv w:val="1"/>
      <w:marLeft w:val="0"/>
      <w:marRight w:val="0"/>
      <w:marTop w:val="0"/>
      <w:marBottom w:val="0"/>
      <w:divBdr>
        <w:top w:val="none" w:sz="0" w:space="0" w:color="auto"/>
        <w:left w:val="none" w:sz="0" w:space="0" w:color="auto"/>
        <w:bottom w:val="none" w:sz="0" w:space="0" w:color="auto"/>
        <w:right w:val="none" w:sz="0" w:space="0" w:color="auto"/>
      </w:divBdr>
    </w:div>
    <w:div w:id="700208159">
      <w:bodyDiv w:val="1"/>
      <w:marLeft w:val="0"/>
      <w:marRight w:val="0"/>
      <w:marTop w:val="0"/>
      <w:marBottom w:val="0"/>
      <w:divBdr>
        <w:top w:val="none" w:sz="0" w:space="0" w:color="auto"/>
        <w:left w:val="none" w:sz="0" w:space="0" w:color="auto"/>
        <w:bottom w:val="none" w:sz="0" w:space="0" w:color="auto"/>
        <w:right w:val="none" w:sz="0" w:space="0" w:color="auto"/>
      </w:divBdr>
    </w:div>
    <w:div w:id="700784902">
      <w:bodyDiv w:val="1"/>
      <w:marLeft w:val="0"/>
      <w:marRight w:val="0"/>
      <w:marTop w:val="0"/>
      <w:marBottom w:val="0"/>
      <w:divBdr>
        <w:top w:val="none" w:sz="0" w:space="0" w:color="auto"/>
        <w:left w:val="none" w:sz="0" w:space="0" w:color="auto"/>
        <w:bottom w:val="none" w:sz="0" w:space="0" w:color="auto"/>
        <w:right w:val="none" w:sz="0" w:space="0" w:color="auto"/>
      </w:divBdr>
    </w:div>
    <w:div w:id="706493652">
      <w:bodyDiv w:val="1"/>
      <w:marLeft w:val="0"/>
      <w:marRight w:val="0"/>
      <w:marTop w:val="0"/>
      <w:marBottom w:val="0"/>
      <w:divBdr>
        <w:top w:val="none" w:sz="0" w:space="0" w:color="auto"/>
        <w:left w:val="none" w:sz="0" w:space="0" w:color="auto"/>
        <w:bottom w:val="none" w:sz="0" w:space="0" w:color="auto"/>
        <w:right w:val="none" w:sz="0" w:space="0" w:color="auto"/>
      </w:divBdr>
    </w:div>
    <w:div w:id="707920661">
      <w:bodyDiv w:val="1"/>
      <w:marLeft w:val="0"/>
      <w:marRight w:val="0"/>
      <w:marTop w:val="0"/>
      <w:marBottom w:val="0"/>
      <w:divBdr>
        <w:top w:val="none" w:sz="0" w:space="0" w:color="auto"/>
        <w:left w:val="none" w:sz="0" w:space="0" w:color="auto"/>
        <w:bottom w:val="none" w:sz="0" w:space="0" w:color="auto"/>
        <w:right w:val="none" w:sz="0" w:space="0" w:color="auto"/>
      </w:divBdr>
    </w:div>
    <w:div w:id="707949086">
      <w:bodyDiv w:val="1"/>
      <w:marLeft w:val="0"/>
      <w:marRight w:val="0"/>
      <w:marTop w:val="0"/>
      <w:marBottom w:val="0"/>
      <w:divBdr>
        <w:top w:val="none" w:sz="0" w:space="0" w:color="auto"/>
        <w:left w:val="none" w:sz="0" w:space="0" w:color="auto"/>
        <w:bottom w:val="none" w:sz="0" w:space="0" w:color="auto"/>
        <w:right w:val="none" w:sz="0" w:space="0" w:color="auto"/>
      </w:divBdr>
    </w:div>
    <w:div w:id="713046330">
      <w:bodyDiv w:val="1"/>
      <w:marLeft w:val="0"/>
      <w:marRight w:val="0"/>
      <w:marTop w:val="0"/>
      <w:marBottom w:val="0"/>
      <w:divBdr>
        <w:top w:val="none" w:sz="0" w:space="0" w:color="auto"/>
        <w:left w:val="none" w:sz="0" w:space="0" w:color="auto"/>
        <w:bottom w:val="none" w:sz="0" w:space="0" w:color="auto"/>
        <w:right w:val="none" w:sz="0" w:space="0" w:color="auto"/>
      </w:divBdr>
    </w:div>
    <w:div w:id="713190596">
      <w:bodyDiv w:val="1"/>
      <w:marLeft w:val="0"/>
      <w:marRight w:val="0"/>
      <w:marTop w:val="0"/>
      <w:marBottom w:val="0"/>
      <w:divBdr>
        <w:top w:val="none" w:sz="0" w:space="0" w:color="auto"/>
        <w:left w:val="none" w:sz="0" w:space="0" w:color="auto"/>
        <w:bottom w:val="none" w:sz="0" w:space="0" w:color="auto"/>
        <w:right w:val="none" w:sz="0" w:space="0" w:color="auto"/>
      </w:divBdr>
    </w:div>
    <w:div w:id="720402487">
      <w:bodyDiv w:val="1"/>
      <w:marLeft w:val="0"/>
      <w:marRight w:val="0"/>
      <w:marTop w:val="0"/>
      <w:marBottom w:val="0"/>
      <w:divBdr>
        <w:top w:val="none" w:sz="0" w:space="0" w:color="auto"/>
        <w:left w:val="none" w:sz="0" w:space="0" w:color="auto"/>
        <w:bottom w:val="none" w:sz="0" w:space="0" w:color="auto"/>
        <w:right w:val="none" w:sz="0" w:space="0" w:color="auto"/>
      </w:divBdr>
    </w:div>
    <w:div w:id="720517667">
      <w:bodyDiv w:val="1"/>
      <w:marLeft w:val="0"/>
      <w:marRight w:val="0"/>
      <w:marTop w:val="0"/>
      <w:marBottom w:val="0"/>
      <w:divBdr>
        <w:top w:val="none" w:sz="0" w:space="0" w:color="auto"/>
        <w:left w:val="none" w:sz="0" w:space="0" w:color="auto"/>
        <w:bottom w:val="none" w:sz="0" w:space="0" w:color="auto"/>
        <w:right w:val="none" w:sz="0" w:space="0" w:color="auto"/>
      </w:divBdr>
    </w:div>
    <w:div w:id="720598244">
      <w:bodyDiv w:val="1"/>
      <w:marLeft w:val="0"/>
      <w:marRight w:val="0"/>
      <w:marTop w:val="0"/>
      <w:marBottom w:val="0"/>
      <w:divBdr>
        <w:top w:val="none" w:sz="0" w:space="0" w:color="auto"/>
        <w:left w:val="none" w:sz="0" w:space="0" w:color="auto"/>
        <w:bottom w:val="none" w:sz="0" w:space="0" w:color="auto"/>
        <w:right w:val="none" w:sz="0" w:space="0" w:color="auto"/>
      </w:divBdr>
    </w:div>
    <w:div w:id="724333643">
      <w:bodyDiv w:val="1"/>
      <w:marLeft w:val="0"/>
      <w:marRight w:val="0"/>
      <w:marTop w:val="0"/>
      <w:marBottom w:val="0"/>
      <w:divBdr>
        <w:top w:val="none" w:sz="0" w:space="0" w:color="auto"/>
        <w:left w:val="none" w:sz="0" w:space="0" w:color="auto"/>
        <w:bottom w:val="none" w:sz="0" w:space="0" w:color="auto"/>
        <w:right w:val="none" w:sz="0" w:space="0" w:color="auto"/>
      </w:divBdr>
    </w:div>
    <w:div w:id="725952736">
      <w:bodyDiv w:val="1"/>
      <w:marLeft w:val="0"/>
      <w:marRight w:val="0"/>
      <w:marTop w:val="0"/>
      <w:marBottom w:val="0"/>
      <w:divBdr>
        <w:top w:val="none" w:sz="0" w:space="0" w:color="auto"/>
        <w:left w:val="none" w:sz="0" w:space="0" w:color="auto"/>
        <w:bottom w:val="none" w:sz="0" w:space="0" w:color="auto"/>
        <w:right w:val="none" w:sz="0" w:space="0" w:color="auto"/>
      </w:divBdr>
    </w:div>
    <w:div w:id="727147442">
      <w:bodyDiv w:val="1"/>
      <w:marLeft w:val="0"/>
      <w:marRight w:val="0"/>
      <w:marTop w:val="0"/>
      <w:marBottom w:val="0"/>
      <w:divBdr>
        <w:top w:val="none" w:sz="0" w:space="0" w:color="auto"/>
        <w:left w:val="none" w:sz="0" w:space="0" w:color="auto"/>
        <w:bottom w:val="none" w:sz="0" w:space="0" w:color="auto"/>
        <w:right w:val="none" w:sz="0" w:space="0" w:color="auto"/>
      </w:divBdr>
    </w:div>
    <w:div w:id="733743934">
      <w:bodyDiv w:val="1"/>
      <w:marLeft w:val="0"/>
      <w:marRight w:val="0"/>
      <w:marTop w:val="0"/>
      <w:marBottom w:val="0"/>
      <w:divBdr>
        <w:top w:val="none" w:sz="0" w:space="0" w:color="auto"/>
        <w:left w:val="none" w:sz="0" w:space="0" w:color="auto"/>
        <w:bottom w:val="none" w:sz="0" w:space="0" w:color="auto"/>
        <w:right w:val="none" w:sz="0" w:space="0" w:color="auto"/>
      </w:divBdr>
    </w:div>
    <w:div w:id="734621775">
      <w:bodyDiv w:val="1"/>
      <w:marLeft w:val="0"/>
      <w:marRight w:val="0"/>
      <w:marTop w:val="0"/>
      <w:marBottom w:val="0"/>
      <w:divBdr>
        <w:top w:val="none" w:sz="0" w:space="0" w:color="auto"/>
        <w:left w:val="none" w:sz="0" w:space="0" w:color="auto"/>
        <w:bottom w:val="none" w:sz="0" w:space="0" w:color="auto"/>
        <w:right w:val="none" w:sz="0" w:space="0" w:color="auto"/>
      </w:divBdr>
    </w:div>
    <w:div w:id="737358975">
      <w:bodyDiv w:val="1"/>
      <w:marLeft w:val="0"/>
      <w:marRight w:val="0"/>
      <w:marTop w:val="0"/>
      <w:marBottom w:val="0"/>
      <w:divBdr>
        <w:top w:val="none" w:sz="0" w:space="0" w:color="auto"/>
        <w:left w:val="none" w:sz="0" w:space="0" w:color="auto"/>
        <w:bottom w:val="none" w:sz="0" w:space="0" w:color="auto"/>
        <w:right w:val="none" w:sz="0" w:space="0" w:color="auto"/>
      </w:divBdr>
    </w:div>
    <w:div w:id="737479401">
      <w:bodyDiv w:val="1"/>
      <w:marLeft w:val="0"/>
      <w:marRight w:val="0"/>
      <w:marTop w:val="0"/>
      <w:marBottom w:val="0"/>
      <w:divBdr>
        <w:top w:val="none" w:sz="0" w:space="0" w:color="auto"/>
        <w:left w:val="none" w:sz="0" w:space="0" w:color="auto"/>
        <w:bottom w:val="none" w:sz="0" w:space="0" w:color="auto"/>
        <w:right w:val="none" w:sz="0" w:space="0" w:color="auto"/>
      </w:divBdr>
    </w:div>
    <w:div w:id="737553361">
      <w:bodyDiv w:val="1"/>
      <w:marLeft w:val="0"/>
      <w:marRight w:val="0"/>
      <w:marTop w:val="0"/>
      <w:marBottom w:val="0"/>
      <w:divBdr>
        <w:top w:val="none" w:sz="0" w:space="0" w:color="auto"/>
        <w:left w:val="none" w:sz="0" w:space="0" w:color="auto"/>
        <w:bottom w:val="none" w:sz="0" w:space="0" w:color="auto"/>
        <w:right w:val="none" w:sz="0" w:space="0" w:color="auto"/>
      </w:divBdr>
    </w:div>
    <w:div w:id="737820339">
      <w:bodyDiv w:val="1"/>
      <w:marLeft w:val="0"/>
      <w:marRight w:val="0"/>
      <w:marTop w:val="0"/>
      <w:marBottom w:val="0"/>
      <w:divBdr>
        <w:top w:val="none" w:sz="0" w:space="0" w:color="auto"/>
        <w:left w:val="none" w:sz="0" w:space="0" w:color="auto"/>
        <w:bottom w:val="none" w:sz="0" w:space="0" w:color="auto"/>
        <w:right w:val="none" w:sz="0" w:space="0" w:color="auto"/>
      </w:divBdr>
    </w:div>
    <w:div w:id="739443405">
      <w:bodyDiv w:val="1"/>
      <w:marLeft w:val="0"/>
      <w:marRight w:val="0"/>
      <w:marTop w:val="0"/>
      <w:marBottom w:val="0"/>
      <w:divBdr>
        <w:top w:val="none" w:sz="0" w:space="0" w:color="auto"/>
        <w:left w:val="none" w:sz="0" w:space="0" w:color="auto"/>
        <w:bottom w:val="none" w:sz="0" w:space="0" w:color="auto"/>
        <w:right w:val="none" w:sz="0" w:space="0" w:color="auto"/>
      </w:divBdr>
    </w:div>
    <w:div w:id="742989393">
      <w:bodyDiv w:val="1"/>
      <w:marLeft w:val="0"/>
      <w:marRight w:val="0"/>
      <w:marTop w:val="0"/>
      <w:marBottom w:val="0"/>
      <w:divBdr>
        <w:top w:val="none" w:sz="0" w:space="0" w:color="auto"/>
        <w:left w:val="none" w:sz="0" w:space="0" w:color="auto"/>
        <w:bottom w:val="none" w:sz="0" w:space="0" w:color="auto"/>
        <w:right w:val="none" w:sz="0" w:space="0" w:color="auto"/>
      </w:divBdr>
    </w:div>
    <w:div w:id="746147270">
      <w:bodyDiv w:val="1"/>
      <w:marLeft w:val="0"/>
      <w:marRight w:val="0"/>
      <w:marTop w:val="0"/>
      <w:marBottom w:val="0"/>
      <w:divBdr>
        <w:top w:val="none" w:sz="0" w:space="0" w:color="auto"/>
        <w:left w:val="none" w:sz="0" w:space="0" w:color="auto"/>
        <w:bottom w:val="none" w:sz="0" w:space="0" w:color="auto"/>
        <w:right w:val="none" w:sz="0" w:space="0" w:color="auto"/>
      </w:divBdr>
    </w:div>
    <w:div w:id="746535174">
      <w:bodyDiv w:val="1"/>
      <w:marLeft w:val="0"/>
      <w:marRight w:val="0"/>
      <w:marTop w:val="0"/>
      <w:marBottom w:val="0"/>
      <w:divBdr>
        <w:top w:val="none" w:sz="0" w:space="0" w:color="auto"/>
        <w:left w:val="none" w:sz="0" w:space="0" w:color="auto"/>
        <w:bottom w:val="none" w:sz="0" w:space="0" w:color="auto"/>
        <w:right w:val="none" w:sz="0" w:space="0" w:color="auto"/>
      </w:divBdr>
      <w:divsChild>
        <w:div w:id="204946601">
          <w:marLeft w:val="0"/>
          <w:marRight w:val="0"/>
          <w:marTop w:val="0"/>
          <w:marBottom w:val="0"/>
          <w:divBdr>
            <w:top w:val="none" w:sz="0" w:space="0" w:color="auto"/>
            <w:left w:val="none" w:sz="0" w:space="0" w:color="auto"/>
            <w:bottom w:val="none" w:sz="0" w:space="0" w:color="auto"/>
            <w:right w:val="none" w:sz="0" w:space="0" w:color="auto"/>
          </w:divBdr>
          <w:divsChild>
            <w:div w:id="111479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7072555">
      <w:bodyDiv w:val="1"/>
      <w:marLeft w:val="0"/>
      <w:marRight w:val="0"/>
      <w:marTop w:val="0"/>
      <w:marBottom w:val="0"/>
      <w:divBdr>
        <w:top w:val="none" w:sz="0" w:space="0" w:color="auto"/>
        <w:left w:val="none" w:sz="0" w:space="0" w:color="auto"/>
        <w:bottom w:val="none" w:sz="0" w:space="0" w:color="auto"/>
        <w:right w:val="none" w:sz="0" w:space="0" w:color="auto"/>
      </w:divBdr>
    </w:div>
    <w:div w:id="747268361">
      <w:bodyDiv w:val="1"/>
      <w:marLeft w:val="0"/>
      <w:marRight w:val="0"/>
      <w:marTop w:val="0"/>
      <w:marBottom w:val="0"/>
      <w:divBdr>
        <w:top w:val="none" w:sz="0" w:space="0" w:color="auto"/>
        <w:left w:val="none" w:sz="0" w:space="0" w:color="auto"/>
        <w:bottom w:val="none" w:sz="0" w:space="0" w:color="auto"/>
        <w:right w:val="none" w:sz="0" w:space="0" w:color="auto"/>
      </w:divBdr>
    </w:div>
    <w:div w:id="748622678">
      <w:bodyDiv w:val="1"/>
      <w:marLeft w:val="0"/>
      <w:marRight w:val="0"/>
      <w:marTop w:val="0"/>
      <w:marBottom w:val="0"/>
      <w:divBdr>
        <w:top w:val="none" w:sz="0" w:space="0" w:color="auto"/>
        <w:left w:val="none" w:sz="0" w:space="0" w:color="auto"/>
        <w:bottom w:val="none" w:sz="0" w:space="0" w:color="auto"/>
        <w:right w:val="none" w:sz="0" w:space="0" w:color="auto"/>
      </w:divBdr>
    </w:div>
    <w:div w:id="755831923">
      <w:bodyDiv w:val="1"/>
      <w:marLeft w:val="0"/>
      <w:marRight w:val="0"/>
      <w:marTop w:val="0"/>
      <w:marBottom w:val="0"/>
      <w:divBdr>
        <w:top w:val="none" w:sz="0" w:space="0" w:color="auto"/>
        <w:left w:val="none" w:sz="0" w:space="0" w:color="auto"/>
        <w:bottom w:val="none" w:sz="0" w:space="0" w:color="auto"/>
        <w:right w:val="none" w:sz="0" w:space="0" w:color="auto"/>
      </w:divBdr>
      <w:divsChild>
        <w:div w:id="1310354934">
          <w:marLeft w:val="0"/>
          <w:marRight w:val="0"/>
          <w:marTop w:val="0"/>
          <w:marBottom w:val="0"/>
          <w:divBdr>
            <w:top w:val="none" w:sz="0" w:space="0" w:color="auto"/>
            <w:left w:val="none" w:sz="0" w:space="0" w:color="auto"/>
            <w:bottom w:val="none" w:sz="0" w:space="0" w:color="auto"/>
            <w:right w:val="none" w:sz="0" w:space="0" w:color="auto"/>
          </w:divBdr>
        </w:div>
        <w:div w:id="1361707310">
          <w:marLeft w:val="0"/>
          <w:marRight w:val="0"/>
          <w:marTop w:val="0"/>
          <w:marBottom w:val="0"/>
          <w:divBdr>
            <w:top w:val="none" w:sz="0" w:space="0" w:color="auto"/>
            <w:left w:val="none" w:sz="0" w:space="0" w:color="auto"/>
            <w:bottom w:val="none" w:sz="0" w:space="0" w:color="auto"/>
            <w:right w:val="none" w:sz="0" w:space="0" w:color="auto"/>
          </w:divBdr>
        </w:div>
        <w:div w:id="1438796430">
          <w:marLeft w:val="0"/>
          <w:marRight w:val="0"/>
          <w:marTop w:val="0"/>
          <w:marBottom w:val="0"/>
          <w:divBdr>
            <w:top w:val="none" w:sz="0" w:space="0" w:color="auto"/>
            <w:left w:val="none" w:sz="0" w:space="0" w:color="auto"/>
            <w:bottom w:val="none" w:sz="0" w:space="0" w:color="auto"/>
            <w:right w:val="none" w:sz="0" w:space="0" w:color="auto"/>
          </w:divBdr>
        </w:div>
      </w:divsChild>
    </w:div>
    <w:div w:id="757169343">
      <w:bodyDiv w:val="1"/>
      <w:marLeft w:val="0"/>
      <w:marRight w:val="0"/>
      <w:marTop w:val="0"/>
      <w:marBottom w:val="0"/>
      <w:divBdr>
        <w:top w:val="none" w:sz="0" w:space="0" w:color="auto"/>
        <w:left w:val="none" w:sz="0" w:space="0" w:color="auto"/>
        <w:bottom w:val="none" w:sz="0" w:space="0" w:color="auto"/>
        <w:right w:val="none" w:sz="0" w:space="0" w:color="auto"/>
      </w:divBdr>
    </w:div>
    <w:div w:id="758864171">
      <w:bodyDiv w:val="1"/>
      <w:marLeft w:val="0"/>
      <w:marRight w:val="0"/>
      <w:marTop w:val="0"/>
      <w:marBottom w:val="0"/>
      <w:divBdr>
        <w:top w:val="none" w:sz="0" w:space="0" w:color="auto"/>
        <w:left w:val="none" w:sz="0" w:space="0" w:color="auto"/>
        <w:bottom w:val="none" w:sz="0" w:space="0" w:color="auto"/>
        <w:right w:val="none" w:sz="0" w:space="0" w:color="auto"/>
      </w:divBdr>
    </w:div>
    <w:div w:id="762728703">
      <w:bodyDiv w:val="1"/>
      <w:marLeft w:val="0"/>
      <w:marRight w:val="0"/>
      <w:marTop w:val="0"/>
      <w:marBottom w:val="0"/>
      <w:divBdr>
        <w:top w:val="none" w:sz="0" w:space="0" w:color="auto"/>
        <w:left w:val="none" w:sz="0" w:space="0" w:color="auto"/>
        <w:bottom w:val="none" w:sz="0" w:space="0" w:color="auto"/>
        <w:right w:val="none" w:sz="0" w:space="0" w:color="auto"/>
      </w:divBdr>
    </w:div>
    <w:div w:id="764616474">
      <w:bodyDiv w:val="1"/>
      <w:marLeft w:val="0"/>
      <w:marRight w:val="0"/>
      <w:marTop w:val="0"/>
      <w:marBottom w:val="0"/>
      <w:divBdr>
        <w:top w:val="none" w:sz="0" w:space="0" w:color="auto"/>
        <w:left w:val="none" w:sz="0" w:space="0" w:color="auto"/>
        <w:bottom w:val="none" w:sz="0" w:space="0" w:color="auto"/>
        <w:right w:val="none" w:sz="0" w:space="0" w:color="auto"/>
      </w:divBdr>
    </w:div>
    <w:div w:id="764767336">
      <w:bodyDiv w:val="1"/>
      <w:marLeft w:val="0"/>
      <w:marRight w:val="0"/>
      <w:marTop w:val="0"/>
      <w:marBottom w:val="0"/>
      <w:divBdr>
        <w:top w:val="none" w:sz="0" w:space="0" w:color="auto"/>
        <w:left w:val="none" w:sz="0" w:space="0" w:color="auto"/>
        <w:bottom w:val="none" w:sz="0" w:space="0" w:color="auto"/>
        <w:right w:val="none" w:sz="0" w:space="0" w:color="auto"/>
      </w:divBdr>
    </w:div>
    <w:div w:id="766924928">
      <w:bodyDiv w:val="1"/>
      <w:marLeft w:val="0"/>
      <w:marRight w:val="0"/>
      <w:marTop w:val="0"/>
      <w:marBottom w:val="0"/>
      <w:divBdr>
        <w:top w:val="none" w:sz="0" w:space="0" w:color="auto"/>
        <w:left w:val="none" w:sz="0" w:space="0" w:color="auto"/>
        <w:bottom w:val="none" w:sz="0" w:space="0" w:color="auto"/>
        <w:right w:val="none" w:sz="0" w:space="0" w:color="auto"/>
      </w:divBdr>
    </w:div>
    <w:div w:id="773398410">
      <w:bodyDiv w:val="1"/>
      <w:marLeft w:val="0"/>
      <w:marRight w:val="0"/>
      <w:marTop w:val="0"/>
      <w:marBottom w:val="0"/>
      <w:divBdr>
        <w:top w:val="none" w:sz="0" w:space="0" w:color="auto"/>
        <w:left w:val="none" w:sz="0" w:space="0" w:color="auto"/>
        <w:bottom w:val="none" w:sz="0" w:space="0" w:color="auto"/>
        <w:right w:val="none" w:sz="0" w:space="0" w:color="auto"/>
      </w:divBdr>
    </w:div>
    <w:div w:id="774012360">
      <w:bodyDiv w:val="1"/>
      <w:marLeft w:val="0"/>
      <w:marRight w:val="0"/>
      <w:marTop w:val="0"/>
      <w:marBottom w:val="0"/>
      <w:divBdr>
        <w:top w:val="none" w:sz="0" w:space="0" w:color="auto"/>
        <w:left w:val="none" w:sz="0" w:space="0" w:color="auto"/>
        <w:bottom w:val="none" w:sz="0" w:space="0" w:color="auto"/>
        <w:right w:val="none" w:sz="0" w:space="0" w:color="auto"/>
      </w:divBdr>
    </w:div>
    <w:div w:id="774330817">
      <w:bodyDiv w:val="1"/>
      <w:marLeft w:val="0"/>
      <w:marRight w:val="0"/>
      <w:marTop w:val="0"/>
      <w:marBottom w:val="0"/>
      <w:divBdr>
        <w:top w:val="none" w:sz="0" w:space="0" w:color="auto"/>
        <w:left w:val="none" w:sz="0" w:space="0" w:color="auto"/>
        <w:bottom w:val="none" w:sz="0" w:space="0" w:color="auto"/>
        <w:right w:val="none" w:sz="0" w:space="0" w:color="auto"/>
      </w:divBdr>
    </w:div>
    <w:div w:id="774859561">
      <w:bodyDiv w:val="1"/>
      <w:marLeft w:val="0"/>
      <w:marRight w:val="0"/>
      <w:marTop w:val="0"/>
      <w:marBottom w:val="0"/>
      <w:divBdr>
        <w:top w:val="none" w:sz="0" w:space="0" w:color="auto"/>
        <w:left w:val="none" w:sz="0" w:space="0" w:color="auto"/>
        <w:bottom w:val="none" w:sz="0" w:space="0" w:color="auto"/>
        <w:right w:val="none" w:sz="0" w:space="0" w:color="auto"/>
      </w:divBdr>
    </w:div>
    <w:div w:id="774902744">
      <w:bodyDiv w:val="1"/>
      <w:marLeft w:val="0"/>
      <w:marRight w:val="0"/>
      <w:marTop w:val="0"/>
      <w:marBottom w:val="0"/>
      <w:divBdr>
        <w:top w:val="none" w:sz="0" w:space="0" w:color="auto"/>
        <w:left w:val="none" w:sz="0" w:space="0" w:color="auto"/>
        <w:bottom w:val="none" w:sz="0" w:space="0" w:color="auto"/>
        <w:right w:val="none" w:sz="0" w:space="0" w:color="auto"/>
      </w:divBdr>
    </w:div>
    <w:div w:id="774909560">
      <w:bodyDiv w:val="1"/>
      <w:marLeft w:val="0"/>
      <w:marRight w:val="0"/>
      <w:marTop w:val="0"/>
      <w:marBottom w:val="0"/>
      <w:divBdr>
        <w:top w:val="none" w:sz="0" w:space="0" w:color="auto"/>
        <w:left w:val="none" w:sz="0" w:space="0" w:color="auto"/>
        <w:bottom w:val="none" w:sz="0" w:space="0" w:color="auto"/>
        <w:right w:val="none" w:sz="0" w:space="0" w:color="auto"/>
      </w:divBdr>
    </w:div>
    <w:div w:id="775565016">
      <w:bodyDiv w:val="1"/>
      <w:marLeft w:val="0"/>
      <w:marRight w:val="0"/>
      <w:marTop w:val="0"/>
      <w:marBottom w:val="0"/>
      <w:divBdr>
        <w:top w:val="none" w:sz="0" w:space="0" w:color="auto"/>
        <w:left w:val="none" w:sz="0" w:space="0" w:color="auto"/>
        <w:bottom w:val="none" w:sz="0" w:space="0" w:color="auto"/>
        <w:right w:val="none" w:sz="0" w:space="0" w:color="auto"/>
      </w:divBdr>
    </w:div>
    <w:div w:id="775713686">
      <w:bodyDiv w:val="1"/>
      <w:marLeft w:val="0"/>
      <w:marRight w:val="0"/>
      <w:marTop w:val="0"/>
      <w:marBottom w:val="0"/>
      <w:divBdr>
        <w:top w:val="none" w:sz="0" w:space="0" w:color="auto"/>
        <w:left w:val="none" w:sz="0" w:space="0" w:color="auto"/>
        <w:bottom w:val="none" w:sz="0" w:space="0" w:color="auto"/>
        <w:right w:val="none" w:sz="0" w:space="0" w:color="auto"/>
      </w:divBdr>
    </w:div>
    <w:div w:id="775910917">
      <w:bodyDiv w:val="1"/>
      <w:marLeft w:val="0"/>
      <w:marRight w:val="0"/>
      <w:marTop w:val="0"/>
      <w:marBottom w:val="0"/>
      <w:divBdr>
        <w:top w:val="none" w:sz="0" w:space="0" w:color="auto"/>
        <w:left w:val="none" w:sz="0" w:space="0" w:color="auto"/>
        <w:bottom w:val="none" w:sz="0" w:space="0" w:color="auto"/>
        <w:right w:val="none" w:sz="0" w:space="0" w:color="auto"/>
      </w:divBdr>
    </w:div>
    <w:div w:id="777871967">
      <w:bodyDiv w:val="1"/>
      <w:marLeft w:val="0"/>
      <w:marRight w:val="0"/>
      <w:marTop w:val="0"/>
      <w:marBottom w:val="0"/>
      <w:divBdr>
        <w:top w:val="none" w:sz="0" w:space="0" w:color="auto"/>
        <w:left w:val="none" w:sz="0" w:space="0" w:color="auto"/>
        <w:bottom w:val="none" w:sz="0" w:space="0" w:color="auto"/>
        <w:right w:val="none" w:sz="0" w:space="0" w:color="auto"/>
      </w:divBdr>
    </w:div>
    <w:div w:id="778331823">
      <w:bodyDiv w:val="1"/>
      <w:marLeft w:val="0"/>
      <w:marRight w:val="0"/>
      <w:marTop w:val="0"/>
      <w:marBottom w:val="0"/>
      <w:divBdr>
        <w:top w:val="none" w:sz="0" w:space="0" w:color="auto"/>
        <w:left w:val="none" w:sz="0" w:space="0" w:color="auto"/>
        <w:bottom w:val="none" w:sz="0" w:space="0" w:color="auto"/>
        <w:right w:val="none" w:sz="0" w:space="0" w:color="auto"/>
      </w:divBdr>
    </w:div>
    <w:div w:id="779570302">
      <w:bodyDiv w:val="1"/>
      <w:marLeft w:val="0"/>
      <w:marRight w:val="0"/>
      <w:marTop w:val="0"/>
      <w:marBottom w:val="0"/>
      <w:divBdr>
        <w:top w:val="none" w:sz="0" w:space="0" w:color="auto"/>
        <w:left w:val="none" w:sz="0" w:space="0" w:color="auto"/>
        <w:bottom w:val="none" w:sz="0" w:space="0" w:color="auto"/>
        <w:right w:val="none" w:sz="0" w:space="0" w:color="auto"/>
      </w:divBdr>
    </w:div>
    <w:div w:id="780224199">
      <w:bodyDiv w:val="1"/>
      <w:marLeft w:val="0"/>
      <w:marRight w:val="0"/>
      <w:marTop w:val="0"/>
      <w:marBottom w:val="0"/>
      <w:divBdr>
        <w:top w:val="none" w:sz="0" w:space="0" w:color="auto"/>
        <w:left w:val="none" w:sz="0" w:space="0" w:color="auto"/>
        <w:bottom w:val="none" w:sz="0" w:space="0" w:color="auto"/>
        <w:right w:val="none" w:sz="0" w:space="0" w:color="auto"/>
      </w:divBdr>
    </w:div>
    <w:div w:id="781729530">
      <w:bodyDiv w:val="1"/>
      <w:marLeft w:val="0"/>
      <w:marRight w:val="0"/>
      <w:marTop w:val="0"/>
      <w:marBottom w:val="0"/>
      <w:divBdr>
        <w:top w:val="none" w:sz="0" w:space="0" w:color="auto"/>
        <w:left w:val="none" w:sz="0" w:space="0" w:color="auto"/>
        <w:bottom w:val="none" w:sz="0" w:space="0" w:color="auto"/>
        <w:right w:val="none" w:sz="0" w:space="0" w:color="auto"/>
      </w:divBdr>
    </w:div>
    <w:div w:id="784276345">
      <w:bodyDiv w:val="1"/>
      <w:marLeft w:val="0"/>
      <w:marRight w:val="0"/>
      <w:marTop w:val="0"/>
      <w:marBottom w:val="0"/>
      <w:divBdr>
        <w:top w:val="none" w:sz="0" w:space="0" w:color="auto"/>
        <w:left w:val="none" w:sz="0" w:space="0" w:color="auto"/>
        <w:bottom w:val="none" w:sz="0" w:space="0" w:color="auto"/>
        <w:right w:val="none" w:sz="0" w:space="0" w:color="auto"/>
      </w:divBdr>
    </w:div>
    <w:div w:id="784734651">
      <w:bodyDiv w:val="1"/>
      <w:marLeft w:val="0"/>
      <w:marRight w:val="0"/>
      <w:marTop w:val="0"/>
      <w:marBottom w:val="0"/>
      <w:divBdr>
        <w:top w:val="none" w:sz="0" w:space="0" w:color="auto"/>
        <w:left w:val="none" w:sz="0" w:space="0" w:color="auto"/>
        <w:bottom w:val="none" w:sz="0" w:space="0" w:color="auto"/>
        <w:right w:val="none" w:sz="0" w:space="0" w:color="auto"/>
      </w:divBdr>
    </w:div>
    <w:div w:id="785196315">
      <w:bodyDiv w:val="1"/>
      <w:marLeft w:val="0"/>
      <w:marRight w:val="0"/>
      <w:marTop w:val="0"/>
      <w:marBottom w:val="0"/>
      <w:divBdr>
        <w:top w:val="none" w:sz="0" w:space="0" w:color="auto"/>
        <w:left w:val="none" w:sz="0" w:space="0" w:color="auto"/>
        <w:bottom w:val="none" w:sz="0" w:space="0" w:color="auto"/>
        <w:right w:val="none" w:sz="0" w:space="0" w:color="auto"/>
      </w:divBdr>
    </w:div>
    <w:div w:id="786002608">
      <w:bodyDiv w:val="1"/>
      <w:marLeft w:val="0"/>
      <w:marRight w:val="0"/>
      <w:marTop w:val="0"/>
      <w:marBottom w:val="0"/>
      <w:divBdr>
        <w:top w:val="none" w:sz="0" w:space="0" w:color="auto"/>
        <w:left w:val="none" w:sz="0" w:space="0" w:color="auto"/>
        <w:bottom w:val="none" w:sz="0" w:space="0" w:color="auto"/>
        <w:right w:val="none" w:sz="0" w:space="0" w:color="auto"/>
      </w:divBdr>
    </w:div>
    <w:div w:id="787049957">
      <w:bodyDiv w:val="1"/>
      <w:marLeft w:val="0"/>
      <w:marRight w:val="0"/>
      <w:marTop w:val="0"/>
      <w:marBottom w:val="0"/>
      <w:divBdr>
        <w:top w:val="none" w:sz="0" w:space="0" w:color="auto"/>
        <w:left w:val="none" w:sz="0" w:space="0" w:color="auto"/>
        <w:bottom w:val="none" w:sz="0" w:space="0" w:color="auto"/>
        <w:right w:val="none" w:sz="0" w:space="0" w:color="auto"/>
      </w:divBdr>
    </w:div>
    <w:div w:id="787700687">
      <w:bodyDiv w:val="1"/>
      <w:marLeft w:val="0"/>
      <w:marRight w:val="0"/>
      <w:marTop w:val="0"/>
      <w:marBottom w:val="0"/>
      <w:divBdr>
        <w:top w:val="none" w:sz="0" w:space="0" w:color="auto"/>
        <w:left w:val="none" w:sz="0" w:space="0" w:color="auto"/>
        <w:bottom w:val="none" w:sz="0" w:space="0" w:color="auto"/>
        <w:right w:val="none" w:sz="0" w:space="0" w:color="auto"/>
      </w:divBdr>
    </w:div>
    <w:div w:id="790519029">
      <w:bodyDiv w:val="1"/>
      <w:marLeft w:val="0"/>
      <w:marRight w:val="0"/>
      <w:marTop w:val="0"/>
      <w:marBottom w:val="0"/>
      <w:divBdr>
        <w:top w:val="none" w:sz="0" w:space="0" w:color="auto"/>
        <w:left w:val="none" w:sz="0" w:space="0" w:color="auto"/>
        <w:bottom w:val="none" w:sz="0" w:space="0" w:color="auto"/>
        <w:right w:val="none" w:sz="0" w:space="0" w:color="auto"/>
      </w:divBdr>
    </w:div>
    <w:div w:id="790783428">
      <w:bodyDiv w:val="1"/>
      <w:marLeft w:val="0"/>
      <w:marRight w:val="0"/>
      <w:marTop w:val="0"/>
      <w:marBottom w:val="0"/>
      <w:divBdr>
        <w:top w:val="none" w:sz="0" w:space="0" w:color="auto"/>
        <w:left w:val="none" w:sz="0" w:space="0" w:color="auto"/>
        <w:bottom w:val="none" w:sz="0" w:space="0" w:color="auto"/>
        <w:right w:val="none" w:sz="0" w:space="0" w:color="auto"/>
      </w:divBdr>
    </w:div>
    <w:div w:id="792098240">
      <w:bodyDiv w:val="1"/>
      <w:marLeft w:val="0"/>
      <w:marRight w:val="0"/>
      <w:marTop w:val="0"/>
      <w:marBottom w:val="0"/>
      <w:divBdr>
        <w:top w:val="none" w:sz="0" w:space="0" w:color="auto"/>
        <w:left w:val="none" w:sz="0" w:space="0" w:color="auto"/>
        <w:bottom w:val="none" w:sz="0" w:space="0" w:color="auto"/>
        <w:right w:val="none" w:sz="0" w:space="0" w:color="auto"/>
      </w:divBdr>
    </w:div>
    <w:div w:id="792556067">
      <w:bodyDiv w:val="1"/>
      <w:marLeft w:val="0"/>
      <w:marRight w:val="0"/>
      <w:marTop w:val="0"/>
      <w:marBottom w:val="0"/>
      <w:divBdr>
        <w:top w:val="none" w:sz="0" w:space="0" w:color="auto"/>
        <w:left w:val="none" w:sz="0" w:space="0" w:color="auto"/>
        <w:bottom w:val="none" w:sz="0" w:space="0" w:color="auto"/>
        <w:right w:val="none" w:sz="0" w:space="0" w:color="auto"/>
      </w:divBdr>
    </w:div>
    <w:div w:id="797257868">
      <w:bodyDiv w:val="1"/>
      <w:marLeft w:val="0"/>
      <w:marRight w:val="0"/>
      <w:marTop w:val="0"/>
      <w:marBottom w:val="0"/>
      <w:divBdr>
        <w:top w:val="none" w:sz="0" w:space="0" w:color="auto"/>
        <w:left w:val="none" w:sz="0" w:space="0" w:color="auto"/>
        <w:bottom w:val="none" w:sz="0" w:space="0" w:color="auto"/>
        <w:right w:val="none" w:sz="0" w:space="0" w:color="auto"/>
      </w:divBdr>
    </w:div>
    <w:div w:id="804936045">
      <w:bodyDiv w:val="1"/>
      <w:marLeft w:val="0"/>
      <w:marRight w:val="0"/>
      <w:marTop w:val="0"/>
      <w:marBottom w:val="0"/>
      <w:divBdr>
        <w:top w:val="none" w:sz="0" w:space="0" w:color="auto"/>
        <w:left w:val="none" w:sz="0" w:space="0" w:color="auto"/>
        <w:bottom w:val="none" w:sz="0" w:space="0" w:color="auto"/>
        <w:right w:val="none" w:sz="0" w:space="0" w:color="auto"/>
      </w:divBdr>
    </w:div>
    <w:div w:id="809202149">
      <w:bodyDiv w:val="1"/>
      <w:marLeft w:val="0"/>
      <w:marRight w:val="0"/>
      <w:marTop w:val="0"/>
      <w:marBottom w:val="0"/>
      <w:divBdr>
        <w:top w:val="none" w:sz="0" w:space="0" w:color="auto"/>
        <w:left w:val="none" w:sz="0" w:space="0" w:color="auto"/>
        <w:bottom w:val="none" w:sz="0" w:space="0" w:color="auto"/>
        <w:right w:val="none" w:sz="0" w:space="0" w:color="auto"/>
      </w:divBdr>
    </w:div>
    <w:div w:id="810052485">
      <w:bodyDiv w:val="1"/>
      <w:marLeft w:val="0"/>
      <w:marRight w:val="0"/>
      <w:marTop w:val="0"/>
      <w:marBottom w:val="0"/>
      <w:divBdr>
        <w:top w:val="none" w:sz="0" w:space="0" w:color="auto"/>
        <w:left w:val="none" w:sz="0" w:space="0" w:color="auto"/>
        <w:bottom w:val="none" w:sz="0" w:space="0" w:color="auto"/>
        <w:right w:val="none" w:sz="0" w:space="0" w:color="auto"/>
      </w:divBdr>
    </w:div>
    <w:div w:id="811096539">
      <w:bodyDiv w:val="1"/>
      <w:marLeft w:val="0"/>
      <w:marRight w:val="0"/>
      <w:marTop w:val="0"/>
      <w:marBottom w:val="0"/>
      <w:divBdr>
        <w:top w:val="none" w:sz="0" w:space="0" w:color="auto"/>
        <w:left w:val="none" w:sz="0" w:space="0" w:color="auto"/>
        <w:bottom w:val="none" w:sz="0" w:space="0" w:color="auto"/>
        <w:right w:val="none" w:sz="0" w:space="0" w:color="auto"/>
      </w:divBdr>
    </w:div>
    <w:div w:id="812409101">
      <w:bodyDiv w:val="1"/>
      <w:marLeft w:val="0"/>
      <w:marRight w:val="0"/>
      <w:marTop w:val="0"/>
      <w:marBottom w:val="0"/>
      <w:divBdr>
        <w:top w:val="none" w:sz="0" w:space="0" w:color="auto"/>
        <w:left w:val="none" w:sz="0" w:space="0" w:color="auto"/>
        <w:bottom w:val="none" w:sz="0" w:space="0" w:color="auto"/>
        <w:right w:val="none" w:sz="0" w:space="0" w:color="auto"/>
      </w:divBdr>
    </w:div>
    <w:div w:id="821190351">
      <w:bodyDiv w:val="1"/>
      <w:marLeft w:val="0"/>
      <w:marRight w:val="0"/>
      <w:marTop w:val="0"/>
      <w:marBottom w:val="0"/>
      <w:divBdr>
        <w:top w:val="none" w:sz="0" w:space="0" w:color="auto"/>
        <w:left w:val="none" w:sz="0" w:space="0" w:color="auto"/>
        <w:bottom w:val="none" w:sz="0" w:space="0" w:color="auto"/>
        <w:right w:val="none" w:sz="0" w:space="0" w:color="auto"/>
      </w:divBdr>
    </w:div>
    <w:div w:id="821890002">
      <w:bodyDiv w:val="1"/>
      <w:marLeft w:val="0"/>
      <w:marRight w:val="0"/>
      <w:marTop w:val="0"/>
      <w:marBottom w:val="0"/>
      <w:divBdr>
        <w:top w:val="none" w:sz="0" w:space="0" w:color="auto"/>
        <w:left w:val="none" w:sz="0" w:space="0" w:color="auto"/>
        <w:bottom w:val="none" w:sz="0" w:space="0" w:color="auto"/>
        <w:right w:val="none" w:sz="0" w:space="0" w:color="auto"/>
      </w:divBdr>
    </w:div>
    <w:div w:id="822311442">
      <w:bodyDiv w:val="1"/>
      <w:marLeft w:val="0"/>
      <w:marRight w:val="0"/>
      <w:marTop w:val="0"/>
      <w:marBottom w:val="0"/>
      <w:divBdr>
        <w:top w:val="none" w:sz="0" w:space="0" w:color="auto"/>
        <w:left w:val="none" w:sz="0" w:space="0" w:color="auto"/>
        <w:bottom w:val="none" w:sz="0" w:space="0" w:color="auto"/>
        <w:right w:val="none" w:sz="0" w:space="0" w:color="auto"/>
      </w:divBdr>
    </w:div>
    <w:div w:id="822965645">
      <w:bodyDiv w:val="1"/>
      <w:marLeft w:val="0"/>
      <w:marRight w:val="0"/>
      <w:marTop w:val="0"/>
      <w:marBottom w:val="0"/>
      <w:divBdr>
        <w:top w:val="none" w:sz="0" w:space="0" w:color="auto"/>
        <w:left w:val="none" w:sz="0" w:space="0" w:color="auto"/>
        <w:bottom w:val="none" w:sz="0" w:space="0" w:color="auto"/>
        <w:right w:val="none" w:sz="0" w:space="0" w:color="auto"/>
      </w:divBdr>
    </w:div>
    <w:div w:id="823282195">
      <w:bodyDiv w:val="1"/>
      <w:marLeft w:val="0"/>
      <w:marRight w:val="0"/>
      <w:marTop w:val="0"/>
      <w:marBottom w:val="0"/>
      <w:divBdr>
        <w:top w:val="none" w:sz="0" w:space="0" w:color="auto"/>
        <w:left w:val="none" w:sz="0" w:space="0" w:color="auto"/>
        <w:bottom w:val="none" w:sz="0" w:space="0" w:color="auto"/>
        <w:right w:val="none" w:sz="0" w:space="0" w:color="auto"/>
      </w:divBdr>
    </w:div>
    <w:div w:id="826358378">
      <w:bodyDiv w:val="1"/>
      <w:marLeft w:val="0"/>
      <w:marRight w:val="0"/>
      <w:marTop w:val="0"/>
      <w:marBottom w:val="0"/>
      <w:divBdr>
        <w:top w:val="none" w:sz="0" w:space="0" w:color="auto"/>
        <w:left w:val="none" w:sz="0" w:space="0" w:color="auto"/>
        <w:bottom w:val="none" w:sz="0" w:space="0" w:color="auto"/>
        <w:right w:val="none" w:sz="0" w:space="0" w:color="auto"/>
      </w:divBdr>
    </w:div>
    <w:div w:id="826824870">
      <w:bodyDiv w:val="1"/>
      <w:marLeft w:val="0"/>
      <w:marRight w:val="0"/>
      <w:marTop w:val="0"/>
      <w:marBottom w:val="0"/>
      <w:divBdr>
        <w:top w:val="none" w:sz="0" w:space="0" w:color="auto"/>
        <w:left w:val="none" w:sz="0" w:space="0" w:color="auto"/>
        <w:bottom w:val="none" w:sz="0" w:space="0" w:color="auto"/>
        <w:right w:val="none" w:sz="0" w:space="0" w:color="auto"/>
      </w:divBdr>
    </w:div>
    <w:div w:id="827400094">
      <w:bodyDiv w:val="1"/>
      <w:marLeft w:val="0"/>
      <w:marRight w:val="0"/>
      <w:marTop w:val="0"/>
      <w:marBottom w:val="0"/>
      <w:divBdr>
        <w:top w:val="none" w:sz="0" w:space="0" w:color="auto"/>
        <w:left w:val="none" w:sz="0" w:space="0" w:color="auto"/>
        <w:bottom w:val="none" w:sz="0" w:space="0" w:color="auto"/>
        <w:right w:val="none" w:sz="0" w:space="0" w:color="auto"/>
      </w:divBdr>
    </w:div>
    <w:div w:id="827668891">
      <w:bodyDiv w:val="1"/>
      <w:marLeft w:val="0"/>
      <w:marRight w:val="0"/>
      <w:marTop w:val="0"/>
      <w:marBottom w:val="0"/>
      <w:divBdr>
        <w:top w:val="none" w:sz="0" w:space="0" w:color="auto"/>
        <w:left w:val="none" w:sz="0" w:space="0" w:color="auto"/>
        <w:bottom w:val="none" w:sz="0" w:space="0" w:color="auto"/>
        <w:right w:val="none" w:sz="0" w:space="0" w:color="auto"/>
      </w:divBdr>
    </w:div>
    <w:div w:id="827669123">
      <w:bodyDiv w:val="1"/>
      <w:marLeft w:val="0"/>
      <w:marRight w:val="0"/>
      <w:marTop w:val="0"/>
      <w:marBottom w:val="0"/>
      <w:divBdr>
        <w:top w:val="none" w:sz="0" w:space="0" w:color="auto"/>
        <w:left w:val="none" w:sz="0" w:space="0" w:color="auto"/>
        <w:bottom w:val="none" w:sz="0" w:space="0" w:color="auto"/>
        <w:right w:val="none" w:sz="0" w:space="0" w:color="auto"/>
      </w:divBdr>
    </w:div>
    <w:div w:id="828864934">
      <w:bodyDiv w:val="1"/>
      <w:marLeft w:val="0"/>
      <w:marRight w:val="0"/>
      <w:marTop w:val="0"/>
      <w:marBottom w:val="0"/>
      <w:divBdr>
        <w:top w:val="none" w:sz="0" w:space="0" w:color="auto"/>
        <w:left w:val="none" w:sz="0" w:space="0" w:color="auto"/>
        <w:bottom w:val="none" w:sz="0" w:space="0" w:color="auto"/>
        <w:right w:val="none" w:sz="0" w:space="0" w:color="auto"/>
      </w:divBdr>
    </w:div>
    <w:div w:id="835537017">
      <w:bodyDiv w:val="1"/>
      <w:marLeft w:val="0"/>
      <w:marRight w:val="0"/>
      <w:marTop w:val="0"/>
      <w:marBottom w:val="0"/>
      <w:divBdr>
        <w:top w:val="none" w:sz="0" w:space="0" w:color="auto"/>
        <w:left w:val="none" w:sz="0" w:space="0" w:color="auto"/>
        <w:bottom w:val="none" w:sz="0" w:space="0" w:color="auto"/>
        <w:right w:val="none" w:sz="0" w:space="0" w:color="auto"/>
      </w:divBdr>
    </w:div>
    <w:div w:id="836336916">
      <w:bodyDiv w:val="1"/>
      <w:marLeft w:val="0"/>
      <w:marRight w:val="0"/>
      <w:marTop w:val="0"/>
      <w:marBottom w:val="0"/>
      <w:divBdr>
        <w:top w:val="none" w:sz="0" w:space="0" w:color="auto"/>
        <w:left w:val="none" w:sz="0" w:space="0" w:color="auto"/>
        <w:bottom w:val="none" w:sz="0" w:space="0" w:color="auto"/>
        <w:right w:val="none" w:sz="0" w:space="0" w:color="auto"/>
      </w:divBdr>
    </w:div>
    <w:div w:id="840005708">
      <w:bodyDiv w:val="1"/>
      <w:marLeft w:val="0"/>
      <w:marRight w:val="0"/>
      <w:marTop w:val="0"/>
      <w:marBottom w:val="0"/>
      <w:divBdr>
        <w:top w:val="none" w:sz="0" w:space="0" w:color="auto"/>
        <w:left w:val="none" w:sz="0" w:space="0" w:color="auto"/>
        <w:bottom w:val="none" w:sz="0" w:space="0" w:color="auto"/>
        <w:right w:val="none" w:sz="0" w:space="0" w:color="auto"/>
      </w:divBdr>
    </w:div>
    <w:div w:id="840851600">
      <w:bodyDiv w:val="1"/>
      <w:marLeft w:val="0"/>
      <w:marRight w:val="0"/>
      <w:marTop w:val="0"/>
      <w:marBottom w:val="0"/>
      <w:divBdr>
        <w:top w:val="none" w:sz="0" w:space="0" w:color="auto"/>
        <w:left w:val="none" w:sz="0" w:space="0" w:color="auto"/>
        <w:bottom w:val="none" w:sz="0" w:space="0" w:color="auto"/>
        <w:right w:val="none" w:sz="0" w:space="0" w:color="auto"/>
      </w:divBdr>
    </w:div>
    <w:div w:id="845827518">
      <w:bodyDiv w:val="1"/>
      <w:marLeft w:val="0"/>
      <w:marRight w:val="0"/>
      <w:marTop w:val="0"/>
      <w:marBottom w:val="0"/>
      <w:divBdr>
        <w:top w:val="none" w:sz="0" w:space="0" w:color="auto"/>
        <w:left w:val="none" w:sz="0" w:space="0" w:color="auto"/>
        <w:bottom w:val="none" w:sz="0" w:space="0" w:color="auto"/>
        <w:right w:val="none" w:sz="0" w:space="0" w:color="auto"/>
      </w:divBdr>
    </w:div>
    <w:div w:id="848255337">
      <w:bodyDiv w:val="1"/>
      <w:marLeft w:val="0"/>
      <w:marRight w:val="0"/>
      <w:marTop w:val="0"/>
      <w:marBottom w:val="0"/>
      <w:divBdr>
        <w:top w:val="none" w:sz="0" w:space="0" w:color="auto"/>
        <w:left w:val="none" w:sz="0" w:space="0" w:color="auto"/>
        <w:bottom w:val="none" w:sz="0" w:space="0" w:color="auto"/>
        <w:right w:val="none" w:sz="0" w:space="0" w:color="auto"/>
      </w:divBdr>
    </w:div>
    <w:div w:id="851723986">
      <w:bodyDiv w:val="1"/>
      <w:marLeft w:val="0"/>
      <w:marRight w:val="0"/>
      <w:marTop w:val="0"/>
      <w:marBottom w:val="0"/>
      <w:divBdr>
        <w:top w:val="none" w:sz="0" w:space="0" w:color="auto"/>
        <w:left w:val="none" w:sz="0" w:space="0" w:color="auto"/>
        <w:bottom w:val="none" w:sz="0" w:space="0" w:color="auto"/>
        <w:right w:val="none" w:sz="0" w:space="0" w:color="auto"/>
      </w:divBdr>
    </w:div>
    <w:div w:id="854612456">
      <w:bodyDiv w:val="1"/>
      <w:marLeft w:val="0"/>
      <w:marRight w:val="0"/>
      <w:marTop w:val="0"/>
      <w:marBottom w:val="0"/>
      <w:divBdr>
        <w:top w:val="none" w:sz="0" w:space="0" w:color="auto"/>
        <w:left w:val="none" w:sz="0" w:space="0" w:color="auto"/>
        <w:bottom w:val="none" w:sz="0" w:space="0" w:color="auto"/>
        <w:right w:val="none" w:sz="0" w:space="0" w:color="auto"/>
      </w:divBdr>
    </w:div>
    <w:div w:id="854881798">
      <w:bodyDiv w:val="1"/>
      <w:marLeft w:val="0"/>
      <w:marRight w:val="0"/>
      <w:marTop w:val="0"/>
      <w:marBottom w:val="0"/>
      <w:divBdr>
        <w:top w:val="none" w:sz="0" w:space="0" w:color="auto"/>
        <w:left w:val="none" w:sz="0" w:space="0" w:color="auto"/>
        <w:bottom w:val="none" w:sz="0" w:space="0" w:color="auto"/>
        <w:right w:val="none" w:sz="0" w:space="0" w:color="auto"/>
      </w:divBdr>
    </w:div>
    <w:div w:id="855463935">
      <w:bodyDiv w:val="1"/>
      <w:marLeft w:val="0"/>
      <w:marRight w:val="0"/>
      <w:marTop w:val="0"/>
      <w:marBottom w:val="0"/>
      <w:divBdr>
        <w:top w:val="none" w:sz="0" w:space="0" w:color="auto"/>
        <w:left w:val="none" w:sz="0" w:space="0" w:color="auto"/>
        <w:bottom w:val="none" w:sz="0" w:space="0" w:color="auto"/>
        <w:right w:val="none" w:sz="0" w:space="0" w:color="auto"/>
      </w:divBdr>
    </w:div>
    <w:div w:id="865944443">
      <w:bodyDiv w:val="1"/>
      <w:marLeft w:val="0"/>
      <w:marRight w:val="0"/>
      <w:marTop w:val="0"/>
      <w:marBottom w:val="0"/>
      <w:divBdr>
        <w:top w:val="none" w:sz="0" w:space="0" w:color="auto"/>
        <w:left w:val="none" w:sz="0" w:space="0" w:color="auto"/>
        <w:bottom w:val="none" w:sz="0" w:space="0" w:color="auto"/>
        <w:right w:val="none" w:sz="0" w:space="0" w:color="auto"/>
      </w:divBdr>
    </w:div>
    <w:div w:id="865992724">
      <w:bodyDiv w:val="1"/>
      <w:marLeft w:val="0"/>
      <w:marRight w:val="0"/>
      <w:marTop w:val="0"/>
      <w:marBottom w:val="0"/>
      <w:divBdr>
        <w:top w:val="none" w:sz="0" w:space="0" w:color="auto"/>
        <w:left w:val="none" w:sz="0" w:space="0" w:color="auto"/>
        <w:bottom w:val="none" w:sz="0" w:space="0" w:color="auto"/>
        <w:right w:val="none" w:sz="0" w:space="0" w:color="auto"/>
      </w:divBdr>
    </w:div>
    <w:div w:id="866482304">
      <w:bodyDiv w:val="1"/>
      <w:marLeft w:val="0"/>
      <w:marRight w:val="0"/>
      <w:marTop w:val="0"/>
      <w:marBottom w:val="0"/>
      <w:divBdr>
        <w:top w:val="none" w:sz="0" w:space="0" w:color="auto"/>
        <w:left w:val="none" w:sz="0" w:space="0" w:color="auto"/>
        <w:bottom w:val="none" w:sz="0" w:space="0" w:color="auto"/>
        <w:right w:val="none" w:sz="0" w:space="0" w:color="auto"/>
      </w:divBdr>
    </w:div>
    <w:div w:id="867910729">
      <w:bodyDiv w:val="1"/>
      <w:marLeft w:val="0"/>
      <w:marRight w:val="0"/>
      <w:marTop w:val="0"/>
      <w:marBottom w:val="0"/>
      <w:divBdr>
        <w:top w:val="none" w:sz="0" w:space="0" w:color="auto"/>
        <w:left w:val="none" w:sz="0" w:space="0" w:color="auto"/>
        <w:bottom w:val="none" w:sz="0" w:space="0" w:color="auto"/>
        <w:right w:val="none" w:sz="0" w:space="0" w:color="auto"/>
      </w:divBdr>
    </w:div>
    <w:div w:id="868108161">
      <w:bodyDiv w:val="1"/>
      <w:marLeft w:val="0"/>
      <w:marRight w:val="0"/>
      <w:marTop w:val="0"/>
      <w:marBottom w:val="0"/>
      <w:divBdr>
        <w:top w:val="none" w:sz="0" w:space="0" w:color="auto"/>
        <w:left w:val="none" w:sz="0" w:space="0" w:color="auto"/>
        <w:bottom w:val="none" w:sz="0" w:space="0" w:color="auto"/>
        <w:right w:val="none" w:sz="0" w:space="0" w:color="auto"/>
      </w:divBdr>
    </w:div>
    <w:div w:id="869075490">
      <w:bodyDiv w:val="1"/>
      <w:marLeft w:val="0"/>
      <w:marRight w:val="0"/>
      <w:marTop w:val="0"/>
      <w:marBottom w:val="0"/>
      <w:divBdr>
        <w:top w:val="none" w:sz="0" w:space="0" w:color="auto"/>
        <w:left w:val="none" w:sz="0" w:space="0" w:color="auto"/>
        <w:bottom w:val="none" w:sz="0" w:space="0" w:color="auto"/>
        <w:right w:val="none" w:sz="0" w:space="0" w:color="auto"/>
      </w:divBdr>
    </w:div>
    <w:div w:id="875115444">
      <w:bodyDiv w:val="1"/>
      <w:marLeft w:val="0"/>
      <w:marRight w:val="0"/>
      <w:marTop w:val="0"/>
      <w:marBottom w:val="0"/>
      <w:divBdr>
        <w:top w:val="none" w:sz="0" w:space="0" w:color="auto"/>
        <w:left w:val="none" w:sz="0" w:space="0" w:color="auto"/>
        <w:bottom w:val="none" w:sz="0" w:space="0" w:color="auto"/>
        <w:right w:val="none" w:sz="0" w:space="0" w:color="auto"/>
      </w:divBdr>
    </w:div>
    <w:div w:id="875847525">
      <w:bodyDiv w:val="1"/>
      <w:marLeft w:val="0"/>
      <w:marRight w:val="0"/>
      <w:marTop w:val="0"/>
      <w:marBottom w:val="0"/>
      <w:divBdr>
        <w:top w:val="none" w:sz="0" w:space="0" w:color="auto"/>
        <w:left w:val="none" w:sz="0" w:space="0" w:color="auto"/>
        <w:bottom w:val="none" w:sz="0" w:space="0" w:color="auto"/>
        <w:right w:val="none" w:sz="0" w:space="0" w:color="auto"/>
      </w:divBdr>
    </w:div>
    <w:div w:id="876041537">
      <w:bodyDiv w:val="1"/>
      <w:marLeft w:val="0"/>
      <w:marRight w:val="0"/>
      <w:marTop w:val="0"/>
      <w:marBottom w:val="0"/>
      <w:divBdr>
        <w:top w:val="none" w:sz="0" w:space="0" w:color="auto"/>
        <w:left w:val="none" w:sz="0" w:space="0" w:color="auto"/>
        <w:bottom w:val="none" w:sz="0" w:space="0" w:color="auto"/>
        <w:right w:val="none" w:sz="0" w:space="0" w:color="auto"/>
      </w:divBdr>
    </w:div>
    <w:div w:id="876359754">
      <w:bodyDiv w:val="1"/>
      <w:marLeft w:val="0"/>
      <w:marRight w:val="0"/>
      <w:marTop w:val="0"/>
      <w:marBottom w:val="0"/>
      <w:divBdr>
        <w:top w:val="none" w:sz="0" w:space="0" w:color="auto"/>
        <w:left w:val="none" w:sz="0" w:space="0" w:color="auto"/>
        <w:bottom w:val="none" w:sz="0" w:space="0" w:color="auto"/>
        <w:right w:val="none" w:sz="0" w:space="0" w:color="auto"/>
      </w:divBdr>
    </w:div>
    <w:div w:id="877087172">
      <w:bodyDiv w:val="1"/>
      <w:marLeft w:val="0"/>
      <w:marRight w:val="0"/>
      <w:marTop w:val="0"/>
      <w:marBottom w:val="0"/>
      <w:divBdr>
        <w:top w:val="none" w:sz="0" w:space="0" w:color="auto"/>
        <w:left w:val="none" w:sz="0" w:space="0" w:color="auto"/>
        <w:bottom w:val="none" w:sz="0" w:space="0" w:color="auto"/>
        <w:right w:val="none" w:sz="0" w:space="0" w:color="auto"/>
      </w:divBdr>
    </w:div>
    <w:div w:id="877468553">
      <w:bodyDiv w:val="1"/>
      <w:marLeft w:val="0"/>
      <w:marRight w:val="0"/>
      <w:marTop w:val="0"/>
      <w:marBottom w:val="0"/>
      <w:divBdr>
        <w:top w:val="none" w:sz="0" w:space="0" w:color="auto"/>
        <w:left w:val="none" w:sz="0" w:space="0" w:color="auto"/>
        <w:bottom w:val="none" w:sz="0" w:space="0" w:color="auto"/>
        <w:right w:val="none" w:sz="0" w:space="0" w:color="auto"/>
      </w:divBdr>
    </w:div>
    <w:div w:id="878778488">
      <w:bodyDiv w:val="1"/>
      <w:marLeft w:val="0"/>
      <w:marRight w:val="0"/>
      <w:marTop w:val="0"/>
      <w:marBottom w:val="0"/>
      <w:divBdr>
        <w:top w:val="none" w:sz="0" w:space="0" w:color="auto"/>
        <w:left w:val="none" w:sz="0" w:space="0" w:color="auto"/>
        <w:bottom w:val="none" w:sz="0" w:space="0" w:color="auto"/>
        <w:right w:val="none" w:sz="0" w:space="0" w:color="auto"/>
      </w:divBdr>
    </w:div>
    <w:div w:id="879318182">
      <w:bodyDiv w:val="1"/>
      <w:marLeft w:val="0"/>
      <w:marRight w:val="0"/>
      <w:marTop w:val="0"/>
      <w:marBottom w:val="0"/>
      <w:divBdr>
        <w:top w:val="none" w:sz="0" w:space="0" w:color="auto"/>
        <w:left w:val="none" w:sz="0" w:space="0" w:color="auto"/>
        <w:bottom w:val="none" w:sz="0" w:space="0" w:color="auto"/>
        <w:right w:val="none" w:sz="0" w:space="0" w:color="auto"/>
      </w:divBdr>
    </w:div>
    <w:div w:id="883448115">
      <w:bodyDiv w:val="1"/>
      <w:marLeft w:val="0"/>
      <w:marRight w:val="0"/>
      <w:marTop w:val="0"/>
      <w:marBottom w:val="0"/>
      <w:divBdr>
        <w:top w:val="none" w:sz="0" w:space="0" w:color="auto"/>
        <w:left w:val="none" w:sz="0" w:space="0" w:color="auto"/>
        <w:bottom w:val="none" w:sz="0" w:space="0" w:color="auto"/>
        <w:right w:val="none" w:sz="0" w:space="0" w:color="auto"/>
      </w:divBdr>
    </w:div>
    <w:div w:id="884368995">
      <w:bodyDiv w:val="1"/>
      <w:marLeft w:val="0"/>
      <w:marRight w:val="0"/>
      <w:marTop w:val="0"/>
      <w:marBottom w:val="0"/>
      <w:divBdr>
        <w:top w:val="none" w:sz="0" w:space="0" w:color="auto"/>
        <w:left w:val="none" w:sz="0" w:space="0" w:color="auto"/>
        <w:bottom w:val="none" w:sz="0" w:space="0" w:color="auto"/>
        <w:right w:val="none" w:sz="0" w:space="0" w:color="auto"/>
      </w:divBdr>
    </w:div>
    <w:div w:id="885684437">
      <w:bodyDiv w:val="1"/>
      <w:marLeft w:val="0"/>
      <w:marRight w:val="0"/>
      <w:marTop w:val="0"/>
      <w:marBottom w:val="0"/>
      <w:divBdr>
        <w:top w:val="none" w:sz="0" w:space="0" w:color="auto"/>
        <w:left w:val="none" w:sz="0" w:space="0" w:color="auto"/>
        <w:bottom w:val="none" w:sz="0" w:space="0" w:color="auto"/>
        <w:right w:val="none" w:sz="0" w:space="0" w:color="auto"/>
      </w:divBdr>
    </w:div>
    <w:div w:id="887960159">
      <w:bodyDiv w:val="1"/>
      <w:marLeft w:val="0"/>
      <w:marRight w:val="0"/>
      <w:marTop w:val="0"/>
      <w:marBottom w:val="0"/>
      <w:divBdr>
        <w:top w:val="none" w:sz="0" w:space="0" w:color="auto"/>
        <w:left w:val="none" w:sz="0" w:space="0" w:color="auto"/>
        <w:bottom w:val="none" w:sz="0" w:space="0" w:color="auto"/>
        <w:right w:val="none" w:sz="0" w:space="0" w:color="auto"/>
      </w:divBdr>
    </w:div>
    <w:div w:id="888033615">
      <w:bodyDiv w:val="1"/>
      <w:marLeft w:val="0"/>
      <w:marRight w:val="0"/>
      <w:marTop w:val="0"/>
      <w:marBottom w:val="0"/>
      <w:divBdr>
        <w:top w:val="none" w:sz="0" w:space="0" w:color="auto"/>
        <w:left w:val="none" w:sz="0" w:space="0" w:color="auto"/>
        <w:bottom w:val="none" w:sz="0" w:space="0" w:color="auto"/>
        <w:right w:val="none" w:sz="0" w:space="0" w:color="auto"/>
      </w:divBdr>
    </w:div>
    <w:div w:id="890265976">
      <w:bodyDiv w:val="1"/>
      <w:marLeft w:val="0"/>
      <w:marRight w:val="0"/>
      <w:marTop w:val="0"/>
      <w:marBottom w:val="0"/>
      <w:divBdr>
        <w:top w:val="none" w:sz="0" w:space="0" w:color="auto"/>
        <w:left w:val="none" w:sz="0" w:space="0" w:color="auto"/>
        <w:bottom w:val="none" w:sz="0" w:space="0" w:color="auto"/>
        <w:right w:val="none" w:sz="0" w:space="0" w:color="auto"/>
      </w:divBdr>
    </w:div>
    <w:div w:id="891116148">
      <w:bodyDiv w:val="1"/>
      <w:marLeft w:val="0"/>
      <w:marRight w:val="0"/>
      <w:marTop w:val="0"/>
      <w:marBottom w:val="0"/>
      <w:divBdr>
        <w:top w:val="none" w:sz="0" w:space="0" w:color="auto"/>
        <w:left w:val="none" w:sz="0" w:space="0" w:color="auto"/>
        <w:bottom w:val="none" w:sz="0" w:space="0" w:color="auto"/>
        <w:right w:val="none" w:sz="0" w:space="0" w:color="auto"/>
      </w:divBdr>
    </w:div>
    <w:div w:id="894243293">
      <w:bodyDiv w:val="1"/>
      <w:marLeft w:val="0"/>
      <w:marRight w:val="0"/>
      <w:marTop w:val="0"/>
      <w:marBottom w:val="0"/>
      <w:divBdr>
        <w:top w:val="none" w:sz="0" w:space="0" w:color="auto"/>
        <w:left w:val="none" w:sz="0" w:space="0" w:color="auto"/>
        <w:bottom w:val="none" w:sz="0" w:space="0" w:color="auto"/>
        <w:right w:val="none" w:sz="0" w:space="0" w:color="auto"/>
      </w:divBdr>
    </w:div>
    <w:div w:id="894513624">
      <w:bodyDiv w:val="1"/>
      <w:marLeft w:val="0"/>
      <w:marRight w:val="0"/>
      <w:marTop w:val="0"/>
      <w:marBottom w:val="0"/>
      <w:divBdr>
        <w:top w:val="none" w:sz="0" w:space="0" w:color="auto"/>
        <w:left w:val="none" w:sz="0" w:space="0" w:color="auto"/>
        <w:bottom w:val="none" w:sz="0" w:space="0" w:color="auto"/>
        <w:right w:val="none" w:sz="0" w:space="0" w:color="auto"/>
      </w:divBdr>
    </w:div>
    <w:div w:id="895555268">
      <w:bodyDiv w:val="1"/>
      <w:marLeft w:val="0"/>
      <w:marRight w:val="0"/>
      <w:marTop w:val="0"/>
      <w:marBottom w:val="0"/>
      <w:divBdr>
        <w:top w:val="none" w:sz="0" w:space="0" w:color="auto"/>
        <w:left w:val="none" w:sz="0" w:space="0" w:color="auto"/>
        <w:bottom w:val="none" w:sz="0" w:space="0" w:color="auto"/>
        <w:right w:val="none" w:sz="0" w:space="0" w:color="auto"/>
      </w:divBdr>
    </w:div>
    <w:div w:id="895968664">
      <w:bodyDiv w:val="1"/>
      <w:marLeft w:val="0"/>
      <w:marRight w:val="0"/>
      <w:marTop w:val="0"/>
      <w:marBottom w:val="0"/>
      <w:divBdr>
        <w:top w:val="none" w:sz="0" w:space="0" w:color="auto"/>
        <w:left w:val="none" w:sz="0" w:space="0" w:color="auto"/>
        <w:bottom w:val="none" w:sz="0" w:space="0" w:color="auto"/>
        <w:right w:val="none" w:sz="0" w:space="0" w:color="auto"/>
      </w:divBdr>
    </w:div>
    <w:div w:id="898057262">
      <w:bodyDiv w:val="1"/>
      <w:marLeft w:val="0"/>
      <w:marRight w:val="0"/>
      <w:marTop w:val="0"/>
      <w:marBottom w:val="0"/>
      <w:divBdr>
        <w:top w:val="none" w:sz="0" w:space="0" w:color="auto"/>
        <w:left w:val="none" w:sz="0" w:space="0" w:color="auto"/>
        <w:bottom w:val="none" w:sz="0" w:space="0" w:color="auto"/>
        <w:right w:val="none" w:sz="0" w:space="0" w:color="auto"/>
      </w:divBdr>
    </w:div>
    <w:div w:id="898370711">
      <w:bodyDiv w:val="1"/>
      <w:marLeft w:val="0"/>
      <w:marRight w:val="0"/>
      <w:marTop w:val="0"/>
      <w:marBottom w:val="0"/>
      <w:divBdr>
        <w:top w:val="none" w:sz="0" w:space="0" w:color="auto"/>
        <w:left w:val="none" w:sz="0" w:space="0" w:color="auto"/>
        <w:bottom w:val="none" w:sz="0" w:space="0" w:color="auto"/>
        <w:right w:val="none" w:sz="0" w:space="0" w:color="auto"/>
      </w:divBdr>
    </w:div>
    <w:div w:id="899094104">
      <w:bodyDiv w:val="1"/>
      <w:marLeft w:val="0"/>
      <w:marRight w:val="0"/>
      <w:marTop w:val="0"/>
      <w:marBottom w:val="0"/>
      <w:divBdr>
        <w:top w:val="none" w:sz="0" w:space="0" w:color="auto"/>
        <w:left w:val="none" w:sz="0" w:space="0" w:color="auto"/>
        <w:bottom w:val="none" w:sz="0" w:space="0" w:color="auto"/>
        <w:right w:val="none" w:sz="0" w:space="0" w:color="auto"/>
      </w:divBdr>
    </w:div>
    <w:div w:id="899444674">
      <w:bodyDiv w:val="1"/>
      <w:marLeft w:val="0"/>
      <w:marRight w:val="0"/>
      <w:marTop w:val="0"/>
      <w:marBottom w:val="0"/>
      <w:divBdr>
        <w:top w:val="none" w:sz="0" w:space="0" w:color="auto"/>
        <w:left w:val="none" w:sz="0" w:space="0" w:color="auto"/>
        <w:bottom w:val="none" w:sz="0" w:space="0" w:color="auto"/>
        <w:right w:val="none" w:sz="0" w:space="0" w:color="auto"/>
      </w:divBdr>
    </w:div>
    <w:div w:id="900553307">
      <w:bodyDiv w:val="1"/>
      <w:marLeft w:val="0"/>
      <w:marRight w:val="0"/>
      <w:marTop w:val="0"/>
      <w:marBottom w:val="0"/>
      <w:divBdr>
        <w:top w:val="none" w:sz="0" w:space="0" w:color="auto"/>
        <w:left w:val="none" w:sz="0" w:space="0" w:color="auto"/>
        <w:bottom w:val="none" w:sz="0" w:space="0" w:color="auto"/>
        <w:right w:val="none" w:sz="0" w:space="0" w:color="auto"/>
      </w:divBdr>
    </w:div>
    <w:div w:id="903181511">
      <w:bodyDiv w:val="1"/>
      <w:marLeft w:val="0"/>
      <w:marRight w:val="0"/>
      <w:marTop w:val="0"/>
      <w:marBottom w:val="0"/>
      <w:divBdr>
        <w:top w:val="none" w:sz="0" w:space="0" w:color="auto"/>
        <w:left w:val="none" w:sz="0" w:space="0" w:color="auto"/>
        <w:bottom w:val="none" w:sz="0" w:space="0" w:color="auto"/>
        <w:right w:val="none" w:sz="0" w:space="0" w:color="auto"/>
      </w:divBdr>
    </w:div>
    <w:div w:id="903299103">
      <w:bodyDiv w:val="1"/>
      <w:marLeft w:val="0"/>
      <w:marRight w:val="0"/>
      <w:marTop w:val="0"/>
      <w:marBottom w:val="0"/>
      <w:divBdr>
        <w:top w:val="none" w:sz="0" w:space="0" w:color="auto"/>
        <w:left w:val="none" w:sz="0" w:space="0" w:color="auto"/>
        <w:bottom w:val="none" w:sz="0" w:space="0" w:color="auto"/>
        <w:right w:val="none" w:sz="0" w:space="0" w:color="auto"/>
      </w:divBdr>
    </w:div>
    <w:div w:id="908001810">
      <w:bodyDiv w:val="1"/>
      <w:marLeft w:val="0"/>
      <w:marRight w:val="0"/>
      <w:marTop w:val="0"/>
      <w:marBottom w:val="0"/>
      <w:divBdr>
        <w:top w:val="none" w:sz="0" w:space="0" w:color="auto"/>
        <w:left w:val="none" w:sz="0" w:space="0" w:color="auto"/>
        <w:bottom w:val="none" w:sz="0" w:space="0" w:color="auto"/>
        <w:right w:val="none" w:sz="0" w:space="0" w:color="auto"/>
      </w:divBdr>
    </w:div>
    <w:div w:id="908274670">
      <w:bodyDiv w:val="1"/>
      <w:marLeft w:val="0"/>
      <w:marRight w:val="0"/>
      <w:marTop w:val="0"/>
      <w:marBottom w:val="0"/>
      <w:divBdr>
        <w:top w:val="none" w:sz="0" w:space="0" w:color="auto"/>
        <w:left w:val="none" w:sz="0" w:space="0" w:color="auto"/>
        <w:bottom w:val="none" w:sz="0" w:space="0" w:color="auto"/>
        <w:right w:val="none" w:sz="0" w:space="0" w:color="auto"/>
      </w:divBdr>
    </w:div>
    <w:div w:id="909921127">
      <w:bodyDiv w:val="1"/>
      <w:marLeft w:val="0"/>
      <w:marRight w:val="0"/>
      <w:marTop w:val="0"/>
      <w:marBottom w:val="0"/>
      <w:divBdr>
        <w:top w:val="none" w:sz="0" w:space="0" w:color="auto"/>
        <w:left w:val="none" w:sz="0" w:space="0" w:color="auto"/>
        <w:bottom w:val="none" w:sz="0" w:space="0" w:color="auto"/>
        <w:right w:val="none" w:sz="0" w:space="0" w:color="auto"/>
      </w:divBdr>
    </w:div>
    <w:div w:id="910427037">
      <w:bodyDiv w:val="1"/>
      <w:marLeft w:val="0"/>
      <w:marRight w:val="0"/>
      <w:marTop w:val="0"/>
      <w:marBottom w:val="0"/>
      <w:divBdr>
        <w:top w:val="none" w:sz="0" w:space="0" w:color="auto"/>
        <w:left w:val="none" w:sz="0" w:space="0" w:color="auto"/>
        <w:bottom w:val="none" w:sz="0" w:space="0" w:color="auto"/>
        <w:right w:val="none" w:sz="0" w:space="0" w:color="auto"/>
      </w:divBdr>
    </w:div>
    <w:div w:id="911046626">
      <w:bodyDiv w:val="1"/>
      <w:marLeft w:val="0"/>
      <w:marRight w:val="0"/>
      <w:marTop w:val="0"/>
      <w:marBottom w:val="0"/>
      <w:divBdr>
        <w:top w:val="none" w:sz="0" w:space="0" w:color="auto"/>
        <w:left w:val="none" w:sz="0" w:space="0" w:color="auto"/>
        <w:bottom w:val="none" w:sz="0" w:space="0" w:color="auto"/>
        <w:right w:val="none" w:sz="0" w:space="0" w:color="auto"/>
      </w:divBdr>
    </w:div>
    <w:div w:id="913198433">
      <w:bodyDiv w:val="1"/>
      <w:marLeft w:val="0"/>
      <w:marRight w:val="0"/>
      <w:marTop w:val="0"/>
      <w:marBottom w:val="0"/>
      <w:divBdr>
        <w:top w:val="none" w:sz="0" w:space="0" w:color="auto"/>
        <w:left w:val="none" w:sz="0" w:space="0" w:color="auto"/>
        <w:bottom w:val="none" w:sz="0" w:space="0" w:color="auto"/>
        <w:right w:val="none" w:sz="0" w:space="0" w:color="auto"/>
      </w:divBdr>
    </w:div>
    <w:div w:id="913394570">
      <w:bodyDiv w:val="1"/>
      <w:marLeft w:val="0"/>
      <w:marRight w:val="0"/>
      <w:marTop w:val="0"/>
      <w:marBottom w:val="0"/>
      <w:divBdr>
        <w:top w:val="none" w:sz="0" w:space="0" w:color="auto"/>
        <w:left w:val="none" w:sz="0" w:space="0" w:color="auto"/>
        <w:bottom w:val="none" w:sz="0" w:space="0" w:color="auto"/>
        <w:right w:val="none" w:sz="0" w:space="0" w:color="auto"/>
      </w:divBdr>
    </w:div>
    <w:div w:id="913780994">
      <w:bodyDiv w:val="1"/>
      <w:marLeft w:val="0"/>
      <w:marRight w:val="0"/>
      <w:marTop w:val="0"/>
      <w:marBottom w:val="0"/>
      <w:divBdr>
        <w:top w:val="none" w:sz="0" w:space="0" w:color="auto"/>
        <w:left w:val="none" w:sz="0" w:space="0" w:color="auto"/>
        <w:bottom w:val="none" w:sz="0" w:space="0" w:color="auto"/>
        <w:right w:val="none" w:sz="0" w:space="0" w:color="auto"/>
      </w:divBdr>
    </w:div>
    <w:div w:id="917908441">
      <w:bodyDiv w:val="1"/>
      <w:marLeft w:val="0"/>
      <w:marRight w:val="0"/>
      <w:marTop w:val="0"/>
      <w:marBottom w:val="0"/>
      <w:divBdr>
        <w:top w:val="none" w:sz="0" w:space="0" w:color="auto"/>
        <w:left w:val="none" w:sz="0" w:space="0" w:color="auto"/>
        <w:bottom w:val="none" w:sz="0" w:space="0" w:color="auto"/>
        <w:right w:val="none" w:sz="0" w:space="0" w:color="auto"/>
      </w:divBdr>
    </w:div>
    <w:div w:id="918176495">
      <w:bodyDiv w:val="1"/>
      <w:marLeft w:val="0"/>
      <w:marRight w:val="0"/>
      <w:marTop w:val="0"/>
      <w:marBottom w:val="0"/>
      <w:divBdr>
        <w:top w:val="none" w:sz="0" w:space="0" w:color="auto"/>
        <w:left w:val="none" w:sz="0" w:space="0" w:color="auto"/>
        <w:bottom w:val="none" w:sz="0" w:space="0" w:color="auto"/>
        <w:right w:val="none" w:sz="0" w:space="0" w:color="auto"/>
      </w:divBdr>
    </w:div>
    <w:div w:id="920218584">
      <w:bodyDiv w:val="1"/>
      <w:marLeft w:val="0"/>
      <w:marRight w:val="0"/>
      <w:marTop w:val="0"/>
      <w:marBottom w:val="0"/>
      <w:divBdr>
        <w:top w:val="none" w:sz="0" w:space="0" w:color="auto"/>
        <w:left w:val="none" w:sz="0" w:space="0" w:color="auto"/>
        <w:bottom w:val="none" w:sz="0" w:space="0" w:color="auto"/>
        <w:right w:val="none" w:sz="0" w:space="0" w:color="auto"/>
      </w:divBdr>
    </w:div>
    <w:div w:id="923152622">
      <w:bodyDiv w:val="1"/>
      <w:marLeft w:val="0"/>
      <w:marRight w:val="0"/>
      <w:marTop w:val="0"/>
      <w:marBottom w:val="0"/>
      <w:divBdr>
        <w:top w:val="none" w:sz="0" w:space="0" w:color="auto"/>
        <w:left w:val="none" w:sz="0" w:space="0" w:color="auto"/>
        <w:bottom w:val="none" w:sz="0" w:space="0" w:color="auto"/>
        <w:right w:val="none" w:sz="0" w:space="0" w:color="auto"/>
      </w:divBdr>
    </w:div>
    <w:div w:id="924416107">
      <w:bodyDiv w:val="1"/>
      <w:marLeft w:val="0"/>
      <w:marRight w:val="0"/>
      <w:marTop w:val="0"/>
      <w:marBottom w:val="0"/>
      <w:divBdr>
        <w:top w:val="none" w:sz="0" w:space="0" w:color="auto"/>
        <w:left w:val="none" w:sz="0" w:space="0" w:color="auto"/>
        <w:bottom w:val="none" w:sz="0" w:space="0" w:color="auto"/>
        <w:right w:val="none" w:sz="0" w:space="0" w:color="auto"/>
      </w:divBdr>
    </w:div>
    <w:div w:id="924461134">
      <w:bodyDiv w:val="1"/>
      <w:marLeft w:val="0"/>
      <w:marRight w:val="0"/>
      <w:marTop w:val="0"/>
      <w:marBottom w:val="0"/>
      <w:divBdr>
        <w:top w:val="none" w:sz="0" w:space="0" w:color="auto"/>
        <w:left w:val="none" w:sz="0" w:space="0" w:color="auto"/>
        <w:bottom w:val="none" w:sz="0" w:space="0" w:color="auto"/>
        <w:right w:val="none" w:sz="0" w:space="0" w:color="auto"/>
      </w:divBdr>
    </w:div>
    <w:div w:id="925919457">
      <w:bodyDiv w:val="1"/>
      <w:marLeft w:val="0"/>
      <w:marRight w:val="0"/>
      <w:marTop w:val="0"/>
      <w:marBottom w:val="0"/>
      <w:divBdr>
        <w:top w:val="none" w:sz="0" w:space="0" w:color="auto"/>
        <w:left w:val="none" w:sz="0" w:space="0" w:color="auto"/>
        <w:bottom w:val="none" w:sz="0" w:space="0" w:color="auto"/>
        <w:right w:val="none" w:sz="0" w:space="0" w:color="auto"/>
      </w:divBdr>
    </w:div>
    <w:div w:id="926231813">
      <w:bodyDiv w:val="1"/>
      <w:marLeft w:val="0"/>
      <w:marRight w:val="0"/>
      <w:marTop w:val="0"/>
      <w:marBottom w:val="0"/>
      <w:divBdr>
        <w:top w:val="none" w:sz="0" w:space="0" w:color="auto"/>
        <w:left w:val="none" w:sz="0" w:space="0" w:color="auto"/>
        <w:bottom w:val="none" w:sz="0" w:space="0" w:color="auto"/>
        <w:right w:val="none" w:sz="0" w:space="0" w:color="auto"/>
      </w:divBdr>
    </w:div>
    <w:div w:id="926883381">
      <w:bodyDiv w:val="1"/>
      <w:marLeft w:val="0"/>
      <w:marRight w:val="0"/>
      <w:marTop w:val="0"/>
      <w:marBottom w:val="0"/>
      <w:divBdr>
        <w:top w:val="none" w:sz="0" w:space="0" w:color="auto"/>
        <w:left w:val="none" w:sz="0" w:space="0" w:color="auto"/>
        <w:bottom w:val="none" w:sz="0" w:space="0" w:color="auto"/>
        <w:right w:val="none" w:sz="0" w:space="0" w:color="auto"/>
      </w:divBdr>
    </w:div>
    <w:div w:id="927692858">
      <w:bodyDiv w:val="1"/>
      <w:marLeft w:val="0"/>
      <w:marRight w:val="0"/>
      <w:marTop w:val="0"/>
      <w:marBottom w:val="0"/>
      <w:divBdr>
        <w:top w:val="none" w:sz="0" w:space="0" w:color="auto"/>
        <w:left w:val="none" w:sz="0" w:space="0" w:color="auto"/>
        <w:bottom w:val="none" w:sz="0" w:space="0" w:color="auto"/>
        <w:right w:val="none" w:sz="0" w:space="0" w:color="auto"/>
      </w:divBdr>
    </w:div>
    <w:div w:id="932978700">
      <w:bodyDiv w:val="1"/>
      <w:marLeft w:val="0"/>
      <w:marRight w:val="0"/>
      <w:marTop w:val="0"/>
      <w:marBottom w:val="0"/>
      <w:divBdr>
        <w:top w:val="none" w:sz="0" w:space="0" w:color="auto"/>
        <w:left w:val="none" w:sz="0" w:space="0" w:color="auto"/>
        <w:bottom w:val="none" w:sz="0" w:space="0" w:color="auto"/>
        <w:right w:val="none" w:sz="0" w:space="0" w:color="auto"/>
      </w:divBdr>
    </w:div>
    <w:div w:id="936326158">
      <w:bodyDiv w:val="1"/>
      <w:marLeft w:val="0"/>
      <w:marRight w:val="0"/>
      <w:marTop w:val="0"/>
      <w:marBottom w:val="0"/>
      <w:divBdr>
        <w:top w:val="none" w:sz="0" w:space="0" w:color="auto"/>
        <w:left w:val="none" w:sz="0" w:space="0" w:color="auto"/>
        <w:bottom w:val="none" w:sz="0" w:space="0" w:color="auto"/>
        <w:right w:val="none" w:sz="0" w:space="0" w:color="auto"/>
      </w:divBdr>
    </w:div>
    <w:div w:id="938609870">
      <w:bodyDiv w:val="1"/>
      <w:marLeft w:val="0"/>
      <w:marRight w:val="0"/>
      <w:marTop w:val="0"/>
      <w:marBottom w:val="0"/>
      <w:divBdr>
        <w:top w:val="none" w:sz="0" w:space="0" w:color="auto"/>
        <w:left w:val="none" w:sz="0" w:space="0" w:color="auto"/>
        <w:bottom w:val="none" w:sz="0" w:space="0" w:color="auto"/>
        <w:right w:val="none" w:sz="0" w:space="0" w:color="auto"/>
      </w:divBdr>
    </w:div>
    <w:div w:id="939876980">
      <w:bodyDiv w:val="1"/>
      <w:marLeft w:val="0"/>
      <w:marRight w:val="0"/>
      <w:marTop w:val="0"/>
      <w:marBottom w:val="0"/>
      <w:divBdr>
        <w:top w:val="none" w:sz="0" w:space="0" w:color="auto"/>
        <w:left w:val="none" w:sz="0" w:space="0" w:color="auto"/>
        <w:bottom w:val="none" w:sz="0" w:space="0" w:color="auto"/>
        <w:right w:val="none" w:sz="0" w:space="0" w:color="auto"/>
      </w:divBdr>
    </w:div>
    <w:div w:id="940188914">
      <w:bodyDiv w:val="1"/>
      <w:marLeft w:val="0"/>
      <w:marRight w:val="0"/>
      <w:marTop w:val="0"/>
      <w:marBottom w:val="0"/>
      <w:divBdr>
        <w:top w:val="none" w:sz="0" w:space="0" w:color="auto"/>
        <w:left w:val="none" w:sz="0" w:space="0" w:color="auto"/>
        <w:bottom w:val="none" w:sz="0" w:space="0" w:color="auto"/>
        <w:right w:val="none" w:sz="0" w:space="0" w:color="auto"/>
      </w:divBdr>
    </w:div>
    <w:div w:id="948243938">
      <w:bodyDiv w:val="1"/>
      <w:marLeft w:val="0"/>
      <w:marRight w:val="0"/>
      <w:marTop w:val="0"/>
      <w:marBottom w:val="0"/>
      <w:divBdr>
        <w:top w:val="none" w:sz="0" w:space="0" w:color="auto"/>
        <w:left w:val="none" w:sz="0" w:space="0" w:color="auto"/>
        <w:bottom w:val="none" w:sz="0" w:space="0" w:color="auto"/>
        <w:right w:val="none" w:sz="0" w:space="0" w:color="auto"/>
      </w:divBdr>
    </w:div>
    <w:div w:id="948664197">
      <w:bodyDiv w:val="1"/>
      <w:marLeft w:val="0"/>
      <w:marRight w:val="0"/>
      <w:marTop w:val="0"/>
      <w:marBottom w:val="0"/>
      <w:divBdr>
        <w:top w:val="none" w:sz="0" w:space="0" w:color="auto"/>
        <w:left w:val="none" w:sz="0" w:space="0" w:color="auto"/>
        <w:bottom w:val="none" w:sz="0" w:space="0" w:color="auto"/>
        <w:right w:val="none" w:sz="0" w:space="0" w:color="auto"/>
      </w:divBdr>
    </w:div>
    <w:div w:id="952204606">
      <w:bodyDiv w:val="1"/>
      <w:marLeft w:val="0"/>
      <w:marRight w:val="0"/>
      <w:marTop w:val="0"/>
      <w:marBottom w:val="0"/>
      <w:divBdr>
        <w:top w:val="none" w:sz="0" w:space="0" w:color="auto"/>
        <w:left w:val="none" w:sz="0" w:space="0" w:color="auto"/>
        <w:bottom w:val="none" w:sz="0" w:space="0" w:color="auto"/>
        <w:right w:val="none" w:sz="0" w:space="0" w:color="auto"/>
      </w:divBdr>
    </w:div>
    <w:div w:id="953363262">
      <w:bodyDiv w:val="1"/>
      <w:marLeft w:val="0"/>
      <w:marRight w:val="0"/>
      <w:marTop w:val="0"/>
      <w:marBottom w:val="0"/>
      <w:divBdr>
        <w:top w:val="none" w:sz="0" w:space="0" w:color="auto"/>
        <w:left w:val="none" w:sz="0" w:space="0" w:color="auto"/>
        <w:bottom w:val="none" w:sz="0" w:space="0" w:color="auto"/>
        <w:right w:val="none" w:sz="0" w:space="0" w:color="auto"/>
      </w:divBdr>
    </w:div>
    <w:div w:id="956059459">
      <w:bodyDiv w:val="1"/>
      <w:marLeft w:val="0"/>
      <w:marRight w:val="0"/>
      <w:marTop w:val="0"/>
      <w:marBottom w:val="0"/>
      <w:divBdr>
        <w:top w:val="none" w:sz="0" w:space="0" w:color="auto"/>
        <w:left w:val="none" w:sz="0" w:space="0" w:color="auto"/>
        <w:bottom w:val="none" w:sz="0" w:space="0" w:color="auto"/>
        <w:right w:val="none" w:sz="0" w:space="0" w:color="auto"/>
      </w:divBdr>
    </w:div>
    <w:div w:id="958295273">
      <w:bodyDiv w:val="1"/>
      <w:marLeft w:val="0"/>
      <w:marRight w:val="0"/>
      <w:marTop w:val="0"/>
      <w:marBottom w:val="0"/>
      <w:divBdr>
        <w:top w:val="none" w:sz="0" w:space="0" w:color="auto"/>
        <w:left w:val="none" w:sz="0" w:space="0" w:color="auto"/>
        <w:bottom w:val="none" w:sz="0" w:space="0" w:color="auto"/>
        <w:right w:val="none" w:sz="0" w:space="0" w:color="auto"/>
      </w:divBdr>
    </w:div>
    <w:div w:id="959382868">
      <w:bodyDiv w:val="1"/>
      <w:marLeft w:val="0"/>
      <w:marRight w:val="0"/>
      <w:marTop w:val="0"/>
      <w:marBottom w:val="0"/>
      <w:divBdr>
        <w:top w:val="none" w:sz="0" w:space="0" w:color="auto"/>
        <w:left w:val="none" w:sz="0" w:space="0" w:color="auto"/>
        <w:bottom w:val="none" w:sz="0" w:space="0" w:color="auto"/>
        <w:right w:val="none" w:sz="0" w:space="0" w:color="auto"/>
      </w:divBdr>
    </w:div>
    <w:div w:id="962616778">
      <w:bodyDiv w:val="1"/>
      <w:marLeft w:val="0"/>
      <w:marRight w:val="0"/>
      <w:marTop w:val="0"/>
      <w:marBottom w:val="0"/>
      <w:divBdr>
        <w:top w:val="none" w:sz="0" w:space="0" w:color="auto"/>
        <w:left w:val="none" w:sz="0" w:space="0" w:color="auto"/>
        <w:bottom w:val="none" w:sz="0" w:space="0" w:color="auto"/>
        <w:right w:val="none" w:sz="0" w:space="0" w:color="auto"/>
      </w:divBdr>
    </w:div>
    <w:div w:id="962886487">
      <w:bodyDiv w:val="1"/>
      <w:marLeft w:val="0"/>
      <w:marRight w:val="0"/>
      <w:marTop w:val="0"/>
      <w:marBottom w:val="0"/>
      <w:divBdr>
        <w:top w:val="none" w:sz="0" w:space="0" w:color="auto"/>
        <w:left w:val="none" w:sz="0" w:space="0" w:color="auto"/>
        <w:bottom w:val="none" w:sz="0" w:space="0" w:color="auto"/>
        <w:right w:val="none" w:sz="0" w:space="0" w:color="auto"/>
      </w:divBdr>
    </w:div>
    <w:div w:id="963384336">
      <w:bodyDiv w:val="1"/>
      <w:marLeft w:val="0"/>
      <w:marRight w:val="0"/>
      <w:marTop w:val="0"/>
      <w:marBottom w:val="0"/>
      <w:divBdr>
        <w:top w:val="none" w:sz="0" w:space="0" w:color="auto"/>
        <w:left w:val="none" w:sz="0" w:space="0" w:color="auto"/>
        <w:bottom w:val="none" w:sz="0" w:space="0" w:color="auto"/>
        <w:right w:val="none" w:sz="0" w:space="0" w:color="auto"/>
      </w:divBdr>
    </w:div>
    <w:div w:id="963390192">
      <w:bodyDiv w:val="1"/>
      <w:marLeft w:val="0"/>
      <w:marRight w:val="0"/>
      <w:marTop w:val="0"/>
      <w:marBottom w:val="0"/>
      <w:divBdr>
        <w:top w:val="none" w:sz="0" w:space="0" w:color="auto"/>
        <w:left w:val="none" w:sz="0" w:space="0" w:color="auto"/>
        <w:bottom w:val="none" w:sz="0" w:space="0" w:color="auto"/>
        <w:right w:val="none" w:sz="0" w:space="0" w:color="auto"/>
      </w:divBdr>
    </w:div>
    <w:div w:id="964043435">
      <w:bodyDiv w:val="1"/>
      <w:marLeft w:val="0"/>
      <w:marRight w:val="0"/>
      <w:marTop w:val="0"/>
      <w:marBottom w:val="0"/>
      <w:divBdr>
        <w:top w:val="none" w:sz="0" w:space="0" w:color="auto"/>
        <w:left w:val="none" w:sz="0" w:space="0" w:color="auto"/>
        <w:bottom w:val="none" w:sz="0" w:space="0" w:color="auto"/>
        <w:right w:val="none" w:sz="0" w:space="0" w:color="auto"/>
      </w:divBdr>
    </w:div>
    <w:div w:id="969089216">
      <w:bodyDiv w:val="1"/>
      <w:marLeft w:val="0"/>
      <w:marRight w:val="0"/>
      <w:marTop w:val="0"/>
      <w:marBottom w:val="0"/>
      <w:divBdr>
        <w:top w:val="none" w:sz="0" w:space="0" w:color="auto"/>
        <w:left w:val="none" w:sz="0" w:space="0" w:color="auto"/>
        <w:bottom w:val="none" w:sz="0" w:space="0" w:color="auto"/>
        <w:right w:val="none" w:sz="0" w:space="0" w:color="auto"/>
      </w:divBdr>
    </w:div>
    <w:div w:id="977610134">
      <w:bodyDiv w:val="1"/>
      <w:marLeft w:val="0"/>
      <w:marRight w:val="0"/>
      <w:marTop w:val="0"/>
      <w:marBottom w:val="0"/>
      <w:divBdr>
        <w:top w:val="none" w:sz="0" w:space="0" w:color="auto"/>
        <w:left w:val="none" w:sz="0" w:space="0" w:color="auto"/>
        <w:bottom w:val="none" w:sz="0" w:space="0" w:color="auto"/>
        <w:right w:val="none" w:sz="0" w:space="0" w:color="auto"/>
      </w:divBdr>
    </w:div>
    <w:div w:id="978920909">
      <w:bodyDiv w:val="1"/>
      <w:marLeft w:val="0"/>
      <w:marRight w:val="0"/>
      <w:marTop w:val="0"/>
      <w:marBottom w:val="0"/>
      <w:divBdr>
        <w:top w:val="none" w:sz="0" w:space="0" w:color="auto"/>
        <w:left w:val="none" w:sz="0" w:space="0" w:color="auto"/>
        <w:bottom w:val="none" w:sz="0" w:space="0" w:color="auto"/>
        <w:right w:val="none" w:sz="0" w:space="0" w:color="auto"/>
      </w:divBdr>
    </w:div>
    <w:div w:id="986402343">
      <w:bodyDiv w:val="1"/>
      <w:marLeft w:val="0"/>
      <w:marRight w:val="0"/>
      <w:marTop w:val="0"/>
      <w:marBottom w:val="0"/>
      <w:divBdr>
        <w:top w:val="none" w:sz="0" w:space="0" w:color="auto"/>
        <w:left w:val="none" w:sz="0" w:space="0" w:color="auto"/>
        <w:bottom w:val="none" w:sz="0" w:space="0" w:color="auto"/>
        <w:right w:val="none" w:sz="0" w:space="0" w:color="auto"/>
      </w:divBdr>
    </w:div>
    <w:div w:id="987395324">
      <w:bodyDiv w:val="1"/>
      <w:marLeft w:val="0"/>
      <w:marRight w:val="0"/>
      <w:marTop w:val="0"/>
      <w:marBottom w:val="0"/>
      <w:divBdr>
        <w:top w:val="none" w:sz="0" w:space="0" w:color="auto"/>
        <w:left w:val="none" w:sz="0" w:space="0" w:color="auto"/>
        <w:bottom w:val="none" w:sz="0" w:space="0" w:color="auto"/>
        <w:right w:val="none" w:sz="0" w:space="0" w:color="auto"/>
      </w:divBdr>
    </w:div>
    <w:div w:id="989596212">
      <w:bodyDiv w:val="1"/>
      <w:marLeft w:val="0"/>
      <w:marRight w:val="0"/>
      <w:marTop w:val="0"/>
      <w:marBottom w:val="0"/>
      <w:divBdr>
        <w:top w:val="none" w:sz="0" w:space="0" w:color="auto"/>
        <w:left w:val="none" w:sz="0" w:space="0" w:color="auto"/>
        <w:bottom w:val="none" w:sz="0" w:space="0" w:color="auto"/>
        <w:right w:val="none" w:sz="0" w:space="0" w:color="auto"/>
      </w:divBdr>
    </w:div>
    <w:div w:id="989940062">
      <w:bodyDiv w:val="1"/>
      <w:marLeft w:val="0"/>
      <w:marRight w:val="0"/>
      <w:marTop w:val="0"/>
      <w:marBottom w:val="0"/>
      <w:divBdr>
        <w:top w:val="none" w:sz="0" w:space="0" w:color="auto"/>
        <w:left w:val="none" w:sz="0" w:space="0" w:color="auto"/>
        <w:bottom w:val="none" w:sz="0" w:space="0" w:color="auto"/>
        <w:right w:val="none" w:sz="0" w:space="0" w:color="auto"/>
      </w:divBdr>
    </w:div>
    <w:div w:id="995182576">
      <w:bodyDiv w:val="1"/>
      <w:marLeft w:val="0"/>
      <w:marRight w:val="0"/>
      <w:marTop w:val="0"/>
      <w:marBottom w:val="0"/>
      <w:divBdr>
        <w:top w:val="none" w:sz="0" w:space="0" w:color="auto"/>
        <w:left w:val="none" w:sz="0" w:space="0" w:color="auto"/>
        <w:bottom w:val="none" w:sz="0" w:space="0" w:color="auto"/>
        <w:right w:val="none" w:sz="0" w:space="0" w:color="auto"/>
      </w:divBdr>
    </w:div>
    <w:div w:id="996149141">
      <w:bodyDiv w:val="1"/>
      <w:marLeft w:val="0"/>
      <w:marRight w:val="0"/>
      <w:marTop w:val="0"/>
      <w:marBottom w:val="0"/>
      <w:divBdr>
        <w:top w:val="none" w:sz="0" w:space="0" w:color="auto"/>
        <w:left w:val="none" w:sz="0" w:space="0" w:color="auto"/>
        <w:bottom w:val="none" w:sz="0" w:space="0" w:color="auto"/>
        <w:right w:val="none" w:sz="0" w:space="0" w:color="auto"/>
      </w:divBdr>
    </w:div>
    <w:div w:id="998966321">
      <w:bodyDiv w:val="1"/>
      <w:marLeft w:val="0"/>
      <w:marRight w:val="0"/>
      <w:marTop w:val="0"/>
      <w:marBottom w:val="0"/>
      <w:divBdr>
        <w:top w:val="none" w:sz="0" w:space="0" w:color="auto"/>
        <w:left w:val="none" w:sz="0" w:space="0" w:color="auto"/>
        <w:bottom w:val="none" w:sz="0" w:space="0" w:color="auto"/>
        <w:right w:val="none" w:sz="0" w:space="0" w:color="auto"/>
      </w:divBdr>
    </w:div>
    <w:div w:id="1002704956">
      <w:bodyDiv w:val="1"/>
      <w:marLeft w:val="0"/>
      <w:marRight w:val="0"/>
      <w:marTop w:val="0"/>
      <w:marBottom w:val="0"/>
      <w:divBdr>
        <w:top w:val="none" w:sz="0" w:space="0" w:color="auto"/>
        <w:left w:val="none" w:sz="0" w:space="0" w:color="auto"/>
        <w:bottom w:val="none" w:sz="0" w:space="0" w:color="auto"/>
        <w:right w:val="none" w:sz="0" w:space="0" w:color="auto"/>
      </w:divBdr>
    </w:div>
    <w:div w:id="1006858950">
      <w:bodyDiv w:val="1"/>
      <w:marLeft w:val="0"/>
      <w:marRight w:val="0"/>
      <w:marTop w:val="0"/>
      <w:marBottom w:val="0"/>
      <w:divBdr>
        <w:top w:val="none" w:sz="0" w:space="0" w:color="auto"/>
        <w:left w:val="none" w:sz="0" w:space="0" w:color="auto"/>
        <w:bottom w:val="none" w:sz="0" w:space="0" w:color="auto"/>
        <w:right w:val="none" w:sz="0" w:space="0" w:color="auto"/>
      </w:divBdr>
    </w:div>
    <w:div w:id="1007253572">
      <w:bodyDiv w:val="1"/>
      <w:marLeft w:val="0"/>
      <w:marRight w:val="0"/>
      <w:marTop w:val="0"/>
      <w:marBottom w:val="0"/>
      <w:divBdr>
        <w:top w:val="none" w:sz="0" w:space="0" w:color="auto"/>
        <w:left w:val="none" w:sz="0" w:space="0" w:color="auto"/>
        <w:bottom w:val="none" w:sz="0" w:space="0" w:color="auto"/>
        <w:right w:val="none" w:sz="0" w:space="0" w:color="auto"/>
      </w:divBdr>
    </w:div>
    <w:div w:id="1008601488">
      <w:bodyDiv w:val="1"/>
      <w:marLeft w:val="0"/>
      <w:marRight w:val="0"/>
      <w:marTop w:val="0"/>
      <w:marBottom w:val="0"/>
      <w:divBdr>
        <w:top w:val="none" w:sz="0" w:space="0" w:color="auto"/>
        <w:left w:val="none" w:sz="0" w:space="0" w:color="auto"/>
        <w:bottom w:val="none" w:sz="0" w:space="0" w:color="auto"/>
        <w:right w:val="none" w:sz="0" w:space="0" w:color="auto"/>
      </w:divBdr>
    </w:div>
    <w:div w:id="1011221832">
      <w:bodyDiv w:val="1"/>
      <w:marLeft w:val="0"/>
      <w:marRight w:val="0"/>
      <w:marTop w:val="0"/>
      <w:marBottom w:val="0"/>
      <w:divBdr>
        <w:top w:val="none" w:sz="0" w:space="0" w:color="auto"/>
        <w:left w:val="none" w:sz="0" w:space="0" w:color="auto"/>
        <w:bottom w:val="none" w:sz="0" w:space="0" w:color="auto"/>
        <w:right w:val="none" w:sz="0" w:space="0" w:color="auto"/>
      </w:divBdr>
    </w:div>
    <w:div w:id="1012877081">
      <w:bodyDiv w:val="1"/>
      <w:marLeft w:val="0"/>
      <w:marRight w:val="0"/>
      <w:marTop w:val="0"/>
      <w:marBottom w:val="0"/>
      <w:divBdr>
        <w:top w:val="none" w:sz="0" w:space="0" w:color="auto"/>
        <w:left w:val="none" w:sz="0" w:space="0" w:color="auto"/>
        <w:bottom w:val="none" w:sz="0" w:space="0" w:color="auto"/>
        <w:right w:val="none" w:sz="0" w:space="0" w:color="auto"/>
      </w:divBdr>
    </w:div>
    <w:div w:id="1015687186">
      <w:bodyDiv w:val="1"/>
      <w:marLeft w:val="0"/>
      <w:marRight w:val="0"/>
      <w:marTop w:val="0"/>
      <w:marBottom w:val="0"/>
      <w:divBdr>
        <w:top w:val="none" w:sz="0" w:space="0" w:color="auto"/>
        <w:left w:val="none" w:sz="0" w:space="0" w:color="auto"/>
        <w:bottom w:val="none" w:sz="0" w:space="0" w:color="auto"/>
        <w:right w:val="none" w:sz="0" w:space="0" w:color="auto"/>
      </w:divBdr>
    </w:div>
    <w:div w:id="1018115977">
      <w:bodyDiv w:val="1"/>
      <w:marLeft w:val="0"/>
      <w:marRight w:val="0"/>
      <w:marTop w:val="0"/>
      <w:marBottom w:val="0"/>
      <w:divBdr>
        <w:top w:val="none" w:sz="0" w:space="0" w:color="auto"/>
        <w:left w:val="none" w:sz="0" w:space="0" w:color="auto"/>
        <w:bottom w:val="none" w:sz="0" w:space="0" w:color="auto"/>
        <w:right w:val="none" w:sz="0" w:space="0" w:color="auto"/>
      </w:divBdr>
    </w:div>
    <w:div w:id="1020358347">
      <w:bodyDiv w:val="1"/>
      <w:marLeft w:val="0"/>
      <w:marRight w:val="0"/>
      <w:marTop w:val="0"/>
      <w:marBottom w:val="0"/>
      <w:divBdr>
        <w:top w:val="none" w:sz="0" w:space="0" w:color="auto"/>
        <w:left w:val="none" w:sz="0" w:space="0" w:color="auto"/>
        <w:bottom w:val="none" w:sz="0" w:space="0" w:color="auto"/>
        <w:right w:val="none" w:sz="0" w:space="0" w:color="auto"/>
      </w:divBdr>
    </w:div>
    <w:div w:id="1022050761">
      <w:bodyDiv w:val="1"/>
      <w:marLeft w:val="0"/>
      <w:marRight w:val="0"/>
      <w:marTop w:val="0"/>
      <w:marBottom w:val="0"/>
      <w:divBdr>
        <w:top w:val="none" w:sz="0" w:space="0" w:color="auto"/>
        <w:left w:val="none" w:sz="0" w:space="0" w:color="auto"/>
        <w:bottom w:val="none" w:sz="0" w:space="0" w:color="auto"/>
        <w:right w:val="none" w:sz="0" w:space="0" w:color="auto"/>
      </w:divBdr>
    </w:div>
    <w:div w:id="1022320261">
      <w:bodyDiv w:val="1"/>
      <w:marLeft w:val="0"/>
      <w:marRight w:val="0"/>
      <w:marTop w:val="0"/>
      <w:marBottom w:val="0"/>
      <w:divBdr>
        <w:top w:val="none" w:sz="0" w:space="0" w:color="auto"/>
        <w:left w:val="none" w:sz="0" w:space="0" w:color="auto"/>
        <w:bottom w:val="none" w:sz="0" w:space="0" w:color="auto"/>
        <w:right w:val="none" w:sz="0" w:space="0" w:color="auto"/>
      </w:divBdr>
    </w:div>
    <w:div w:id="1024668105">
      <w:bodyDiv w:val="1"/>
      <w:marLeft w:val="0"/>
      <w:marRight w:val="0"/>
      <w:marTop w:val="0"/>
      <w:marBottom w:val="0"/>
      <w:divBdr>
        <w:top w:val="none" w:sz="0" w:space="0" w:color="auto"/>
        <w:left w:val="none" w:sz="0" w:space="0" w:color="auto"/>
        <w:bottom w:val="none" w:sz="0" w:space="0" w:color="auto"/>
        <w:right w:val="none" w:sz="0" w:space="0" w:color="auto"/>
      </w:divBdr>
    </w:div>
    <w:div w:id="1025137144">
      <w:bodyDiv w:val="1"/>
      <w:marLeft w:val="0"/>
      <w:marRight w:val="0"/>
      <w:marTop w:val="0"/>
      <w:marBottom w:val="0"/>
      <w:divBdr>
        <w:top w:val="none" w:sz="0" w:space="0" w:color="auto"/>
        <w:left w:val="none" w:sz="0" w:space="0" w:color="auto"/>
        <w:bottom w:val="none" w:sz="0" w:space="0" w:color="auto"/>
        <w:right w:val="none" w:sz="0" w:space="0" w:color="auto"/>
      </w:divBdr>
    </w:div>
    <w:div w:id="1027095834">
      <w:bodyDiv w:val="1"/>
      <w:marLeft w:val="0"/>
      <w:marRight w:val="0"/>
      <w:marTop w:val="0"/>
      <w:marBottom w:val="0"/>
      <w:divBdr>
        <w:top w:val="none" w:sz="0" w:space="0" w:color="auto"/>
        <w:left w:val="none" w:sz="0" w:space="0" w:color="auto"/>
        <w:bottom w:val="none" w:sz="0" w:space="0" w:color="auto"/>
        <w:right w:val="none" w:sz="0" w:space="0" w:color="auto"/>
      </w:divBdr>
    </w:div>
    <w:div w:id="1029180308">
      <w:bodyDiv w:val="1"/>
      <w:marLeft w:val="0"/>
      <w:marRight w:val="0"/>
      <w:marTop w:val="0"/>
      <w:marBottom w:val="0"/>
      <w:divBdr>
        <w:top w:val="none" w:sz="0" w:space="0" w:color="auto"/>
        <w:left w:val="none" w:sz="0" w:space="0" w:color="auto"/>
        <w:bottom w:val="none" w:sz="0" w:space="0" w:color="auto"/>
        <w:right w:val="none" w:sz="0" w:space="0" w:color="auto"/>
      </w:divBdr>
    </w:div>
    <w:div w:id="1030955278">
      <w:bodyDiv w:val="1"/>
      <w:marLeft w:val="0"/>
      <w:marRight w:val="0"/>
      <w:marTop w:val="0"/>
      <w:marBottom w:val="0"/>
      <w:divBdr>
        <w:top w:val="none" w:sz="0" w:space="0" w:color="auto"/>
        <w:left w:val="none" w:sz="0" w:space="0" w:color="auto"/>
        <w:bottom w:val="none" w:sz="0" w:space="0" w:color="auto"/>
        <w:right w:val="none" w:sz="0" w:space="0" w:color="auto"/>
      </w:divBdr>
    </w:div>
    <w:div w:id="1032337474">
      <w:bodyDiv w:val="1"/>
      <w:marLeft w:val="0"/>
      <w:marRight w:val="0"/>
      <w:marTop w:val="0"/>
      <w:marBottom w:val="0"/>
      <w:divBdr>
        <w:top w:val="none" w:sz="0" w:space="0" w:color="auto"/>
        <w:left w:val="none" w:sz="0" w:space="0" w:color="auto"/>
        <w:bottom w:val="none" w:sz="0" w:space="0" w:color="auto"/>
        <w:right w:val="none" w:sz="0" w:space="0" w:color="auto"/>
      </w:divBdr>
    </w:div>
    <w:div w:id="1032997754">
      <w:bodyDiv w:val="1"/>
      <w:marLeft w:val="0"/>
      <w:marRight w:val="0"/>
      <w:marTop w:val="0"/>
      <w:marBottom w:val="0"/>
      <w:divBdr>
        <w:top w:val="none" w:sz="0" w:space="0" w:color="auto"/>
        <w:left w:val="none" w:sz="0" w:space="0" w:color="auto"/>
        <w:bottom w:val="none" w:sz="0" w:space="0" w:color="auto"/>
        <w:right w:val="none" w:sz="0" w:space="0" w:color="auto"/>
      </w:divBdr>
    </w:div>
    <w:div w:id="1033076685">
      <w:bodyDiv w:val="1"/>
      <w:marLeft w:val="0"/>
      <w:marRight w:val="0"/>
      <w:marTop w:val="0"/>
      <w:marBottom w:val="0"/>
      <w:divBdr>
        <w:top w:val="none" w:sz="0" w:space="0" w:color="auto"/>
        <w:left w:val="none" w:sz="0" w:space="0" w:color="auto"/>
        <w:bottom w:val="none" w:sz="0" w:space="0" w:color="auto"/>
        <w:right w:val="none" w:sz="0" w:space="0" w:color="auto"/>
      </w:divBdr>
    </w:div>
    <w:div w:id="1034503788">
      <w:bodyDiv w:val="1"/>
      <w:marLeft w:val="0"/>
      <w:marRight w:val="0"/>
      <w:marTop w:val="0"/>
      <w:marBottom w:val="0"/>
      <w:divBdr>
        <w:top w:val="none" w:sz="0" w:space="0" w:color="auto"/>
        <w:left w:val="none" w:sz="0" w:space="0" w:color="auto"/>
        <w:bottom w:val="none" w:sz="0" w:space="0" w:color="auto"/>
        <w:right w:val="none" w:sz="0" w:space="0" w:color="auto"/>
      </w:divBdr>
    </w:div>
    <w:div w:id="1037120660">
      <w:bodyDiv w:val="1"/>
      <w:marLeft w:val="0"/>
      <w:marRight w:val="0"/>
      <w:marTop w:val="0"/>
      <w:marBottom w:val="0"/>
      <w:divBdr>
        <w:top w:val="none" w:sz="0" w:space="0" w:color="auto"/>
        <w:left w:val="none" w:sz="0" w:space="0" w:color="auto"/>
        <w:bottom w:val="none" w:sz="0" w:space="0" w:color="auto"/>
        <w:right w:val="none" w:sz="0" w:space="0" w:color="auto"/>
      </w:divBdr>
    </w:div>
    <w:div w:id="1042553802">
      <w:bodyDiv w:val="1"/>
      <w:marLeft w:val="0"/>
      <w:marRight w:val="0"/>
      <w:marTop w:val="0"/>
      <w:marBottom w:val="0"/>
      <w:divBdr>
        <w:top w:val="none" w:sz="0" w:space="0" w:color="auto"/>
        <w:left w:val="none" w:sz="0" w:space="0" w:color="auto"/>
        <w:bottom w:val="none" w:sz="0" w:space="0" w:color="auto"/>
        <w:right w:val="none" w:sz="0" w:space="0" w:color="auto"/>
      </w:divBdr>
    </w:div>
    <w:div w:id="1042559071">
      <w:bodyDiv w:val="1"/>
      <w:marLeft w:val="0"/>
      <w:marRight w:val="0"/>
      <w:marTop w:val="0"/>
      <w:marBottom w:val="0"/>
      <w:divBdr>
        <w:top w:val="none" w:sz="0" w:space="0" w:color="auto"/>
        <w:left w:val="none" w:sz="0" w:space="0" w:color="auto"/>
        <w:bottom w:val="none" w:sz="0" w:space="0" w:color="auto"/>
        <w:right w:val="none" w:sz="0" w:space="0" w:color="auto"/>
      </w:divBdr>
    </w:div>
    <w:div w:id="1043290940">
      <w:bodyDiv w:val="1"/>
      <w:marLeft w:val="0"/>
      <w:marRight w:val="0"/>
      <w:marTop w:val="0"/>
      <w:marBottom w:val="0"/>
      <w:divBdr>
        <w:top w:val="none" w:sz="0" w:space="0" w:color="auto"/>
        <w:left w:val="none" w:sz="0" w:space="0" w:color="auto"/>
        <w:bottom w:val="none" w:sz="0" w:space="0" w:color="auto"/>
        <w:right w:val="none" w:sz="0" w:space="0" w:color="auto"/>
      </w:divBdr>
    </w:div>
    <w:div w:id="1043480749">
      <w:bodyDiv w:val="1"/>
      <w:marLeft w:val="0"/>
      <w:marRight w:val="0"/>
      <w:marTop w:val="0"/>
      <w:marBottom w:val="0"/>
      <w:divBdr>
        <w:top w:val="none" w:sz="0" w:space="0" w:color="auto"/>
        <w:left w:val="none" w:sz="0" w:space="0" w:color="auto"/>
        <w:bottom w:val="none" w:sz="0" w:space="0" w:color="auto"/>
        <w:right w:val="none" w:sz="0" w:space="0" w:color="auto"/>
      </w:divBdr>
    </w:div>
    <w:div w:id="1043481047">
      <w:bodyDiv w:val="1"/>
      <w:marLeft w:val="0"/>
      <w:marRight w:val="0"/>
      <w:marTop w:val="0"/>
      <w:marBottom w:val="0"/>
      <w:divBdr>
        <w:top w:val="none" w:sz="0" w:space="0" w:color="auto"/>
        <w:left w:val="none" w:sz="0" w:space="0" w:color="auto"/>
        <w:bottom w:val="none" w:sz="0" w:space="0" w:color="auto"/>
        <w:right w:val="none" w:sz="0" w:space="0" w:color="auto"/>
      </w:divBdr>
    </w:div>
    <w:div w:id="1044451775">
      <w:bodyDiv w:val="1"/>
      <w:marLeft w:val="0"/>
      <w:marRight w:val="0"/>
      <w:marTop w:val="0"/>
      <w:marBottom w:val="0"/>
      <w:divBdr>
        <w:top w:val="none" w:sz="0" w:space="0" w:color="auto"/>
        <w:left w:val="none" w:sz="0" w:space="0" w:color="auto"/>
        <w:bottom w:val="none" w:sz="0" w:space="0" w:color="auto"/>
        <w:right w:val="none" w:sz="0" w:space="0" w:color="auto"/>
      </w:divBdr>
    </w:div>
    <w:div w:id="1052536625">
      <w:bodyDiv w:val="1"/>
      <w:marLeft w:val="0"/>
      <w:marRight w:val="0"/>
      <w:marTop w:val="0"/>
      <w:marBottom w:val="0"/>
      <w:divBdr>
        <w:top w:val="none" w:sz="0" w:space="0" w:color="auto"/>
        <w:left w:val="none" w:sz="0" w:space="0" w:color="auto"/>
        <w:bottom w:val="none" w:sz="0" w:space="0" w:color="auto"/>
        <w:right w:val="none" w:sz="0" w:space="0" w:color="auto"/>
      </w:divBdr>
    </w:div>
    <w:div w:id="1054501177">
      <w:bodyDiv w:val="1"/>
      <w:marLeft w:val="0"/>
      <w:marRight w:val="0"/>
      <w:marTop w:val="0"/>
      <w:marBottom w:val="0"/>
      <w:divBdr>
        <w:top w:val="none" w:sz="0" w:space="0" w:color="auto"/>
        <w:left w:val="none" w:sz="0" w:space="0" w:color="auto"/>
        <w:bottom w:val="none" w:sz="0" w:space="0" w:color="auto"/>
        <w:right w:val="none" w:sz="0" w:space="0" w:color="auto"/>
      </w:divBdr>
    </w:div>
    <w:div w:id="1056389487">
      <w:bodyDiv w:val="1"/>
      <w:marLeft w:val="0"/>
      <w:marRight w:val="0"/>
      <w:marTop w:val="0"/>
      <w:marBottom w:val="0"/>
      <w:divBdr>
        <w:top w:val="none" w:sz="0" w:space="0" w:color="auto"/>
        <w:left w:val="none" w:sz="0" w:space="0" w:color="auto"/>
        <w:bottom w:val="none" w:sz="0" w:space="0" w:color="auto"/>
        <w:right w:val="none" w:sz="0" w:space="0" w:color="auto"/>
      </w:divBdr>
    </w:div>
    <w:div w:id="1057170759">
      <w:bodyDiv w:val="1"/>
      <w:marLeft w:val="0"/>
      <w:marRight w:val="0"/>
      <w:marTop w:val="0"/>
      <w:marBottom w:val="0"/>
      <w:divBdr>
        <w:top w:val="none" w:sz="0" w:space="0" w:color="auto"/>
        <w:left w:val="none" w:sz="0" w:space="0" w:color="auto"/>
        <w:bottom w:val="none" w:sz="0" w:space="0" w:color="auto"/>
        <w:right w:val="none" w:sz="0" w:space="0" w:color="auto"/>
      </w:divBdr>
    </w:div>
    <w:div w:id="1057431464">
      <w:bodyDiv w:val="1"/>
      <w:marLeft w:val="0"/>
      <w:marRight w:val="0"/>
      <w:marTop w:val="0"/>
      <w:marBottom w:val="0"/>
      <w:divBdr>
        <w:top w:val="none" w:sz="0" w:space="0" w:color="auto"/>
        <w:left w:val="none" w:sz="0" w:space="0" w:color="auto"/>
        <w:bottom w:val="none" w:sz="0" w:space="0" w:color="auto"/>
        <w:right w:val="none" w:sz="0" w:space="0" w:color="auto"/>
      </w:divBdr>
    </w:div>
    <w:div w:id="1057510444">
      <w:bodyDiv w:val="1"/>
      <w:marLeft w:val="0"/>
      <w:marRight w:val="0"/>
      <w:marTop w:val="0"/>
      <w:marBottom w:val="0"/>
      <w:divBdr>
        <w:top w:val="none" w:sz="0" w:space="0" w:color="auto"/>
        <w:left w:val="none" w:sz="0" w:space="0" w:color="auto"/>
        <w:bottom w:val="none" w:sz="0" w:space="0" w:color="auto"/>
        <w:right w:val="none" w:sz="0" w:space="0" w:color="auto"/>
      </w:divBdr>
    </w:div>
    <w:div w:id="1065376194">
      <w:bodyDiv w:val="1"/>
      <w:marLeft w:val="0"/>
      <w:marRight w:val="0"/>
      <w:marTop w:val="0"/>
      <w:marBottom w:val="0"/>
      <w:divBdr>
        <w:top w:val="none" w:sz="0" w:space="0" w:color="auto"/>
        <w:left w:val="none" w:sz="0" w:space="0" w:color="auto"/>
        <w:bottom w:val="none" w:sz="0" w:space="0" w:color="auto"/>
        <w:right w:val="none" w:sz="0" w:space="0" w:color="auto"/>
      </w:divBdr>
    </w:div>
    <w:div w:id="1065832671">
      <w:bodyDiv w:val="1"/>
      <w:marLeft w:val="0"/>
      <w:marRight w:val="0"/>
      <w:marTop w:val="0"/>
      <w:marBottom w:val="0"/>
      <w:divBdr>
        <w:top w:val="none" w:sz="0" w:space="0" w:color="auto"/>
        <w:left w:val="none" w:sz="0" w:space="0" w:color="auto"/>
        <w:bottom w:val="none" w:sz="0" w:space="0" w:color="auto"/>
        <w:right w:val="none" w:sz="0" w:space="0" w:color="auto"/>
      </w:divBdr>
    </w:div>
    <w:div w:id="1065909778">
      <w:bodyDiv w:val="1"/>
      <w:marLeft w:val="0"/>
      <w:marRight w:val="0"/>
      <w:marTop w:val="0"/>
      <w:marBottom w:val="0"/>
      <w:divBdr>
        <w:top w:val="none" w:sz="0" w:space="0" w:color="auto"/>
        <w:left w:val="none" w:sz="0" w:space="0" w:color="auto"/>
        <w:bottom w:val="none" w:sz="0" w:space="0" w:color="auto"/>
        <w:right w:val="none" w:sz="0" w:space="0" w:color="auto"/>
      </w:divBdr>
    </w:div>
    <w:div w:id="1067070237">
      <w:bodyDiv w:val="1"/>
      <w:marLeft w:val="0"/>
      <w:marRight w:val="0"/>
      <w:marTop w:val="0"/>
      <w:marBottom w:val="0"/>
      <w:divBdr>
        <w:top w:val="none" w:sz="0" w:space="0" w:color="auto"/>
        <w:left w:val="none" w:sz="0" w:space="0" w:color="auto"/>
        <w:bottom w:val="none" w:sz="0" w:space="0" w:color="auto"/>
        <w:right w:val="none" w:sz="0" w:space="0" w:color="auto"/>
      </w:divBdr>
    </w:div>
    <w:div w:id="1069352399">
      <w:bodyDiv w:val="1"/>
      <w:marLeft w:val="0"/>
      <w:marRight w:val="0"/>
      <w:marTop w:val="0"/>
      <w:marBottom w:val="0"/>
      <w:divBdr>
        <w:top w:val="none" w:sz="0" w:space="0" w:color="auto"/>
        <w:left w:val="none" w:sz="0" w:space="0" w:color="auto"/>
        <w:bottom w:val="none" w:sz="0" w:space="0" w:color="auto"/>
        <w:right w:val="none" w:sz="0" w:space="0" w:color="auto"/>
      </w:divBdr>
    </w:div>
    <w:div w:id="1072503837">
      <w:bodyDiv w:val="1"/>
      <w:marLeft w:val="0"/>
      <w:marRight w:val="0"/>
      <w:marTop w:val="0"/>
      <w:marBottom w:val="0"/>
      <w:divBdr>
        <w:top w:val="none" w:sz="0" w:space="0" w:color="auto"/>
        <w:left w:val="none" w:sz="0" w:space="0" w:color="auto"/>
        <w:bottom w:val="none" w:sz="0" w:space="0" w:color="auto"/>
        <w:right w:val="none" w:sz="0" w:space="0" w:color="auto"/>
      </w:divBdr>
    </w:div>
    <w:div w:id="1072652920">
      <w:bodyDiv w:val="1"/>
      <w:marLeft w:val="0"/>
      <w:marRight w:val="0"/>
      <w:marTop w:val="0"/>
      <w:marBottom w:val="0"/>
      <w:divBdr>
        <w:top w:val="none" w:sz="0" w:space="0" w:color="auto"/>
        <w:left w:val="none" w:sz="0" w:space="0" w:color="auto"/>
        <w:bottom w:val="none" w:sz="0" w:space="0" w:color="auto"/>
        <w:right w:val="none" w:sz="0" w:space="0" w:color="auto"/>
      </w:divBdr>
    </w:div>
    <w:div w:id="1073237314">
      <w:bodyDiv w:val="1"/>
      <w:marLeft w:val="0"/>
      <w:marRight w:val="0"/>
      <w:marTop w:val="0"/>
      <w:marBottom w:val="0"/>
      <w:divBdr>
        <w:top w:val="none" w:sz="0" w:space="0" w:color="auto"/>
        <w:left w:val="none" w:sz="0" w:space="0" w:color="auto"/>
        <w:bottom w:val="none" w:sz="0" w:space="0" w:color="auto"/>
        <w:right w:val="none" w:sz="0" w:space="0" w:color="auto"/>
      </w:divBdr>
    </w:div>
    <w:div w:id="1074935323">
      <w:bodyDiv w:val="1"/>
      <w:marLeft w:val="0"/>
      <w:marRight w:val="0"/>
      <w:marTop w:val="0"/>
      <w:marBottom w:val="0"/>
      <w:divBdr>
        <w:top w:val="none" w:sz="0" w:space="0" w:color="auto"/>
        <w:left w:val="none" w:sz="0" w:space="0" w:color="auto"/>
        <w:bottom w:val="none" w:sz="0" w:space="0" w:color="auto"/>
        <w:right w:val="none" w:sz="0" w:space="0" w:color="auto"/>
      </w:divBdr>
    </w:div>
    <w:div w:id="1075937138">
      <w:bodyDiv w:val="1"/>
      <w:marLeft w:val="0"/>
      <w:marRight w:val="0"/>
      <w:marTop w:val="0"/>
      <w:marBottom w:val="0"/>
      <w:divBdr>
        <w:top w:val="none" w:sz="0" w:space="0" w:color="auto"/>
        <w:left w:val="none" w:sz="0" w:space="0" w:color="auto"/>
        <w:bottom w:val="none" w:sz="0" w:space="0" w:color="auto"/>
        <w:right w:val="none" w:sz="0" w:space="0" w:color="auto"/>
      </w:divBdr>
    </w:div>
    <w:div w:id="1076902343">
      <w:bodyDiv w:val="1"/>
      <w:marLeft w:val="0"/>
      <w:marRight w:val="0"/>
      <w:marTop w:val="0"/>
      <w:marBottom w:val="0"/>
      <w:divBdr>
        <w:top w:val="none" w:sz="0" w:space="0" w:color="auto"/>
        <w:left w:val="none" w:sz="0" w:space="0" w:color="auto"/>
        <w:bottom w:val="none" w:sz="0" w:space="0" w:color="auto"/>
        <w:right w:val="none" w:sz="0" w:space="0" w:color="auto"/>
      </w:divBdr>
    </w:div>
    <w:div w:id="1078793118">
      <w:bodyDiv w:val="1"/>
      <w:marLeft w:val="0"/>
      <w:marRight w:val="0"/>
      <w:marTop w:val="0"/>
      <w:marBottom w:val="0"/>
      <w:divBdr>
        <w:top w:val="none" w:sz="0" w:space="0" w:color="auto"/>
        <w:left w:val="none" w:sz="0" w:space="0" w:color="auto"/>
        <w:bottom w:val="none" w:sz="0" w:space="0" w:color="auto"/>
        <w:right w:val="none" w:sz="0" w:space="0" w:color="auto"/>
      </w:divBdr>
    </w:div>
    <w:div w:id="1085418999">
      <w:bodyDiv w:val="1"/>
      <w:marLeft w:val="0"/>
      <w:marRight w:val="0"/>
      <w:marTop w:val="0"/>
      <w:marBottom w:val="0"/>
      <w:divBdr>
        <w:top w:val="none" w:sz="0" w:space="0" w:color="auto"/>
        <w:left w:val="none" w:sz="0" w:space="0" w:color="auto"/>
        <w:bottom w:val="none" w:sz="0" w:space="0" w:color="auto"/>
        <w:right w:val="none" w:sz="0" w:space="0" w:color="auto"/>
      </w:divBdr>
    </w:div>
    <w:div w:id="1088424928">
      <w:bodyDiv w:val="1"/>
      <w:marLeft w:val="0"/>
      <w:marRight w:val="0"/>
      <w:marTop w:val="0"/>
      <w:marBottom w:val="0"/>
      <w:divBdr>
        <w:top w:val="none" w:sz="0" w:space="0" w:color="auto"/>
        <w:left w:val="none" w:sz="0" w:space="0" w:color="auto"/>
        <w:bottom w:val="none" w:sz="0" w:space="0" w:color="auto"/>
        <w:right w:val="none" w:sz="0" w:space="0" w:color="auto"/>
      </w:divBdr>
    </w:div>
    <w:div w:id="1092118418">
      <w:bodyDiv w:val="1"/>
      <w:marLeft w:val="0"/>
      <w:marRight w:val="0"/>
      <w:marTop w:val="0"/>
      <w:marBottom w:val="0"/>
      <w:divBdr>
        <w:top w:val="none" w:sz="0" w:space="0" w:color="auto"/>
        <w:left w:val="none" w:sz="0" w:space="0" w:color="auto"/>
        <w:bottom w:val="none" w:sz="0" w:space="0" w:color="auto"/>
        <w:right w:val="none" w:sz="0" w:space="0" w:color="auto"/>
      </w:divBdr>
    </w:div>
    <w:div w:id="1092165020">
      <w:bodyDiv w:val="1"/>
      <w:marLeft w:val="0"/>
      <w:marRight w:val="0"/>
      <w:marTop w:val="0"/>
      <w:marBottom w:val="0"/>
      <w:divBdr>
        <w:top w:val="none" w:sz="0" w:space="0" w:color="auto"/>
        <w:left w:val="none" w:sz="0" w:space="0" w:color="auto"/>
        <w:bottom w:val="none" w:sz="0" w:space="0" w:color="auto"/>
        <w:right w:val="none" w:sz="0" w:space="0" w:color="auto"/>
      </w:divBdr>
    </w:div>
    <w:div w:id="1093010650">
      <w:bodyDiv w:val="1"/>
      <w:marLeft w:val="0"/>
      <w:marRight w:val="0"/>
      <w:marTop w:val="0"/>
      <w:marBottom w:val="0"/>
      <w:divBdr>
        <w:top w:val="none" w:sz="0" w:space="0" w:color="auto"/>
        <w:left w:val="none" w:sz="0" w:space="0" w:color="auto"/>
        <w:bottom w:val="none" w:sz="0" w:space="0" w:color="auto"/>
        <w:right w:val="none" w:sz="0" w:space="0" w:color="auto"/>
      </w:divBdr>
    </w:div>
    <w:div w:id="1094669149">
      <w:bodyDiv w:val="1"/>
      <w:marLeft w:val="0"/>
      <w:marRight w:val="0"/>
      <w:marTop w:val="0"/>
      <w:marBottom w:val="0"/>
      <w:divBdr>
        <w:top w:val="none" w:sz="0" w:space="0" w:color="auto"/>
        <w:left w:val="none" w:sz="0" w:space="0" w:color="auto"/>
        <w:bottom w:val="none" w:sz="0" w:space="0" w:color="auto"/>
        <w:right w:val="none" w:sz="0" w:space="0" w:color="auto"/>
      </w:divBdr>
    </w:div>
    <w:div w:id="1094859030">
      <w:bodyDiv w:val="1"/>
      <w:marLeft w:val="0"/>
      <w:marRight w:val="0"/>
      <w:marTop w:val="0"/>
      <w:marBottom w:val="0"/>
      <w:divBdr>
        <w:top w:val="none" w:sz="0" w:space="0" w:color="auto"/>
        <w:left w:val="none" w:sz="0" w:space="0" w:color="auto"/>
        <w:bottom w:val="none" w:sz="0" w:space="0" w:color="auto"/>
        <w:right w:val="none" w:sz="0" w:space="0" w:color="auto"/>
      </w:divBdr>
    </w:div>
    <w:div w:id="1095636028">
      <w:bodyDiv w:val="1"/>
      <w:marLeft w:val="0"/>
      <w:marRight w:val="0"/>
      <w:marTop w:val="0"/>
      <w:marBottom w:val="0"/>
      <w:divBdr>
        <w:top w:val="none" w:sz="0" w:space="0" w:color="auto"/>
        <w:left w:val="none" w:sz="0" w:space="0" w:color="auto"/>
        <w:bottom w:val="none" w:sz="0" w:space="0" w:color="auto"/>
        <w:right w:val="none" w:sz="0" w:space="0" w:color="auto"/>
      </w:divBdr>
    </w:div>
    <w:div w:id="1097677739">
      <w:bodyDiv w:val="1"/>
      <w:marLeft w:val="0"/>
      <w:marRight w:val="0"/>
      <w:marTop w:val="0"/>
      <w:marBottom w:val="0"/>
      <w:divBdr>
        <w:top w:val="none" w:sz="0" w:space="0" w:color="auto"/>
        <w:left w:val="none" w:sz="0" w:space="0" w:color="auto"/>
        <w:bottom w:val="none" w:sz="0" w:space="0" w:color="auto"/>
        <w:right w:val="none" w:sz="0" w:space="0" w:color="auto"/>
      </w:divBdr>
    </w:div>
    <w:div w:id="1097794868">
      <w:bodyDiv w:val="1"/>
      <w:marLeft w:val="0"/>
      <w:marRight w:val="0"/>
      <w:marTop w:val="0"/>
      <w:marBottom w:val="0"/>
      <w:divBdr>
        <w:top w:val="none" w:sz="0" w:space="0" w:color="auto"/>
        <w:left w:val="none" w:sz="0" w:space="0" w:color="auto"/>
        <w:bottom w:val="none" w:sz="0" w:space="0" w:color="auto"/>
        <w:right w:val="none" w:sz="0" w:space="0" w:color="auto"/>
      </w:divBdr>
    </w:div>
    <w:div w:id="1100223034">
      <w:bodyDiv w:val="1"/>
      <w:marLeft w:val="0"/>
      <w:marRight w:val="0"/>
      <w:marTop w:val="0"/>
      <w:marBottom w:val="0"/>
      <w:divBdr>
        <w:top w:val="none" w:sz="0" w:space="0" w:color="auto"/>
        <w:left w:val="none" w:sz="0" w:space="0" w:color="auto"/>
        <w:bottom w:val="none" w:sz="0" w:space="0" w:color="auto"/>
        <w:right w:val="none" w:sz="0" w:space="0" w:color="auto"/>
      </w:divBdr>
    </w:div>
    <w:div w:id="1102146632">
      <w:bodyDiv w:val="1"/>
      <w:marLeft w:val="0"/>
      <w:marRight w:val="0"/>
      <w:marTop w:val="0"/>
      <w:marBottom w:val="0"/>
      <w:divBdr>
        <w:top w:val="none" w:sz="0" w:space="0" w:color="auto"/>
        <w:left w:val="none" w:sz="0" w:space="0" w:color="auto"/>
        <w:bottom w:val="none" w:sz="0" w:space="0" w:color="auto"/>
        <w:right w:val="none" w:sz="0" w:space="0" w:color="auto"/>
      </w:divBdr>
    </w:div>
    <w:div w:id="1103653381">
      <w:bodyDiv w:val="1"/>
      <w:marLeft w:val="0"/>
      <w:marRight w:val="0"/>
      <w:marTop w:val="0"/>
      <w:marBottom w:val="0"/>
      <w:divBdr>
        <w:top w:val="none" w:sz="0" w:space="0" w:color="auto"/>
        <w:left w:val="none" w:sz="0" w:space="0" w:color="auto"/>
        <w:bottom w:val="none" w:sz="0" w:space="0" w:color="auto"/>
        <w:right w:val="none" w:sz="0" w:space="0" w:color="auto"/>
      </w:divBdr>
    </w:div>
    <w:div w:id="1104492747">
      <w:bodyDiv w:val="1"/>
      <w:marLeft w:val="0"/>
      <w:marRight w:val="0"/>
      <w:marTop w:val="0"/>
      <w:marBottom w:val="0"/>
      <w:divBdr>
        <w:top w:val="none" w:sz="0" w:space="0" w:color="auto"/>
        <w:left w:val="none" w:sz="0" w:space="0" w:color="auto"/>
        <w:bottom w:val="none" w:sz="0" w:space="0" w:color="auto"/>
        <w:right w:val="none" w:sz="0" w:space="0" w:color="auto"/>
      </w:divBdr>
    </w:div>
    <w:div w:id="1105731349">
      <w:bodyDiv w:val="1"/>
      <w:marLeft w:val="0"/>
      <w:marRight w:val="0"/>
      <w:marTop w:val="0"/>
      <w:marBottom w:val="0"/>
      <w:divBdr>
        <w:top w:val="none" w:sz="0" w:space="0" w:color="auto"/>
        <w:left w:val="none" w:sz="0" w:space="0" w:color="auto"/>
        <w:bottom w:val="none" w:sz="0" w:space="0" w:color="auto"/>
        <w:right w:val="none" w:sz="0" w:space="0" w:color="auto"/>
      </w:divBdr>
    </w:div>
    <w:div w:id="1106341802">
      <w:bodyDiv w:val="1"/>
      <w:marLeft w:val="0"/>
      <w:marRight w:val="0"/>
      <w:marTop w:val="0"/>
      <w:marBottom w:val="0"/>
      <w:divBdr>
        <w:top w:val="none" w:sz="0" w:space="0" w:color="auto"/>
        <w:left w:val="none" w:sz="0" w:space="0" w:color="auto"/>
        <w:bottom w:val="none" w:sz="0" w:space="0" w:color="auto"/>
        <w:right w:val="none" w:sz="0" w:space="0" w:color="auto"/>
      </w:divBdr>
    </w:div>
    <w:div w:id="1106655126">
      <w:bodyDiv w:val="1"/>
      <w:marLeft w:val="0"/>
      <w:marRight w:val="0"/>
      <w:marTop w:val="0"/>
      <w:marBottom w:val="0"/>
      <w:divBdr>
        <w:top w:val="none" w:sz="0" w:space="0" w:color="auto"/>
        <w:left w:val="none" w:sz="0" w:space="0" w:color="auto"/>
        <w:bottom w:val="none" w:sz="0" w:space="0" w:color="auto"/>
        <w:right w:val="none" w:sz="0" w:space="0" w:color="auto"/>
      </w:divBdr>
    </w:div>
    <w:div w:id="1107314000">
      <w:bodyDiv w:val="1"/>
      <w:marLeft w:val="0"/>
      <w:marRight w:val="0"/>
      <w:marTop w:val="0"/>
      <w:marBottom w:val="0"/>
      <w:divBdr>
        <w:top w:val="none" w:sz="0" w:space="0" w:color="auto"/>
        <w:left w:val="none" w:sz="0" w:space="0" w:color="auto"/>
        <w:bottom w:val="none" w:sz="0" w:space="0" w:color="auto"/>
        <w:right w:val="none" w:sz="0" w:space="0" w:color="auto"/>
      </w:divBdr>
    </w:div>
    <w:div w:id="1108625778">
      <w:bodyDiv w:val="1"/>
      <w:marLeft w:val="0"/>
      <w:marRight w:val="0"/>
      <w:marTop w:val="0"/>
      <w:marBottom w:val="0"/>
      <w:divBdr>
        <w:top w:val="none" w:sz="0" w:space="0" w:color="auto"/>
        <w:left w:val="none" w:sz="0" w:space="0" w:color="auto"/>
        <w:bottom w:val="none" w:sz="0" w:space="0" w:color="auto"/>
        <w:right w:val="none" w:sz="0" w:space="0" w:color="auto"/>
      </w:divBdr>
    </w:div>
    <w:div w:id="1109933767">
      <w:bodyDiv w:val="1"/>
      <w:marLeft w:val="0"/>
      <w:marRight w:val="0"/>
      <w:marTop w:val="0"/>
      <w:marBottom w:val="0"/>
      <w:divBdr>
        <w:top w:val="none" w:sz="0" w:space="0" w:color="auto"/>
        <w:left w:val="none" w:sz="0" w:space="0" w:color="auto"/>
        <w:bottom w:val="none" w:sz="0" w:space="0" w:color="auto"/>
        <w:right w:val="none" w:sz="0" w:space="0" w:color="auto"/>
      </w:divBdr>
    </w:div>
    <w:div w:id="1110272437">
      <w:bodyDiv w:val="1"/>
      <w:marLeft w:val="0"/>
      <w:marRight w:val="0"/>
      <w:marTop w:val="0"/>
      <w:marBottom w:val="0"/>
      <w:divBdr>
        <w:top w:val="none" w:sz="0" w:space="0" w:color="auto"/>
        <w:left w:val="none" w:sz="0" w:space="0" w:color="auto"/>
        <w:bottom w:val="none" w:sz="0" w:space="0" w:color="auto"/>
        <w:right w:val="none" w:sz="0" w:space="0" w:color="auto"/>
      </w:divBdr>
    </w:div>
    <w:div w:id="1111390671">
      <w:bodyDiv w:val="1"/>
      <w:marLeft w:val="0"/>
      <w:marRight w:val="0"/>
      <w:marTop w:val="0"/>
      <w:marBottom w:val="0"/>
      <w:divBdr>
        <w:top w:val="none" w:sz="0" w:space="0" w:color="auto"/>
        <w:left w:val="none" w:sz="0" w:space="0" w:color="auto"/>
        <w:bottom w:val="none" w:sz="0" w:space="0" w:color="auto"/>
        <w:right w:val="none" w:sz="0" w:space="0" w:color="auto"/>
      </w:divBdr>
    </w:div>
    <w:div w:id="1112358029">
      <w:bodyDiv w:val="1"/>
      <w:marLeft w:val="0"/>
      <w:marRight w:val="0"/>
      <w:marTop w:val="0"/>
      <w:marBottom w:val="0"/>
      <w:divBdr>
        <w:top w:val="none" w:sz="0" w:space="0" w:color="auto"/>
        <w:left w:val="none" w:sz="0" w:space="0" w:color="auto"/>
        <w:bottom w:val="none" w:sz="0" w:space="0" w:color="auto"/>
        <w:right w:val="none" w:sz="0" w:space="0" w:color="auto"/>
      </w:divBdr>
    </w:div>
    <w:div w:id="1112553666">
      <w:bodyDiv w:val="1"/>
      <w:marLeft w:val="0"/>
      <w:marRight w:val="0"/>
      <w:marTop w:val="0"/>
      <w:marBottom w:val="0"/>
      <w:divBdr>
        <w:top w:val="none" w:sz="0" w:space="0" w:color="auto"/>
        <w:left w:val="none" w:sz="0" w:space="0" w:color="auto"/>
        <w:bottom w:val="none" w:sz="0" w:space="0" w:color="auto"/>
        <w:right w:val="none" w:sz="0" w:space="0" w:color="auto"/>
      </w:divBdr>
    </w:div>
    <w:div w:id="1116632553">
      <w:bodyDiv w:val="1"/>
      <w:marLeft w:val="0"/>
      <w:marRight w:val="0"/>
      <w:marTop w:val="0"/>
      <w:marBottom w:val="0"/>
      <w:divBdr>
        <w:top w:val="none" w:sz="0" w:space="0" w:color="auto"/>
        <w:left w:val="none" w:sz="0" w:space="0" w:color="auto"/>
        <w:bottom w:val="none" w:sz="0" w:space="0" w:color="auto"/>
        <w:right w:val="none" w:sz="0" w:space="0" w:color="auto"/>
      </w:divBdr>
    </w:div>
    <w:div w:id="1116681394">
      <w:bodyDiv w:val="1"/>
      <w:marLeft w:val="0"/>
      <w:marRight w:val="0"/>
      <w:marTop w:val="0"/>
      <w:marBottom w:val="0"/>
      <w:divBdr>
        <w:top w:val="none" w:sz="0" w:space="0" w:color="auto"/>
        <w:left w:val="none" w:sz="0" w:space="0" w:color="auto"/>
        <w:bottom w:val="none" w:sz="0" w:space="0" w:color="auto"/>
        <w:right w:val="none" w:sz="0" w:space="0" w:color="auto"/>
      </w:divBdr>
    </w:div>
    <w:div w:id="1117602341">
      <w:bodyDiv w:val="1"/>
      <w:marLeft w:val="0"/>
      <w:marRight w:val="0"/>
      <w:marTop w:val="0"/>
      <w:marBottom w:val="0"/>
      <w:divBdr>
        <w:top w:val="none" w:sz="0" w:space="0" w:color="auto"/>
        <w:left w:val="none" w:sz="0" w:space="0" w:color="auto"/>
        <w:bottom w:val="none" w:sz="0" w:space="0" w:color="auto"/>
        <w:right w:val="none" w:sz="0" w:space="0" w:color="auto"/>
      </w:divBdr>
    </w:div>
    <w:div w:id="1117945098">
      <w:bodyDiv w:val="1"/>
      <w:marLeft w:val="0"/>
      <w:marRight w:val="0"/>
      <w:marTop w:val="0"/>
      <w:marBottom w:val="0"/>
      <w:divBdr>
        <w:top w:val="none" w:sz="0" w:space="0" w:color="auto"/>
        <w:left w:val="none" w:sz="0" w:space="0" w:color="auto"/>
        <w:bottom w:val="none" w:sz="0" w:space="0" w:color="auto"/>
        <w:right w:val="none" w:sz="0" w:space="0" w:color="auto"/>
      </w:divBdr>
    </w:div>
    <w:div w:id="1120488316">
      <w:bodyDiv w:val="1"/>
      <w:marLeft w:val="0"/>
      <w:marRight w:val="0"/>
      <w:marTop w:val="0"/>
      <w:marBottom w:val="0"/>
      <w:divBdr>
        <w:top w:val="none" w:sz="0" w:space="0" w:color="auto"/>
        <w:left w:val="none" w:sz="0" w:space="0" w:color="auto"/>
        <w:bottom w:val="none" w:sz="0" w:space="0" w:color="auto"/>
        <w:right w:val="none" w:sz="0" w:space="0" w:color="auto"/>
      </w:divBdr>
    </w:div>
    <w:div w:id="1124883873">
      <w:bodyDiv w:val="1"/>
      <w:marLeft w:val="0"/>
      <w:marRight w:val="0"/>
      <w:marTop w:val="0"/>
      <w:marBottom w:val="0"/>
      <w:divBdr>
        <w:top w:val="none" w:sz="0" w:space="0" w:color="auto"/>
        <w:left w:val="none" w:sz="0" w:space="0" w:color="auto"/>
        <w:bottom w:val="none" w:sz="0" w:space="0" w:color="auto"/>
        <w:right w:val="none" w:sz="0" w:space="0" w:color="auto"/>
      </w:divBdr>
    </w:div>
    <w:div w:id="1125349198">
      <w:bodyDiv w:val="1"/>
      <w:marLeft w:val="0"/>
      <w:marRight w:val="0"/>
      <w:marTop w:val="0"/>
      <w:marBottom w:val="0"/>
      <w:divBdr>
        <w:top w:val="none" w:sz="0" w:space="0" w:color="auto"/>
        <w:left w:val="none" w:sz="0" w:space="0" w:color="auto"/>
        <w:bottom w:val="none" w:sz="0" w:space="0" w:color="auto"/>
        <w:right w:val="none" w:sz="0" w:space="0" w:color="auto"/>
      </w:divBdr>
    </w:div>
    <w:div w:id="1132598803">
      <w:bodyDiv w:val="1"/>
      <w:marLeft w:val="0"/>
      <w:marRight w:val="0"/>
      <w:marTop w:val="0"/>
      <w:marBottom w:val="0"/>
      <w:divBdr>
        <w:top w:val="none" w:sz="0" w:space="0" w:color="auto"/>
        <w:left w:val="none" w:sz="0" w:space="0" w:color="auto"/>
        <w:bottom w:val="none" w:sz="0" w:space="0" w:color="auto"/>
        <w:right w:val="none" w:sz="0" w:space="0" w:color="auto"/>
      </w:divBdr>
    </w:div>
    <w:div w:id="1134716041">
      <w:bodyDiv w:val="1"/>
      <w:marLeft w:val="0"/>
      <w:marRight w:val="0"/>
      <w:marTop w:val="0"/>
      <w:marBottom w:val="0"/>
      <w:divBdr>
        <w:top w:val="none" w:sz="0" w:space="0" w:color="auto"/>
        <w:left w:val="none" w:sz="0" w:space="0" w:color="auto"/>
        <w:bottom w:val="none" w:sz="0" w:space="0" w:color="auto"/>
        <w:right w:val="none" w:sz="0" w:space="0" w:color="auto"/>
      </w:divBdr>
    </w:div>
    <w:div w:id="1135639313">
      <w:bodyDiv w:val="1"/>
      <w:marLeft w:val="0"/>
      <w:marRight w:val="0"/>
      <w:marTop w:val="0"/>
      <w:marBottom w:val="0"/>
      <w:divBdr>
        <w:top w:val="none" w:sz="0" w:space="0" w:color="auto"/>
        <w:left w:val="none" w:sz="0" w:space="0" w:color="auto"/>
        <w:bottom w:val="none" w:sz="0" w:space="0" w:color="auto"/>
        <w:right w:val="none" w:sz="0" w:space="0" w:color="auto"/>
      </w:divBdr>
    </w:div>
    <w:div w:id="1136525851">
      <w:bodyDiv w:val="1"/>
      <w:marLeft w:val="0"/>
      <w:marRight w:val="0"/>
      <w:marTop w:val="0"/>
      <w:marBottom w:val="0"/>
      <w:divBdr>
        <w:top w:val="none" w:sz="0" w:space="0" w:color="auto"/>
        <w:left w:val="none" w:sz="0" w:space="0" w:color="auto"/>
        <w:bottom w:val="none" w:sz="0" w:space="0" w:color="auto"/>
        <w:right w:val="none" w:sz="0" w:space="0" w:color="auto"/>
      </w:divBdr>
    </w:div>
    <w:div w:id="1137146784">
      <w:bodyDiv w:val="1"/>
      <w:marLeft w:val="0"/>
      <w:marRight w:val="0"/>
      <w:marTop w:val="0"/>
      <w:marBottom w:val="0"/>
      <w:divBdr>
        <w:top w:val="none" w:sz="0" w:space="0" w:color="auto"/>
        <w:left w:val="none" w:sz="0" w:space="0" w:color="auto"/>
        <w:bottom w:val="none" w:sz="0" w:space="0" w:color="auto"/>
        <w:right w:val="none" w:sz="0" w:space="0" w:color="auto"/>
      </w:divBdr>
    </w:div>
    <w:div w:id="1139807661">
      <w:bodyDiv w:val="1"/>
      <w:marLeft w:val="0"/>
      <w:marRight w:val="0"/>
      <w:marTop w:val="0"/>
      <w:marBottom w:val="0"/>
      <w:divBdr>
        <w:top w:val="none" w:sz="0" w:space="0" w:color="auto"/>
        <w:left w:val="none" w:sz="0" w:space="0" w:color="auto"/>
        <w:bottom w:val="none" w:sz="0" w:space="0" w:color="auto"/>
        <w:right w:val="none" w:sz="0" w:space="0" w:color="auto"/>
      </w:divBdr>
    </w:div>
    <w:div w:id="1141114777">
      <w:bodyDiv w:val="1"/>
      <w:marLeft w:val="0"/>
      <w:marRight w:val="0"/>
      <w:marTop w:val="0"/>
      <w:marBottom w:val="0"/>
      <w:divBdr>
        <w:top w:val="none" w:sz="0" w:space="0" w:color="auto"/>
        <w:left w:val="none" w:sz="0" w:space="0" w:color="auto"/>
        <w:bottom w:val="none" w:sz="0" w:space="0" w:color="auto"/>
        <w:right w:val="none" w:sz="0" w:space="0" w:color="auto"/>
      </w:divBdr>
    </w:div>
    <w:div w:id="1142886763">
      <w:bodyDiv w:val="1"/>
      <w:marLeft w:val="0"/>
      <w:marRight w:val="0"/>
      <w:marTop w:val="0"/>
      <w:marBottom w:val="0"/>
      <w:divBdr>
        <w:top w:val="none" w:sz="0" w:space="0" w:color="auto"/>
        <w:left w:val="none" w:sz="0" w:space="0" w:color="auto"/>
        <w:bottom w:val="none" w:sz="0" w:space="0" w:color="auto"/>
        <w:right w:val="none" w:sz="0" w:space="0" w:color="auto"/>
      </w:divBdr>
    </w:div>
    <w:div w:id="1143549088">
      <w:bodyDiv w:val="1"/>
      <w:marLeft w:val="0"/>
      <w:marRight w:val="0"/>
      <w:marTop w:val="0"/>
      <w:marBottom w:val="0"/>
      <w:divBdr>
        <w:top w:val="none" w:sz="0" w:space="0" w:color="auto"/>
        <w:left w:val="none" w:sz="0" w:space="0" w:color="auto"/>
        <w:bottom w:val="none" w:sz="0" w:space="0" w:color="auto"/>
        <w:right w:val="none" w:sz="0" w:space="0" w:color="auto"/>
      </w:divBdr>
    </w:div>
    <w:div w:id="1144084607">
      <w:bodyDiv w:val="1"/>
      <w:marLeft w:val="0"/>
      <w:marRight w:val="0"/>
      <w:marTop w:val="0"/>
      <w:marBottom w:val="0"/>
      <w:divBdr>
        <w:top w:val="none" w:sz="0" w:space="0" w:color="auto"/>
        <w:left w:val="none" w:sz="0" w:space="0" w:color="auto"/>
        <w:bottom w:val="none" w:sz="0" w:space="0" w:color="auto"/>
        <w:right w:val="none" w:sz="0" w:space="0" w:color="auto"/>
      </w:divBdr>
    </w:div>
    <w:div w:id="1144934963">
      <w:bodyDiv w:val="1"/>
      <w:marLeft w:val="0"/>
      <w:marRight w:val="0"/>
      <w:marTop w:val="0"/>
      <w:marBottom w:val="0"/>
      <w:divBdr>
        <w:top w:val="none" w:sz="0" w:space="0" w:color="auto"/>
        <w:left w:val="none" w:sz="0" w:space="0" w:color="auto"/>
        <w:bottom w:val="none" w:sz="0" w:space="0" w:color="auto"/>
        <w:right w:val="none" w:sz="0" w:space="0" w:color="auto"/>
      </w:divBdr>
    </w:div>
    <w:div w:id="1145313400">
      <w:bodyDiv w:val="1"/>
      <w:marLeft w:val="0"/>
      <w:marRight w:val="0"/>
      <w:marTop w:val="0"/>
      <w:marBottom w:val="0"/>
      <w:divBdr>
        <w:top w:val="none" w:sz="0" w:space="0" w:color="auto"/>
        <w:left w:val="none" w:sz="0" w:space="0" w:color="auto"/>
        <w:bottom w:val="none" w:sz="0" w:space="0" w:color="auto"/>
        <w:right w:val="none" w:sz="0" w:space="0" w:color="auto"/>
      </w:divBdr>
    </w:div>
    <w:div w:id="1146121287">
      <w:bodyDiv w:val="1"/>
      <w:marLeft w:val="0"/>
      <w:marRight w:val="0"/>
      <w:marTop w:val="0"/>
      <w:marBottom w:val="0"/>
      <w:divBdr>
        <w:top w:val="none" w:sz="0" w:space="0" w:color="auto"/>
        <w:left w:val="none" w:sz="0" w:space="0" w:color="auto"/>
        <w:bottom w:val="none" w:sz="0" w:space="0" w:color="auto"/>
        <w:right w:val="none" w:sz="0" w:space="0" w:color="auto"/>
      </w:divBdr>
    </w:div>
    <w:div w:id="1146237631">
      <w:bodyDiv w:val="1"/>
      <w:marLeft w:val="0"/>
      <w:marRight w:val="0"/>
      <w:marTop w:val="0"/>
      <w:marBottom w:val="0"/>
      <w:divBdr>
        <w:top w:val="none" w:sz="0" w:space="0" w:color="auto"/>
        <w:left w:val="none" w:sz="0" w:space="0" w:color="auto"/>
        <w:bottom w:val="none" w:sz="0" w:space="0" w:color="auto"/>
        <w:right w:val="none" w:sz="0" w:space="0" w:color="auto"/>
      </w:divBdr>
    </w:div>
    <w:div w:id="1147012111">
      <w:bodyDiv w:val="1"/>
      <w:marLeft w:val="0"/>
      <w:marRight w:val="0"/>
      <w:marTop w:val="0"/>
      <w:marBottom w:val="0"/>
      <w:divBdr>
        <w:top w:val="none" w:sz="0" w:space="0" w:color="auto"/>
        <w:left w:val="none" w:sz="0" w:space="0" w:color="auto"/>
        <w:bottom w:val="none" w:sz="0" w:space="0" w:color="auto"/>
        <w:right w:val="none" w:sz="0" w:space="0" w:color="auto"/>
      </w:divBdr>
    </w:div>
    <w:div w:id="1149444721">
      <w:bodyDiv w:val="1"/>
      <w:marLeft w:val="0"/>
      <w:marRight w:val="0"/>
      <w:marTop w:val="0"/>
      <w:marBottom w:val="0"/>
      <w:divBdr>
        <w:top w:val="none" w:sz="0" w:space="0" w:color="auto"/>
        <w:left w:val="none" w:sz="0" w:space="0" w:color="auto"/>
        <w:bottom w:val="none" w:sz="0" w:space="0" w:color="auto"/>
        <w:right w:val="none" w:sz="0" w:space="0" w:color="auto"/>
      </w:divBdr>
    </w:div>
    <w:div w:id="1150052635">
      <w:bodyDiv w:val="1"/>
      <w:marLeft w:val="0"/>
      <w:marRight w:val="0"/>
      <w:marTop w:val="0"/>
      <w:marBottom w:val="0"/>
      <w:divBdr>
        <w:top w:val="none" w:sz="0" w:space="0" w:color="auto"/>
        <w:left w:val="none" w:sz="0" w:space="0" w:color="auto"/>
        <w:bottom w:val="none" w:sz="0" w:space="0" w:color="auto"/>
        <w:right w:val="none" w:sz="0" w:space="0" w:color="auto"/>
      </w:divBdr>
    </w:div>
    <w:div w:id="1152523866">
      <w:bodyDiv w:val="1"/>
      <w:marLeft w:val="0"/>
      <w:marRight w:val="0"/>
      <w:marTop w:val="0"/>
      <w:marBottom w:val="0"/>
      <w:divBdr>
        <w:top w:val="none" w:sz="0" w:space="0" w:color="auto"/>
        <w:left w:val="none" w:sz="0" w:space="0" w:color="auto"/>
        <w:bottom w:val="none" w:sz="0" w:space="0" w:color="auto"/>
        <w:right w:val="none" w:sz="0" w:space="0" w:color="auto"/>
      </w:divBdr>
    </w:div>
    <w:div w:id="1155606140">
      <w:bodyDiv w:val="1"/>
      <w:marLeft w:val="0"/>
      <w:marRight w:val="0"/>
      <w:marTop w:val="0"/>
      <w:marBottom w:val="0"/>
      <w:divBdr>
        <w:top w:val="none" w:sz="0" w:space="0" w:color="auto"/>
        <w:left w:val="none" w:sz="0" w:space="0" w:color="auto"/>
        <w:bottom w:val="none" w:sz="0" w:space="0" w:color="auto"/>
        <w:right w:val="none" w:sz="0" w:space="0" w:color="auto"/>
      </w:divBdr>
    </w:div>
    <w:div w:id="1161896119">
      <w:bodyDiv w:val="1"/>
      <w:marLeft w:val="0"/>
      <w:marRight w:val="0"/>
      <w:marTop w:val="0"/>
      <w:marBottom w:val="0"/>
      <w:divBdr>
        <w:top w:val="none" w:sz="0" w:space="0" w:color="auto"/>
        <w:left w:val="none" w:sz="0" w:space="0" w:color="auto"/>
        <w:bottom w:val="none" w:sz="0" w:space="0" w:color="auto"/>
        <w:right w:val="none" w:sz="0" w:space="0" w:color="auto"/>
      </w:divBdr>
    </w:div>
    <w:div w:id="1162356374">
      <w:bodyDiv w:val="1"/>
      <w:marLeft w:val="0"/>
      <w:marRight w:val="0"/>
      <w:marTop w:val="0"/>
      <w:marBottom w:val="0"/>
      <w:divBdr>
        <w:top w:val="none" w:sz="0" w:space="0" w:color="auto"/>
        <w:left w:val="none" w:sz="0" w:space="0" w:color="auto"/>
        <w:bottom w:val="none" w:sz="0" w:space="0" w:color="auto"/>
        <w:right w:val="none" w:sz="0" w:space="0" w:color="auto"/>
      </w:divBdr>
    </w:div>
    <w:div w:id="1164013468">
      <w:bodyDiv w:val="1"/>
      <w:marLeft w:val="0"/>
      <w:marRight w:val="0"/>
      <w:marTop w:val="0"/>
      <w:marBottom w:val="0"/>
      <w:divBdr>
        <w:top w:val="none" w:sz="0" w:space="0" w:color="auto"/>
        <w:left w:val="none" w:sz="0" w:space="0" w:color="auto"/>
        <w:bottom w:val="none" w:sz="0" w:space="0" w:color="auto"/>
        <w:right w:val="none" w:sz="0" w:space="0" w:color="auto"/>
      </w:divBdr>
    </w:div>
    <w:div w:id="1164934071">
      <w:bodyDiv w:val="1"/>
      <w:marLeft w:val="0"/>
      <w:marRight w:val="0"/>
      <w:marTop w:val="0"/>
      <w:marBottom w:val="0"/>
      <w:divBdr>
        <w:top w:val="none" w:sz="0" w:space="0" w:color="auto"/>
        <w:left w:val="none" w:sz="0" w:space="0" w:color="auto"/>
        <w:bottom w:val="none" w:sz="0" w:space="0" w:color="auto"/>
        <w:right w:val="none" w:sz="0" w:space="0" w:color="auto"/>
      </w:divBdr>
    </w:div>
    <w:div w:id="1170681818">
      <w:bodyDiv w:val="1"/>
      <w:marLeft w:val="0"/>
      <w:marRight w:val="0"/>
      <w:marTop w:val="0"/>
      <w:marBottom w:val="0"/>
      <w:divBdr>
        <w:top w:val="none" w:sz="0" w:space="0" w:color="auto"/>
        <w:left w:val="none" w:sz="0" w:space="0" w:color="auto"/>
        <w:bottom w:val="none" w:sz="0" w:space="0" w:color="auto"/>
        <w:right w:val="none" w:sz="0" w:space="0" w:color="auto"/>
      </w:divBdr>
    </w:div>
    <w:div w:id="1174958007">
      <w:bodyDiv w:val="1"/>
      <w:marLeft w:val="0"/>
      <w:marRight w:val="0"/>
      <w:marTop w:val="0"/>
      <w:marBottom w:val="0"/>
      <w:divBdr>
        <w:top w:val="none" w:sz="0" w:space="0" w:color="auto"/>
        <w:left w:val="none" w:sz="0" w:space="0" w:color="auto"/>
        <w:bottom w:val="none" w:sz="0" w:space="0" w:color="auto"/>
        <w:right w:val="none" w:sz="0" w:space="0" w:color="auto"/>
      </w:divBdr>
    </w:div>
    <w:div w:id="1175801844">
      <w:bodyDiv w:val="1"/>
      <w:marLeft w:val="0"/>
      <w:marRight w:val="0"/>
      <w:marTop w:val="0"/>
      <w:marBottom w:val="0"/>
      <w:divBdr>
        <w:top w:val="none" w:sz="0" w:space="0" w:color="auto"/>
        <w:left w:val="none" w:sz="0" w:space="0" w:color="auto"/>
        <w:bottom w:val="none" w:sz="0" w:space="0" w:color="auto"/>
        <w:right w:val="none" w:sz="0" w:space="0" w:color="auto"/>
      </w:divBdr>
    </w:div>
    <w:div w:id="1177689214">
      <w:bodyDiv w:val="1"/>
      <w:marLeft w:val="0"/>
      <w:marRight w:val="0"/>
      <w:marTop w:val="0"/>
      <w:marBottom w:val="0"/>
      <w:divBdr>
        <w:top w:val="none" w:sz="0" w:space="0" w:color="auto"/>
        <w:left w:val="none" w:sz="0" w:space="0" w:color="auto"/>
        <w:bottom w:val="none" w:sz="0" w:space="0" w:color="auto"/>
        <w:right w:val="none" w:sz="0" w:space="0" w:color="auto"/>
      </w:divBdr>
    </w:div>
    <w:div w:id="1182865122">
      <w:bodyDiv w:val="1"/>
      <w:marLeft w:val="0"/>
      <w:marRight w:val="0"/>
      <w:marTop w:val="0"/>
      <w:marBottom w:val="0"/>
      <w:divBdr>
        <w:top w:val="none" w:sz="0" w:space="0" w:color="auto"/>
        <w:left w:val="none" w:sz="0" w:space="0" w:color="auto"/>
        <w:bottom w:val="none" w:sz="0" w:space="0" w:color="auto"/>
        <w:right w:val="none" w:sz="0" w:space="0" w:color="auto"/>
      </w:divBdr>
    </w:div>
    <w:div w:id="1185288837">
      <w:bodyDiv w:val="1"/>
      <w:marLeft w:val="0"/>
      <w:marRight w:val="0"/>
      <w:marTop w:val="0"/>
      <w:marBottom w:val="0"/>
      <w:divBdr>
        <w:top w:val="none" w:sz="0" w:space="0" w:color="auto"/>
        <w:left w:val="none" w:sz="0" w:space="0" w:color="auto"/>
        <w:bottom w:val="none" w:sz="0" w:space="0" w:color="auto"/>
        <w:right w:val="none" w:sz="0" w:space="0" w:color="auto"/>
      </w:divBdr>
    </w:div>
    <w:div w:id="1185628674">
      <w:bodyDiv w:val="1"/>
      <w:marLeft w:val="0"/>
      <w:marRight w:val="0"/>
      <w:marTop w:val="0"/>
      <w:marBottom w:val="0"/>
      <w:divBdr>
        <w:top w:val="none" w:sz="0" w:space="0" w:color="auto"/>
        <w:left w:val="none" w:sz="0" w:space="0" w:color="auto"/>
        <w:bottom w:val="none" w:sz="0" w:space="0" w:color="auto"/>
        <w:right w:val="none" w:sz="0" w:space="0" w:color="auto"/>
      </w:divBdr>
    </w:div>
    <w:div w:id="1190948870">
      <w:bodyDiv w:val="1"/>
      <w:marLeft w:val="0"/>
      <w:marRight w:val="0"/>
      <w:marTop w:val="0"/>
      <w:marBottom w:val="0"/>
      <w:divBdr>
        <w:top w:val="none" w:sz="0" w:space="0" w:color="auto"/>
        <w:left w:val="none" w:sz="0" w:space="0" w:color="auto"/>
        <w:bottom w:val="none" w:sz="0" w:space="0" w:color="auto"/>
        <w:right w:val="none" w:sz="0" w:space="0" w:color="auto"/>
      </w:divBdr>
    </w:div>
    <w:div w:id="1191185815">
      <w:bodyDiv w:val="1"/>
      <w:marLeft w:val="0"/>
      <w:marRight w:val="0"/>
      <w:marTop w:val="0"/>
      <w:marBottom w:val="0"/>
      <w:divBdr>
        <w:top w:val="none" w:sz="0" w:space="0" w:color="auto"/>
        <w:left w:val="none" w:sz="0" w:space="0" w:color="auto"/>
        <w:bottom w:val="none" w:sz="0" w:space="0" w:color="auto"/>
        <w:right w:val="none" w:sz="0" w:space="0" w:color="auto"/>
      </w:divBdr>
    </w:div>
    <w:div w:id="1193421968">
      <w:bodyDiv w:val="1"/>
      <w:marLeft w:val="0"/>
      <w:marRight w:val="0"/>
      <w:marTop w:val="0"/>
      <w:marBottom w:val="0"/>
      <w:divBdr>
        <w:top w:val="none" w:sz="0" w:space="0" w:color="auto"/>
        <w:left w:val="none" w:sz="0" w:space="0" w:color="auto"/>
        <w:bottom w:val="none" w:sz="0" w:space="0" w:color="auto"/>
        <w:right w:val="none" w:sz="0" w:space="0" w:color="auto"/>
      </w:divBdr>
    </w:div>
    <w:div w:id="1195850191">
      <w:bodyDiv w:val="1"/>
      <w:marLeft w:val="0"/>
      <w:marRight w:val="0"/>
      <w:marTop w:val="0"/>
      <w:marBottom w:val="0"/>
      <w:divBdr>
        <w:top w:val="none" w:sz="0" w:space="0" w:color="auto"/>
        <w:left w:val="none" w:sz="0" w:space="0" w:color="auto"/>
        <w:bottom w:val="none" w:sz="0" w:space="0" w:color="auto"/>
        <w:right w:val="none" w:sz="0" w:space="0" w:color="auto"/>
      </w:divBdr>
    </w:div>
    <w:div w:id="1197543651">
      <w:bodyDiv w:val="1"/>
      <w:marLeft w:val="0"/>
      <w:marRight w:val="0"/>
      <w:marTop w:val="0"/>
      <w:marBottom w:val="0"/>
      <w:divBdr>
        <w:top w:val="none" w:sz="0" w:space="0" w:color="auto"/>
        <w:left w:val="none" w:sz="0" w:space="0" w:color="auto"/>
        <w:bottom w:val="none" w:sz="0" w:space="0" w:color="auto"/>
        <w:right w:val="none" w:sz="0" w:space="0" w:color="auto"/>
      </w:divBdr>
    </w:div>
    <w:div w:id="1198003443">
      <w:bodyDiv w:val="1"/>
      <w:marLeft w:val="0"/>
      <w:marRight w:val="0"/>
      <w:marTop w:val="0"/>
      <w:marBottom w:val="0"/>
      <w:divBdr>
        <w:top w:val="none" w:sz="0" w:space="0" w:color="auto"/>
        <w:left w:val="none" w:sz="0" w:space="0" w:color="auto"/>
        <w:bottom w:val="none" w:sz="0" w:space="0" w:color="auto"/>
        <w:right w:val="none" w:sz="0" w:space="0" w:color="auto"/>
      </w:divBdr>
    </w:div>
    <w:div w:id="1200241913">
      <w:bodyDiv w:val="1"/>
      <w:marLeft w:val="0"/>
      <w:marRight w:val="0"/>
      <w:marTop w:val="0"/>
      <w:marBottom w:val="0"/>
      <w:divBdr>
        <w:top w:val="none" w:sz="0" w:space="0" w:color="auto"/>
        <w:left w:val="none" w:sz="0" w:space="0" w:color="auto"/>
        <w:bottom w:val="none" w:sz="0" w:space="0" w:color="auto"/>
        <w:right w:val="none" w:sz="0" w:space="0" w:color="auto"/>
      </w:divBdr>
    </w:div>
    <w:div w:id="1200898265">
      <w:bodyDiv w:val="1"/>
      <w:marLeft w:val="0"/>
      <w:marRight w:val="0"/>
      <w:marTop w:val="0"/>
      <w:marBottom w:val="0"/>
      <w:divBdr>
        <w:top w:val="none" w:sz="0" w:space="0" w:color="auto"/>
        <w:left w:val="none" w:sz="0" w:space="0" w:color="auto"/>
        <w:bottom w:val="none" w:sz="0" w:space="0" w:color="auto"/>
        <w:right w:val="none" w:sz="0" w:space="0" w:color="auto"/>
      </w:divBdr>
    </w:div>
    <w:div w:id="1204290293">
      <w:bodyDiv w:val="1"/>
      <w:marLeft w:val="0"/>
      <w:marRight w:val="0"/>
      <w:marTop w:val="0"/>
      <w:marBottom w:val="0"/>
      <w:divBdr>
        <w:top w:val="none" w:sz="0" w:space="0" w:color="auto"/>
        <w:left w:val="none" w:sz="0" w:space="0" w:color="auto"/>
        <w:bottom w:val="none" w:sz="0" w:space="0" w:color="auto"/>
        <w:right w:val="none" w:sz="0" w:space="0" w:color="auto"/>
      </w:divBdr>
    </w:div>
    <w:div w:id="1207714928">
      <w:bodyDiv w:val="1"/>
      <w:marLeft w:val="0"/>
      <w:marRight w:val="0"/>
      <w:marTop w:val="0"/>
      <w:marBottom w:val="0"/>
      <w:divBdr>
        <w:top w:val="none" w:sz="0" w:space="0" w:color="auto"/>
        <w:left w:val="none" w:sz="0" w:space="0" w:color="auto"/>
        <w:bottom w:val="none" w:sz="0" w:space="0" w:color="auto"/>
        <w:right w:val="none" w:sz="0" w:space="0" w:color="auto"/>
      </w:divBdr>
    </w:div>
    <w:div w:id="1211720785">
      <w:bodyDiv w:val="1"/>
      <w:marLeft w:val="0"/>
      <w:marRight w:val="0"/>
      <w:marTop w:val="0"/>
      <w:marBottom w:val="0"/>
      <w:divBdr>
        <w:top w:val="none" w:sz="0" w:space="0" w:color="auto"/>
        <w:left w:val="none" w:sz="0" w:space="0" w:color="auto"/>
        <w:bottom w:val="none" w:sz="0" w:space="0" w:color="auto"/>
        <w:right w:val="none" w:sz="0" w:space="0" w:color="auto"/>
      </w:divBdr>
    </w:div>
    <w:div w:id="1211721501">
      <w:bodyDiv w:val="1"/>
      <w:marLeft w:val="0"/>
      <w:marRight w:val="0"/>
      <w:marTop w:val="0"/>
      <w:marBottom w:val="0"/>
      <w:divBdr>
        <w:top w:val="none" w:sz="0" w:space="0" w:color="auto"/>
        <w:left w:val="none" w:sz="0" w:space="0" w:color="auto"/>
        <w:bottom w:val="none" w:sz="0" w:space="0" w:color="auto"/>
        <w:right w:val="none" w:sz="0" w:space="0" w:color="auto"/>
      </w:divBdr>
    </w:div>
    <w:div w:id="1214269391">
      <w:bodyDiv w:val="1"/>
      <w:marLeft w:val="0"/>
      <w:marRight w:val="0"/>
      <w:marTop w:val="0"/>
      <w:marBottom w:val="0"/>
      <w:divBdr>
        <w:top w:val="none" w:sz="0" w:space="0" w:color="auto"/>
        <w:left w:val="none" w:sz="0" w:space="0" w:color="auto"/>
        <w:bottom w:val="none" w:sz="0" w:space="0" w:color="auto"/>
        <w:right w:val="none" w:sz="0" w:space="0" w:color="auto"/>
      </w:divBdr>
    </w:div>
    <w:div w:id="1222061785">
      <w:bodyDiv w:val="1"/>
      <w:marLeft w:val="0"/>
      <w:marRight w:val="0"/>
      <w:marTop w:val="0"/>
      <w:marBottom w:val="0"/>
      <w:divBdr>
        <w:top w:val="none" w:sz="0" w:space="0" w:color="auto"/>
        <w:left w:val="none" w:sz="0" w:space="0" w:color="auto"/>
        <w:bottom w:val="none" w:sz="0" w:space="0" w:color="auto"/>
        <w:right w:val="none" w:sz="0" w:space="0" w:color="auto"/>
      </w:divBdr>
    </w:div>
    <w:div w:id="1228494308">
      <w:bodyDiv w:val="1"/>
      <w:marLeft w:val="0"/>
      <w:marRight w:val="0"/>
      <w:marTop w:val="0"/>
      <w:marBottom w:val="0"/>
      <w:divBdr>
        <w:top w:val="none" w:sz="0" w:space="0" w:color="auto"/>
        <w:left w:val="none" w:sz="0" w:space="0" w:color="auto"/>
        <w:bottom w:val="none" w:sz="0" w:space="0" w:color="auto"/>
        <w:right w:val="none" w:sz="0" w:space="0" w:color="auto"/>
      </w:divBdr>
    </w:div>
    <w:div w:id="1236665875">
      <w:bodyDiv w:val="1"/>
      <w:marLeft w:val="0"/>
      <w:marRight w:val="0"/>
      <w:marTop w:val="0"/>
      <w:marBottom w:val="0"/>
      <w:divBdr>
        <w:top w:val="none" w:sz="0" w:space="0" w:color="auto"/>
        <w:left w:val="none" w:sz="0" w:space="0" w:color="auto"/>
        <w:bottom w:val="none" w:sz="0" w:space="0" w:color="auto"/>
        <w:right w:val="none" w:sz="0" w:space="0" w:color="auto"/>
      </w:divBdr>
    </w:div>
    <w:div w:id="1237738019">
      <w:bodyDiv w:val="1"/>
      <w:marLeft w:val="0"/>
      <w:marRight w:val="0"/>
      <w:marTop w:val="0"/>
      <w:marBottom w:val="0"/>
      <w:divBdr>
        <w:top w:val="none" w:sz="0" w:space="0" w:color="auto"/>
        <w:left w:val="none" w:sz="0" w:space="0" w:color="auto"/>
        <w:bottom w:val="none" w:sz="0" w:space="0" w:color="auto"/>
        <w:right w:val="none" w:sz="0" w:space="0" w:color="auto"/>
      </w:divBdr>
    </w:div>
    <w:div w:id="1240868579">
      <w:bodyDiv w:val="1"/>
      <w:marLeft w:val="0"/>
      <w:marRight w:val="0"/>
      <w:marTop w:val="0"/>
      <w:marBottom w:val="0"/>
      <w:divBdr>
        <w:top w:val="none" w:sz="0" w:space="0" w:color="auto"/>
        <w:left w:val="none" w:sz="0" w:space="0" w:color="auto"/>
        <w:bottom w:val="none" w:sz="0" w:space="0" w:color="auto"/>
        <w:right w:val="none" w:sz="0" w:space="0" w:color="auto"/>
      </w:divBdr>
    </w:div>
    <w:div w:id="1240945503">
      <w:bodyDiv w:val="1"/>
      <w:marLeft w:val="0"/>
      <w:marRight w:val="0"/>
      <w:marTop w:val="0"/>
      <w:marBottom w:val="0"/>
      <w:divBdr>
        <w:top w:val="none" w:sz="0" w:space="0" w:color="auto"/>
        <w:left w:val="none" w:sz="0" w:space="0" w:color="auto"/>
        <w:bottom w:val="none" w:sz="0" w:space="0" w:color="auto"/>
        <w:right w:val="none" w:sz="0" w:space="0" w:color="auto"/>
      </w:divBdr>
    </w:div>
    <w:div w:id="1241791158">
      <w:bodyDiv w:val="1"/>
      <w:marLeft w:val="0"/>
      <w:marRight w:val="0"/>
      <w:marTop w:val="0"/>
      <w:marBottom w:val="0"/>
      <w:divBdr>
        <w:top w:val="none" w:sz="0" w:space="0" w:color="auto"/>
        <w:left w:val="none" w:sz="0" w:space="0" w:color="auto"/>
        <w:bottom w:val="none" w:sz="0" w:space="0" w:color="auto"/>
        <w:right w:val="none" w:sz="0" w:space="0" w:color="auto"/>
      </w:divBdr>
    </w:div>
    <w:div w:id="1248271859">
      <w:bodyDiv w:val="1"/>
      <w:marLeft w:val="0"/>
      <w:marRight w:val="0"/>
      <w:marTop w:val="0"/>
      <w:marBottom w:val="0"/>
      <w:divBdr>
        <w:top w:val="none" w:sz="0" w:space="0" w:color="auto"/>
        <w:left w:val="none" w:sz="0" w:space="0" w:color="auto"/>
        <w:bottom w:val="none" w:sz="0" w:space="0" w:color="auto"/>
        <w:right w:val="none" w:sz="0" w:space="0" w:color="auto"/>
      </w:divBdr>
    </w:div>
    <w:div w:id="1249851183">
      <w:bodyDiv w:val="1"/>
      <w:marLeft w:val="0"/>
      <w:marRight w:val="0"/>
      <w:marTop w:val="0"/>
      <w:marBottom w:val="0"/>
      <w:divBdr>
        <w:top w:val="none" w:sz="0" w:space="0" w:color="auto"/>
        <w:left w:val="none" w:sz="0" w:space="0" w:color="auto"/>
        <w:bottom w:val="none" w:sz="0" w:space="0" w:color="auto"/>
        <w:right w:val="none" w:sz="0" w:space="0" w:color="auto"/>
      </w:divBdr>
    </w:div>
    <w:div w:id="1251311316">
      <w:bodyDiv w:val="1"/>
      <w:marLeft w:val="0"/>
      <w:marRight w:val="0"/>
      <w:marTop w:val="0"/>
      <w:marBottom w:val="0"/>
      <w:divBdr>
        <w:top w:val="none" w:sz="0" w:space="0" w:color="auto"/>
        <w:left w:val="none" w:sz="0" w:space="0" w:color="auto"/>
        <w:bottom w:val="none" w:sz="0" w:space="0" w:color="auto"/>
        <w:right w:val="none" w:sz="0" w:space="0" w:color="auto"/>
      </w:divBdr>
    </w:div>
    <w:div w:id="1254819825">
      <w:bodyDiv w:val="1"/>
      <w:marLeft w:val="0"/>
      <w:marRight w:val="0"/>
      <w:marTop w:val="0"/>
      <w:marBottom w:val="0"/>
      <w:divBdr>
        <w:top w:val="none" w:sz="0" w:space="0" w:color="auto"/>
        <w:left w:val="none" w:sz="0" w:space="0" w:color="auto"/>
        <w:bottom w:val="none" w:sz="0" w:space="0" w:color="auto"/>
        <w:right w:val="none" w:sz="0" w:space="0" w:color="auto"/>
      </w:divBdr>
    </w:div>
    <w:div w:id="1256668996">
      <w:bodyDiv w:val="1"/>
      <w:marLeft w:val="0"/>
      <w:marRight w:val="0"/>
      <w:marTop w:val="0"/>
      <w:marBottom w:val="0"/>
      <w:divBdr>
        <w:top w:val="none" w:sz="0" w:space="0" w:color="auto"/>
        <w:left w:val="none" w:sz="0" w:space="0" w:color="auto"/>
        <w:bottom w:val="none" w:sz="0" w:space="0" w:color="auto"/>
        <w:right w:val="none" w:sz="0" w:space="0" w:color="auto"/>
      </w:divBdr>
    </w:div>
    <w:div w:id="1258709061">
      <w:bodyDiv w:val="1"/>
      <w:marLeft w:val="0"/>
      <w:marRight w:val="0"/>
      <w:marTop w:val="0"/>
      <w:marBottom w:val="0"/>
      <w:divBdr>
        <w:top w:val="none" w:sz="0" w:space="0" w:color="auto"/>
        <w:left w:val="none" w:sz="0" w:space="0" w:color="auto"/>
        <w:bottom w:val="none" w:sz="0" w:space="0" w:color="auto"/>
        <w:right w:val="none" w:sz="0" w:space="0" w:color="auto"/>
      </w:divBdr>
    </w:div>
    <w:div w:id="1259023434">
      <w:bodyDiv w:val="1"/>
      <w:marLeft w:val="0"/>
      <w:marRight w:val="0"/>
      <w:marTop w:val="0"/>
      <w:marBottom w:val="0"/>
      <w:divBdr>
        <w:top w:val="none" w:sz="0" w:space="0" w:color="auto"/>
        <w:left w:val="none" w:sz="0" w:space="0" w:color="auto"/>
        <w:bottom w:val="none" w:sz="0" w:space="0" w:color="auto"/>
        <w:right w:val="none" w:sz="0" w:space="0" w:color="auto"/>
      </w:divBdr>
    </w:div>
    <w:div w:id="1260067988">
      <w:bodyDiv w:val="1"/>
      <w:marLeft w:val="0"/>
      <w:marRight w:val="0"/>
      <w:marTop w:val="0"/>
      <w:marBottom w:val="0"/>
      <w:divBdr>
        <w:top w:val="none" w:sz="0" w:space="0" w:color="auto"/>
        <w:left w:val="none" w:sz="0" w:space="0" w:color="auto"/>
        <w:bottom w:val="none" w:sz="0" w:space="0" w:color="auto"/>
        <w:right w:val="none" w:sz="0" w:space="0" w:color="auto"/>
      </w:divBdr>
    </w:div>
    <w:div w:id="1260138681">
      <w:bodyDiv w:val="1"/>
      <w:marLeft w:val="0"/>
      <w:marRight w:val="0"/>
      <w:marTop w:val="0"/>
      <w:marBottom w:val="0"/>
      <w:divBdr>
        <w:top w:val="none" w:sz="0" w:space="0" w:color="auto"/>
        <w:left w:val="none" w:sz="0" w:space="0" w:color="auto"/>
        <w:bottom w:val="none" w:sz="0" w:space="0" w:color="auto"/>
        <w:right w:val="none" w:sz="0" w:space="0" w:color="auto"/>
      </w:divBdr>
    </w:div>
    <w:div w:id="1263805065">
      <w:bodyDiv w:val="1"/>
      <w:marLeft w:val="0"/>
      <w:marRight w:val="0"/>
      <w:marTop w:val="0"/>
      <w:marBottom w:val="0"/>
      <w:divBdr>
        <w:top w:val="none" w:sz="0" w:space="0" w:color="auto"/>
        <w:left w:val="none" w:sz="0" w:space="0" w:color="auto"/>
        <w:bottom w:val="none" w:sz="0" w:space="0" w:color="auto"/>
        <w:right w:val="none" w:sz="0" w:space="0" w:color="auto"/>
      </w:divBdr>
    </w:div>
    <w:div w:id="1267080480">
      <w:bodyDiv w:val="1"/>
      <w:marLeft w:val="0"/>
      <w:marRight w:val="0"/>
      <w:marTop w:val="0"/>
      <w:marBottom w:val="0"/>
      <w:divBdr>
        <w:top w:val="none" w:sz="0" w:space="0" w:color="auto"/>
        <w:left w:val="none" w:sz="0" w:space="0" w:color="auto"/>
        <w:bottom w:val="none" w:sz="0" w:space="0" w:color="auto"/>
        <w:right w:val="none" w:sz="0" w:space="0" w:color="auto"/>
      </w:divBdr>
    </w:div>
    <w:div w:id="1270238209">
      <w:bodyDiv w:val="1"/>
      <w:marLeft w:val="0"/>
      <w:marRight w:val="0"/>
      <w:marTop w:val="0"/>
      <w:marBottom w:val="0"/>
      <w:divBdr>
        <w:top w:val="none" w:sz="0" w:space="0" w:color="auto"/>
        <w:left w:val="none" w:sz="0" w:space="0" w:color="auto"/>
        <w:bottom w:val="none" w:sz="0" w:space="0" w:color="auto"/>
        <w:right w:val="none" w:sz="0" w:space="0" w:color="auto"/>
      </w:divBdr>
    </w:div>
    <w:div w:id="1273051588">
      <w:bodyDiv w:val="1"/>
      <w:marLeft w:val="0"/>
      <w:marRight w:val="0"/>
      <w:marTop w:val="0"/>
      <w:marBottom w:val="0"/>
      <w:divBdr>
        <w:top w:val="none" w:sz="0" w:space="0" w:color="auto"/>
        <w:left w:val="none" w:sz="0" w:space="0" w:color="auto"/>
        <w:bottom w:val="none" w:sz="0" w:space="0" w:color="auto"/>
        <w:right w:val="none" w:sz="0" w:space="0" w:color="auto"/>
      </w:divBdr>
    </w:div>
    <w:div w:id="1276406714">
      <w:bodyDiv w:val="1"/>
      <w:marLeft w:val="0"/>
      <w:marRight w:val="0"/>
      <w:marTop w:val="0"/>
      <w:marBottom w:val="0"/>
      <w:divBdr>
        <w:top w:val="none" w:sz="0" w:space="0" w:color="auto"/>
        <w:left w:val="none" w:sz="0" w:space="0" w:color="auto"/>
        <w:bottom w:val="none" w:sz="0" w:space="0" w:color="auto"/>
        <w:right w:val="none" w:sz="0" w:space="0" w:color="auto"/>
      </w:divBdr>
    </w:div>
    <w:div w:id="1277369623">
      <w:bodyDiv w:val="1"/>
      <w:marLeft w:val="0"/>
      <w:marRight w:val="0"/>
      <w:marTop w:val="0"/>
      <w:marBottom w:val="0"/>
      <w:divBdr>
        <w:top w:val="none" w:sz="0" w:space="0" w:color="auto"/>
        <w:left w:val="none" w:sz="0" w:space="0" w:color="auto"/>
        <w:bottom w:val="none" w:sz="0" w:space="0" w:color="auto"/>
        <w:right w:val="none" w:sz="0" w:space="0" w:color="auto"/>
      </w:divBdr>
    </w:div>
    <w:div w:id="1279409535">
      <w:bodyDiv w:val="1"/>
      <w:marLeft w:val="0"/>
      <w:marRight w:val="0"/>
      <w:marTop w:val="0"/>
      <w:marBottom w:val="0"/>
      <w:divBdr>
        <w:top w:val="none" w:sz="0" w:space="0" w:color="auto"/>
        <w:left w:val="none" w:sz="0" w:space="0" w:color="auto"/>
        <w:bottom w:val="none" w:sz="0" w:space="0" w:color="auto"/>
        <w:right w:val="none" w:sz="0" w:space="0" w:color="auto"/>
      </w:divBdr>
    </w:div>
    <w:div w:id="1281259166">
      <w:bodyDiv w:val="1"/>
      <w:marLeft w:val="0"/>
      <w:marRight w:val="0"/>
      <w:marTop w:val="0"/>
      <w:marBottom w:val="0"/>
      <w:divBdr>
        <w:top w:val="none" w:sz="0" w:space="0" w:color="auto"/>
        <w:left w:val="none" w:sz="0" w:space="0" w:color="auto"/>
        <w:bottom w:val="none" w:sz="0" w:space="0" w:color="auto"/>
        <w:right w:val="none" w:sz="0" w:space="0" w:color="auto"/>
      </w:divBdr>
    </w:div>
    <w:div w:id="1283221556">
      <w:bodyDiv w:val="1"/>
      <w:marLeft w:val="0"/>
      <w:marRight w:val="0"/>
      <w:marTop w:val="0"/>
      <w:marBottom w:val="0"/>
      <w:divBdr>
        <w:top w:val="none" w:sz="0" w:space="0" w:color="auto"/>
        <w:left w:val="none" w:sz="0" w:space="0" w:color="auto"/>
        <w:bottom w:val="none" w:sz="0" w:space="0" w:color="auto"/>
        <w:right w:val="none" w:sz="0" w:space="0" w:color="auto"/>
      </w:divBdr>
    </w:div>
    <w:div w:id="1285193187">
      <w:bodyDiv w:val="1"/>
      <w:marLeft w:val="0"/>
      <w:marRight w:val="0"/>
      <w:marTop w:val="0"/>
      <w:marBottom w:val="0"/>
      <w:divBdr>
        <w:top w:val="none" w:sz="0" w:space="0" w:color="auto"/>
        <w:left w:val="none" w:sz="0" w:space="0" w:color="auto"/>
        <w:bottom w:val="none" w:sz="0" w:space="0" w:color="auto"/>
        <w:right w:val="none" w:sz="0" w:space="0" w:color="auto"/>
      </w:divBdr>
    </w:div>
    <w:div w:id="1285846971">
      <w:bodyDiv w:val="1"/>
      <w:marLeft w:val="0"/>
      <w:marRight w:val="0"/>
      <w:marTop w:val="0"/>
      <w:marBottom w:val="0"/>
      <w:divBdr>
        <w:top w:val="none" w:sz="0" w:space="0" w:color="auto"/>
        <w:left w:val="none" w:sz="0" w:space="0" w:color="auto"/>
        <w:bottom w:val="none" w:sz="0" w:space="0" w:color="auto"/>
        <w:right w:val="none" w:sz="0" w:space="0" w:color="auto"/>
      </w:divBdr>
    </w:div>
    <w:div w:id="1289239441">
      <w:bodyDiv w:val="1"/>
      <w:marLeft w:val="0"/>
      <w:marRight w:val="0"/>
      <w:marTop w:val="0"/>
      <w:marBottom w:val="0"/>
      <w:divBdr>
        <w:top w:val="none" w:sz="0" w:space="0" w:color="auto"/>
        <w:left w:val="none" w:sz="0" w:space="0" w:color="auto"/>
        <w:bottom w:val="none" w:sz="0" w:space="0" w:color="auto"/>
        <w:right w:val="none" w:sz="0" w:space="0" w:color="auto"/>
      </w:divBdr>
    </w:div>
    <w:div w:id="1290087774">
      <w:bodyDiv w:val="1"/>
      <w:marLeft w:val="0"/>
      <w:marRight w:val="0"/>
      <w:marTop w:val="0"/>
      <w:marBottom w:val="0"/>
      <w:divBdr>
        <w:top w:val="none" w:sz="0" w:space="0" w:color="auto"/>
        <w:left w:val="none" w:sz="0" w:space="0" w:color="auto"/>
        <w:bottom w:val="none" w:sz="0" w:space="0" w:color="auto"/>
        <w:right w:val="none" w:sz="0" w:space="0" w:color="auto"/>
      </w:divBdr>
    </w:div>
    <w:div w:id="1290893331">
      <w:bodyDiv w:val="1"/>
      <w:marLeft w:val="0"/>
      <w:marRight w:val="0"/>
      <w:marTop w:val="0"/>
      <w:marBottom w:val="0"/>
      <w:divBdr>
        <w:top w:val="none" w:sz="0" w:space="0" w:color="auto"/>
        <w:left w:val="none" w:sz="0" w:space="0" w:color="auto"/>
        <w:bottom w:val="none" w:sz="0" w:space="0" w:color="auto"/>
        <w:right w:val="none" w:sz="0" w:space="0" w:color="auto"/>
      </w:divBdr>
    </w:div>
    <w:div w:id="1291548023">
      <w:bodyDiv w:val="1"/>
      <w:marLeft w:val="0"/>
      <w:marRight w:val="0"/>
      <w:marTop w:val="0"/>
      <w:marBottom w:val="0"/>
      <w:divBdr>
        <w:top w:val="none" w:sz="0" w:space="0" w:color="auto"/>
        <w:left w:val="none" w:sz="0" w:space="0" w:color="auto"/>
        <w:bottom w:val="none" w:sz="0" w:space="0" w:color="auto"/>
        <w:right w:val="none" w:sz="0" w:space="0" w:color="auto"/>
      </w:divBdr>
    </w:div>
    <w:div w:id="1292712841">
      <w:bodyDiv w:val="1"/>
      <w:marLeft w:val="0"/>
      <w:marRight w:val="0"/>
      <w:marTop w:val="0"/>
      <w:marBottom w:val="0"/>
      <w:divBdr>
        <w:top w:val="none" w:sz="0" w:space="0" w:color="auto"/>
        <w:left w:val="none" w:sz="0" w:space="0" w:color="auto"/>
        <w:bottom w:val="none" w:sz="0" w:space="0" w:color="auto"/>
        <w:right w:val="none" w:sz="0" w:space="0" w:color="auto"/>
      </w:divBdr>
    </w:div>
    <w:div w:id="1292829847">
      <w:bodyDiv w:val="1"/>
      <w:marLeft w:val="0"/>
      <w:marRight w:val="0"/>
      <w:marTop w:val="0"/>
      <w:marBottom w:val="0"/>
      <w:divBdr>
        <w:top w:val="none" w:sz="0" w:space="0" w:color="auto"/>
        <w:left w:val="none" w:sz="0" w:space="0" w:color="auto"/>
        <w:bottom w:val="none" w:sz="0" w:space="0" w:color="auto"/>
        <w:right w:val="none" w:sz="0" w:space="0" w:color="auto"/>
      </w:divBdr>
    </w:div>
    <w:div w:id="1293319220">
      <w:bodyDiv w:val="1"/>
      <w:marLeft w:val="0"/>
      <w:marRight w:val="0"/>
      <w:marTop w:val="0"/>
      <w:marBottom w:val="0"/>
      <w:divBdr>
        <w:top w:val="none" w:sz="0" w:space="0" w:color="auto"/>
        <w:left w:val="none" w:sz="0" w:space="0" w:color="auto"/>
        <w:bottom w:val="none" w:sz="0" w:space="0" w:color="auto"/>
        <w:right w:val="none" w:sz="0" w:space="0" w:color="auto"/>
      </w:divBdr>
    </w:div>
    <w:div w:id="1295215256">
      <w:bodyDiv w:val="1"/>
      <w:marLeft w:val="0"/>
      <w:marRight w:val="0"/>
      <w:marTop w:val="0"/>
      <w:marBottom w:val="0"/>
      <w:divBdr>
        <w:top w:val="none" w:sz="0" w:space="0" w:color="auto"/>
        <w:left w:val="none" w:sz="0" w:space="0" w:color="auto"/>
        <w:bottom w:val="none" w:sz="0" w:space="0" w:color="auto"/>
        <w:right w:val="none" w:sz="0" w:space="0" w:color="auto"/>
      </w:divBdr>
    </w:div>
    <w:div w:id="1296830238">
      <w:bodyDiv w:val="1"/>
      <w:marLeft w:val="0"/>
      <w:marRight w:val="0"/>
      <w:marTop w:val="0"/>
      <w:marBottom w:val="0"/>
      <w:divBdr>
        <w:top w:val="none" w:sz="0" w:space="0" w:color="auto"/>
        <w:left w:val="none" w:sz="0" w:space="0" w:color="auto"/>
        <w:bottom w:val="none" w:sz="0" w:space="0" w:color="auto"/>
        <w:right w:val="none" w:sz="0" w:space="0" w:color="auto"/>
      </w:divBdr>
    </w:div>
    <w:div w:id="1299067943">
      <w:bodyDiv w:val="1"/>
      <w:marLeft w:val="0"/>
      <w:marRight w:val="0"/>
      <w:marTop w:val="0"/>
      <w:marBottom w:val="0"/>
      <w:divBdr>
        <w:top w:val="none" w:sz="0" w:space="0" w:color="auto"/>
        <w:left w:val="none" w:sz="0" w:space="0" w:color="auto"/>
        <w:bottom w:val="none" w:sz="0" w:space="0" w:color="auto"/>
        <w:right w:val="none" w:sz="0" w:space="0" w:color="auto"/>
      </w:divBdr>
    </w:div>
    <w:div w:id="1299720196">
      <w:bodyDiv w:val="1"/>
      <w:marLeft w:val="0"/>
      <w:marRight w:val="0"/>
      <w:marTop w:val="0"/>
      <w:marBottom w:val="0"/>
      <w:divBdr>
        <w:top w:val="none" w:sz="0" w:space="0" w:color="auto"/>
        <w:left w:val="none" w:sz="0" w:space="0" w:color="auto"/>
        <w:bottom w:val="none" w:sz="0" w:space="0" w:color="auto"/>
        <w:right w:val="none" w:sz="0" w:space="0" w:color="auto"/>
      </w:divBdr>
    </w:div>
    <w:div w:id="1301694995">
      <w:bodyDiv w:val="1"/>
      <w:marLeft w:val="0"/>
      <w:marRight w:val="0"/>
      <w:marTop w:val="0"/>
      <w:marBottom w:val="0"/>
      <w:divBdr>
        <w:top w:val="none" w:sz="0" w:space="0" w:color="auto"/>
        <w:left w:val="none" w:sz="0" w:space="0" w:color="auto"/>
        <w:bottom w:val="none" w:sz="0" w:space="0" w:color="auto"/>
        <w:right w:val="none" w:sz="0" w:space="0" w:color="auto"/>
      </w:divBdr>
    </w:div>
    <w:div w:id="1303543160">
      <w:bodyDiv w:val="1"/>
      <w:marLeft w:val="0"/>
      <w:marRight w:val="0"/>
      <w:marTop w:val="0"/>
      <w:marBottom w:val="0"/>
      <w:divBdr>
        <w:top w:val="none" w:sz="0" w:space="0" w:color="auto"/>
        <w:left w:val="none" w:sz="0" w:space="0" w:color="auto"/>
        <w:bottom w:val="none" w:sz="0" w:space="0" w:color="auto"/>
        <w:right w:val="none" w:sz="0" w:space="0" w:color="auto"/>
      </w:divBdr>
    </w:div>
    <w:div w:id="1305743719">
      <w:bodyDiv w:val="1"/>
      <w:marLeft w:val="0"/>
      <w:marRight w:val="0"/>
      <w:marTop w:val="0"/>
      <w:marBottom w:val="0"/>
      <w:divBdr>
        <w:top w:val="none" w:sz="0" w:space="0" w:color="auto"/>
        <w:left w:val="none" w:sz="0" w:space="0" w:color="auto"/>
        <w:bottom w:val="none" w:sz="0" w:space="0" w:color="auto"/>
        <w:right w:val="none" w:sz="0" w:space="0" w:color="auto"/>
      </w:divBdr>
    </w:div>
    <w:div w:id="1310793620">
      <w:bodyDiv w:val="1"/>
      <w:marLeft w:val="0"/>
      <w:marRight w:val="0"/>
      <w:marTop w:val="0"/>
      <w:marBottom w:val="0"/>
      <w:divBdr>
        <w:top w:val="none" w:sz="0" w:space="0" w:color="auto"/>
        <w:left w:val="none" w:sz="0" w:space="0" w:color="auto"/>
        <w:bottom w:val="none" w:sz="0" w:space="0" w:color="auto"/>
        <w:right w:val="none" w:sz="0" w:space="0" w:color="auto"/>
      </w:divBdr>
    </w:div>
    <w:div w:id="1314524819">
      <w:bodyDiv w:val="1"/>
      <w:marLeft w:val="0"/>
      <w:marRight w:val="0"/>
      <w:marTop w:val="0"/>
      <w:marBottom w:val="0"/>
      <w:divBdr>
        <w:top w:val="none" w:sz="0" w:space="0" w:color="auto"/>
        <w:left w:val="none" w:sz="0" w:space="0" w:color="auto"/>
        <w:bottom w:val="none" w:sz="0" w:space="0" w:color="auto"/>
        <w:right w:val="none" w:sz="0" w:space="0" w:color="auto"/>
      </w:divBdr>
    </w:div>
    <w:div w:id="1317608859">
      <w:bodyDiv w:val="1"/>
      <w:marLeft w:val="0"/>
      <w:marRight w:val="0"/>
      <w:marTop w:val="0"/>
      <w:marBottom w:val="0"/>
      <w:divBdr>
        <w:top w:val="none" w:sz="0" w:space="0" w:color="auto"/>
        <w:left w:val="none" w:sz="0" w:space="0" w:color="auto"/>
        <w:bottom w:val="none" w:sz="0" w:space="0" w:color="auto"/>
        <w:right w:val="none" w:sz="0" w:space="0" w:color="auto"/>
      </w:divBdr>
    </w:div>
    <w:div w:id="1322152623">
      <w:bodyDiv w:val="1"/>
      <w:marLeft w:val="0"/>
      <w:marRight w:val="0"/>
      <w:marTop w:val="0"/>
      <w:marBottom w:val="0"/>
      <w:divBdr>
        <w:top w:val="none" w:sz="0" w:space="0" w:color="auto"/>
        <w:left w:val="none" w:sz="0" w:space="0" w:color="auto"/>
        <w:bottom w:val="none" w:sz="0" w:space="0" w:color="auto"/>
        <w:right w:val="none" w:sz="0" w:space="0" w:color="auto"/>
      </w:divBdr>
    </w:div>
    <w:div w:id="1324429455">
      <w:bodyDiv w:val="1"/>
      <w:marLeft w:val="0"/>
      <w:marRight w:val="0"/>
      <w:marTop w:val="0"/>
      <w:marBottom w:val="0"/>
      <w:divBdr>
        <w:top w:val="none" w:sz="0" w:space="0" w:color="auto"/>
        <w:left w:val="none" w:sz="0" w:space="0" w:color="auto"/>
        <w:bottom w:val="none" w:sz="0" w:space="0" w:color="auto"/>
        <w:right w:val="none" w:sz="0" w:space="0" w:color="auto"/>
      </w:divBdr>
    </w:div>
    <w:div w:id="1326546887">
      <w:bodyDiv w:val="1"/>
      <w:marLeft w:val="0"/>
      <w:marRight w:val="0"/>
      <w:marTop w:val="0"/>
      <w:marBottom w:val="0"/>
      <w:divBdr>
        <w:top w:val="none" w:sz="0" w:space="0" w:color="auto"/>
        <w:left w:val="none" w:sz="0" w:space="0" w:color="auto"/>
        <w:bottom w:val="none" w:sz="0" w:space="0" w:color="auto"/>
        <w:right w:val="none" w:sz="0" w:space="0" w:color="auto"/>
      </w:divBdr>
    </w:div>
    <w:div w:id="1330253514">
      <w:bodyDiv w:val="1"/>
      <w:marLeft w:val="0"/>
      <w:marRight w:val="0"/>
      <w:marTop w:val="0"/>
      <w:marBottom w:val="0"/>
      <w:divBdr>
        <w:top w:val="none" w:sz="0" w:space="0" w:color="auto"/>
        <w:left w:val="none" w:sz="0" w:space="0" w:color="auto"/>
        <w:bottom w:val="none" w:sz="0" w:space="0" w:color="auto"/>
        <w:right w:val="none" w:sz="0" w:space="0" w:color="auto"/>
      </w:divBdr>
    </w:div>
    <w:div w:id="1334333595">
      <w:bodyDiv w:val="1"/>
      <w:marLeft w:val="0"/>
      <w:marRight w:val="0"/>
      <w:marTop w:val="0"/>
      <w:marBottom w:val="0"/>
      <w:divBdr>
        <w:top w:val="none" w:sz="0" w:space="0" w:color="auto"/>
        <w:left w:val="none" w:sz="0" w:space="0" w:color="auto"/>
        <w:bottom w:val="none" w:sz="0" w:space="0" w:color="auto"/>
        <w:right w:val="none" w:sz="0" w:space="0" w:color="auto"/>
      </w:divBdr>
    </w:div>
    <w:div w:id="1337615736">
      <w:bodyDiv w:val="1"/>
      <w:marLeft w:val="0"/>
      <w:marRight w:val="0"/>
      <w:marTop w:val="0"/>
      <w:marBottom w:val="0"/>
      <w:divBdr>
        <w:top w:val="none" w:sz="0" w:space="0" w:color="auto"/>
        <w:left w:val="none" w:sz="0" w:space="0" w:color="auto"/>
        <w:bottom w:val="none" w:sz="0" w:space="0" w:color="auto"/>
        <w:right w:val="none" w:sz="0" w:space="0" w:color="auto"/>
      </w:divBdr>
    </w:div>
    <w:div w:id="1341354004">
      <w:bodyDiv w:val="1"/>
      <w:marLeft w:val="0"/>
      <w:marRight w:val="0"/>
      <w:marTop w:val="0"/>
      <w:marBottom w:val="0"/>
      <w:divBdr>
        <w:top w:val="none" w:sz="0" w:space="0" w:color="auto"/>
        <w:left w:val="none" w:sz="0" w:space="0" w:color="auto"/>
        <w:bottom w:val="none" w:sz="0" w:space="0" w:color="auto"/>
        <w:right w:val="none" w:sz="0" w:space="0" w:color="auto"/>
      </w:divBdr>
    </w:div>
    <w:div w:id="1343625180">
      <w:bodyDiv w:val="1"/>
      <w:marLeft w:val="0"/>
      <w:marRight w:val="0"/>
      <w:marTop w:val="0"/>
      <w:marBottom w:val="0"/>
      <w:divBdr>
        <w:top w:val="none" w:sz="0" w:space="0" w:color="auto"/>
        <w:left w:val="none" w:sz="0" w:space="0" w:color="auto"/>
        <w:bottom w:val="none" w:sz="0" w:space="0" w:color="auto"/>
        <w:right w:val="none" w:sz="0" w:space="0" w:color="auto"/>
      </w:divBdr>
    </w:div>
    <w:div w:id="1345207713">
      <w:bodyDiv w:val="1"/>
      <w:marLeft w:val="0"/>
      <w:marRight w:val="0"/>
      <w:marTop w:val="0"/>
      <w:marBottom w:val="0"/>
      <w:divBdr>
        <w:top w:val="none" w:sz="0" w:space="0" w:color="auto"/>
        <w:left w:val="none" w:sz="0" w:space="0" w:color="auto"/>
        <w:bottom w:val="none" w:sz="0" w:space="0" w:color="auto"/>
        <w:right w:val="none" w:sz="0" w:space="0" w:color="auto"/>
      </w:divBdr>
    </w:div>
    <w:div w:id="1345782883">
      <w:bodyDiv w:val="1"/>
      <w:marLeft w:val="0"/>
      <w:marRight w:val="0"/>
      <w:marTop w:val="0"/>
      <w:marBottom w:val="0"/>
      <w:divBdr>
        <w:top w:val="none" w:sz="0" w:space="0" w:color="auto"/>
        <w:left w:val="none" w:sz="0" w:space="0" w:color="auto"/>
        <w:bottom w:val="none" w:sz="0" w:space="0" w:color="auto"/>
        <w:right w:val="none" w:sz="0" w:space="0" w:color="auto"/>
      </w:divBdr>
    </w:div>
    <w:div w:id="1346175658">
      <w:bodyDiv w:val="1"/>
      <w:marLeft w:val="0"/>
      <w:marRight w:val="0"/>
      <w:marTop w:val="0"/>
      <w:marBottom w:val="0"/>
      <w:divBdr>
        <w:top w:val="none" w:sz="0" w:space="0" w:color="auto"/>
        <w:left w:val="none" w:sz="0" w:space="0" w:color="auto"/>
        <w:bottom w:val="none" w:sz="0" w:space="0" w:color="auto"/>
        <w:right w:val="none" w:sz="0" w:space="0" w:color="auto"/>
      </w:divBdr>
    </w:div>
    <w:div w:id="1348404880">
      <w:bodyDiv w:val="1"/>
      <w:marLeft w:val="0"/>
      <w:marRight w:val="0"/>
      <w:marTop w:val="0"/>
      <w:marBottom w:val="0"/>
      <w:divBdr>
        <w:top w:val="none" w:sz="0" w:space="0" w:color="auto"/>
        <w:left w:val="none" w:sz="0" w:space="0" w:color="auto"/>
        <w:bottom w:val="none" w:sz="0" w:space="0" w:color="auto"/>
        <w:right w:val="none" w:sz="0" w:space="0" w:color="auto"/>
      </w:divBdr>
    </w:div>
    <w:div w:id="1358849495">
      <w:bodyDiv w:val="1"/>
      <w:marLeft w:val="0"/>
      <w:marRight w:val="0"/>
      <w:marTop w:val="0"/>
      <w:marBottom w:val="0"/>
      <w:divBdr>
        <w:top w:val="none" w:sz="0" w:space="0" w:color="auto"/>
        <w:left w:val="none" w:sz="0" w:space="0" w:color="auto"/>
        <w:bottom w:val="none" w:sz="0" w:space="0" w:color="auto"/>
        <w:right w:val="none" w:sz="0" w:space="0" w:color="auto"/>
      </w:divBdr>
    </w:div>
    <w:div w:id="1367291623">
      <w:bodyDiv w:val="1"/>
      <w:marLeft w:val="0"/>
      <w:marRight w:val="0"/>
      <w:marTop w:val="0"/>
      <w:marBottom w:val="0"/>
      <w:divBdr>
        <w:top w:val="none" w:sz="0" w:space="0" w:color="auto"/>
        <w:left w:val="none" w:sz="0" w:space="0" w:color="auto"/>
        <w:bottom w:val="none" w:sz="0" w:space="0" w:color="auto"/>
        <w:right w:val="none" w:sz="0" w:space="0" w:color="auto"/>
      </w:divBdr>
    </w:div>
    <w:div w:id="1368677793">
      <w:bodyDiv w:val="1"/>
      <w:marLeft w:val="0"/>
      <w:marRight w:val="0"/>
      <w:marTop w:val="0"/>
      <w:marBottom w:val="0"/>
      <w:divBdr>
        <w:top w:val="none" w:sz="0" w:space="0" w:color="auto"/>
        <w:left w:val="none" w:sz="0" w:space="0" w:color="auto"/>
        <w:bottom w:val="none" w:sz="0" w:space="0" w:color="auto"/>
        <w:right w:val="none" w:sz="0" w:space="0" w:color="auto"/>
      </w:divBdr>
    </w:div>
    <w:div w:id="1368992505">
      <w:bodyDiv w:val="1"/>
      <w:marLeft w:val="0"/>
      <w:marRight w:val="0"/>
      <w:marTop w:val="0"/>
      <w:marBottom w:val="0"/>
      <w:divBdr>
        <w:top w:val="none" w:sz="0" w:space="0" w:color="auto"/>
        <w:left w:val="none" w:sz="0" w:space="0" w:color="auto"/>
        <w:bottom w:val="none" w:sz="0" w:space="0" w:color="auto"/>
        <w:right w:val="none" w:sz="0" w:space="0" w:color="auto"/>
      </w:divBdr>
    </w:div>
    <w:div w:id="1373118816">
      <w:bodyDiv w:val="1"/>
      <w:marLeft w:val="0"/>
      <w:marRight w:val="0"/>
      <w:marTop w:val="0"/>
      <w:marBottom w:val="0"/>
      <w:divBdr>
        <w:top w:val="none" w:sz="0" w:space="0" w:color="auto"/>
        <w:left w:val="none" w:sz="0" w:space="0" w:color="auto"/>
        <w:bottom w:val="none" w:sz="0" w:space="0" w:color="auto"/>
        <w:right w:val="none" w:sz="0" w:space="0" w:color="auto"/>
      </w:divBdr>
    </w:div>
    <w:div w:id="1374190287">
      <w:bodyDiv w:val="1"/>
      <w:marLeft w:val="0"/>
      <w:marRight w:val="0"/>
      <w:marTop w:val="0"/>
      <w:marBottom w:val="0"/>
      <w:divBdr>
        <w:top w:val="none" w:sz="0" w:space="0" w:color="auto"/>
        <w:left w:val="none" w:sz="0" w:space="0" w:color="auto"/>
        <w:bottom w:val="none" w:sz="0" w:space="0" w:color="auto"/>
        <w:right w:val="none" w:sz="0" w:space="0" w:color="auto"/>
      </w:divBdr>
    </w:div>
    <w:div w:id="1376584408">
      <w:bodyDiv w:val="1"/>
      <w:marLeft w:val="0"/>
      <w:marRight w:val="0"/>
      <w:marTop w:val="0"/>
      <w:marBottom w:val="0"/>
      <w:divBdr>
        <w:top w:val="none" w:sz="0" w:space="0" w:color="auto"/>
        <w:left w:val="none" w:sz="0" w:space="0" w:color="auto"/>
        <w:bottom w:val="none" w:sz="0" w:space="0" w:color="auto"/>
        <w:right w:val="none" w:sz="0" w:space="0" w:color="auto"/>
      </w:divBdr>
    </w:div>
    <w:div w:id="1377781858">
      <w:bodyDiv w:val="1"/>
      <w:marLeft w:val="0"/>
      <w:marRight w:val="0"/>
      <w:marTop w:val="0"/>
      <w:marBottom w:val="0"/>
      <w:divBdr>
        <w:top w:val="none" w:sz="0" w:space="0" w:color="auto"/>
        <w:left w:val="none" w:sz="0" w:space="0" w:color="auto"/>
        <w:bottom w:val="none" w:sz="0" w:space="0" w:color="auto"/>
        <w:right w:val="none" w:sz="0" w:space="0" w:color="auto"/>
      </w:divBdr>
    </w:div>
    <w:div w:id="1378966022">
      <w:bodyDiv w:val="1"/>
      <w:marLeft w:val="0"/>
      <w:marRight w:val="0"/>
      <w:marTop w:val="0"/>
      <w:marBottom w:val="0"/>
      <w:divBdr>
        <w:top w:val="none" w:sz="0" w:space="0" w:color="auto"/>
        <w:left w:val="none" w:sz="0" w:space="0" w:color="auto"/>
        <w:bottom w:val="none" w:sz="0" w:space="0" w:color="auto"/>
        <w:right w:val="none" w:sz="0" w:space="0" w:color="auto"/>
      </w:divBdr>
    </w:div>
    <w:div w:id="1379091688">
      <w:bodyDiv w:val="1"/>
      <w:marLeft w:val="0"/>
      <w:marRight w:val="0"/>
      <w:marTop w:val="0"/>
      <w:marBottom w:val="0"/>
      <w:divBdr>
        <w:top w:val="none" w:sz="0" w:space="0" w:color="auto"/>
        <w:left w:val="none" w:sz="0" w:space="0" w:color="auto"/>
        <w:bottom w:val="none" w:sz="0" w:space="0" w:color="auto"/>
        <w:right w:val="none" w:sz="0" w:space="0" w:color="auto"/>
      </w:divBdr>
    </w:div>
    <w:div w:id="1381324907">
      <w:bodyDiv w:val="1"/>
      <w:marLeft w:val="0"/>
      <w:marRight w:val="0"/>
      <w:marTop w:val="0"/>
      <w:marBottom w:val="0"/>
      <w:divBdr>
        <w:top w:val="none" w:sz="0" w:space="0" w:color="auto"/>
        <w:left w:val="none" w:sz="0" w:space="0" w:color="auto"/>
        <w:bottom w:val="none" w:sz="0" w:space="0" w:color="auto"/>
        <w:right w:val="none" w:sz="0" w:space="0" w:color="auto"/>
      </w:divBdr>
    </w:div>
    <w:div w:id="1382751619">
      <w:bodyDiv w:val="1"/>
      <w:marLeft w:val="0"/>
      <w:marRight w:val="0"/>
      <w:marTop w:val="0"/>
      <w:marBottom w:val="0"/>
      <w:divBdr>
        <w:top w:val="none" w:sz="0" w:space="0" w:color="auto"/>
        <w:left w:val="none" w:sz="0" w:space="0" w:color="auto"/>
        <w:bottom w:val="none" w:sz="0" w:space="0" w:color="auto"/>
        <w:right w:val="none" w:sz="0" w:space="0" w:color="auto"/>
      </w:divBdr>
    </w:div>
    <w:div w:id="1383749726">
      <w:bodyDiv w:val="1"/>
      <w:marLeft w:val="0"/>
      <w:marRight w:val="0"/>
      <w:marTop w:val="0"/>
      <w:marBottom w:val="0"/>
      <w:divBdr>
        <w:top w:val="none" w:sz="0" w:space="0" w:color="auto"/>
        <w:left w:val="none" w:sz="0" w:space="0" w:color="auto"/>
        <w:bottom w:val="none" w:sz="0" w:space="0" w:color="auto"/>
        <w:right w:val="none" w:sz="0" w:space="0" w:color="auto"/>
      </w:divBdr>
    </w:div>
    <w:div w:id="1383942346">
      <w:bodyDiv w:val="1"/>
      <w:marLeft w:val="0"/>
      <w:marRight w:val="0"/>
      <w:marTop w:val="0"/>
      <w:marBottom w:val="0"/>
      <w:divBdr>
        <w:top w:val="none" w:sz="0" w:space="0" w:color="auto"/>
        <w:left w:val="none" w:sz="0" w:space="0" w:color="auto"/>
        <w:bottom w:val="none" w:sz="0" w:space="0" w:color="auto"/>
        <w:right w:val="none" w:sz="0" w:space="0" w:color="auto"/>
      </w:divBdr>
    </w:div>
    <w:div w:id="1384670811">
      <w:bodyDiv w:val="1"/>
      <w:marLeft w:val="0"/>
      <w:marRight w:val="0"/>
      <w:marTop w:val="0"/>
      <w:marBottom w:val="0"/>
      <w:divBdr>
        <w:top w:val="none" w:sz="0" w:space="0" w:color="auto"/>
        <w:left w:val="none" w:sz="0" w:space="0" w:color="auto"/>
        <w:bottom w:val="none" w:sz="0" w:space="0" w:color="auto"/>
        <w:right w:val="none" w:sz="0" w:space="0" w:color="auto"/>
      </w:divBdr>
    </w:div>
    <w:div w:id="1384795809">
      <w:bodyDiv w:val="1"/>
      <w:marLeft w:val="0"/>
      <w:marRight w:val="0"/>
      <w:marTop w:val="0"/>
      <w:marBottom w:val="0"/>
      <w:divBdr>
        <w:top w:val="none" w:sz="0" w:space="0" w:color="auto"/>
        <w:left w:val="none" w:sz="0" w:space="0" w:color="auto"/>
        <w:bottom w:val="none" w:sz="0" w:space="0" w:color="auto"/>
        <w:right w:val="none" w:sz="0" w:space="0" w:color="auto"/>
      </w:divBdr>
    </w:div>
    <w:div w:id="1386179656">
      <w:bodyDiv w:val="1"/>
      <w:marLeft w:val="0"/>
      <w:marRight w:val="0"/>
      <w:marTop w:val="0"/>
      <w:marBottom w:val="0"/>
      <w:divBdr>
        <w:top w:val="none" w:sz="0" w:space="0" w:color="auto"/>
        <w:left w:val="none" w:sz="0" w:space="0" w:color="auto"/>
        <w:bottom w:val="none" w:sz="0" w:space="0" w:color="auto"/>
        <w:right w:val="none" w:sz="0" w:space="0" w:color="auto"/>
      </w:divBdr>
      <w:divsChild>
        <w:div w:id="301694787">
          <w:marLeft w:val="0"/>
          <w:marRight w:val="0"/>
          <w:marTop w:val="0"/>
          <w:marBottom w:val="0"/>
          <w:divBdr>
            <w:top w:val="none" w:sz="0" w:space="0" w:color="auto"/>
            <w:left w:val="none" w:sz="0" w:space="0" w:color="auto"/>
            <w:bottom w:val="none" w:sz="0" w:space="0" w:color="auto"/>
            <w:right w:val="none" w:sz="0" w:space="0" w:color="auto"/>
          </w:divBdr>
        </w:div>
        <w:div w:id="378553966">
          <w:marLeft w:val="0"/>
          <w:marRight w:val="0"/>
          <w:marTop w:val="0"/>
          <w:marBottom w:val="0"/>
          <w:divBdr>
            <w:top w:val="none" w:sz="0" w:space="0" w:color="auto"/>
            <w:left w:val="none" w:sz="0" w:space="0" w:color="auto"/>
            <w:bottom w:val="none" w:sz="0" w:space="0" w:color="auto"/>
            <w:right w:val="none" w:sz="0" w:space="0" w:color="auto"/>
          </w:divBdr>
        </w:div>
        <w:div w:id="560482586">
          <w:marLeft w:val="0"/>
          <w:marRight w:val="0"/>
          <w:marTop w:val="0"/>
          <w:marBottom w:val="0"/>
          <w:divBdr>
            <w:top w:val="none" w:sz="0" w:space="0" w:color="auto"/>
            <w:left w:val="none" w:sz="0" w:space="0" w:color="auto"/>
            <w:bottom w:val="none" w:sz="0" w:space="0" w:color="auto"/>
            <w:right w:val="none" w:sz="0" w:space="0" w:color="auto"/>
          </w:divBdr>
        </w:div>
        <w:div w:id="669405989">
          <w:marLeft w:val="0"/>
          <w:marRight w:val="0"/>
          <w:marTop w:val="0"/>
          <w:marBottom w:val="0"/>
          <w:divBdr>
            <w:top w:val="none" w:sz="0" w:space="0" w:color="auto"/>
            <w:left w:val="none" w:sz="0" w:space="0" w:color="auto"/>
            <w:bottom w:val="none" w:sz="0" w:space="0" w:color="auto"/>
            <w:right w:val="none" w:sz="0" w:space="0" w:color="auto"/>
          </w:divBdr>
        </w:div>
        <w:div w:id="681668285">
          <w:marLeft w:val="0"/>
          <w:marRight w:val="0"/>
          <w:marTop w:val="0"/>
          <w:marBottom w:val="0"/>
          <w:divBdr>
            <w:top w:val="none" w:sz="0" w:space="0" w:color="auto"/>
            <w:left w:val="none" w:sz="0" w:space="0" w:color="auto"/>
            <w:bottom w:val="none" w:sz="0" w:space="0" w:color="auto"/>
            <w:right w:val="none" w:sz="0" w:space="0" w:color="auto"/>
          </w:divBdr>
        </w:div>
        <w:div w:id="716857736">
          <w:marLeft w:val="0"/>
          <w:marRight w:val="0"/>
          <w:marTop w:val="0"/>
          <w:marBottom w:val="0"/>
          <w:divBdr>
            <w:top w:val="none" w:sz="0" w:space="0" w:color="auto"/>
            <w:left w:val="none" w:sz="0" w:space="0" w:color="auto"/>
            <w:bottom w:val="none" w:sz="0" w:space="0" w:color="auto"/>
            <w:right w:val="none" w:sz="0" w:space="0" w:color="auto"/>
          </w:divBdr>
        </w:div>
        <w:div w:id="890657354">
          <w:marLeft w:val="0"/>
          <w:marRight w:val="0"/>
          <w:marTop w:val="0"/>
          <w:marBottom w:val="0"/>
          <w:divBdr>
            <w:top w:val="none" w:sz="0" w:space="0" w:color="auto"/>
            <w:left w:val="none" w:sz="0" w:space="0" w:color="auto"/>
            <w:bottom w:val="none" w:sz="0" w:space="0" w:color="auto"/>
            <w:right w:val="none" w:sz="0" w:space="0" w:color="auto"/>
          </w:divBdr>
        </w:div>
        <w:div w:id="1028026486">
          <w:marLeft w:val="0"/>
          <w:marRight w:val="0"/>
          <w:marTop w:val="0"/>
          <w:marBottom w:val="0"/>
          <w:divBdr>
            <w:top w:val="none" w:sz="0" w:space="0" w:color="auto"/>
            <w:left w:val="none" w:sz="0" w:space="0" w:color="auto"/>
            <w:bottom w:val="none" w:sz="0" w:space="0" w:color="auto"/>
            <w:right w:val="none" w:sz="0" w:space="0" w:color="auto"/>
          </w:divBdr>
        </w:div>
        <w:div w:id="1160805299">
          <w:marLeft w:val="0"/>
          <w:marRight w:val="0"/>
          <w:marTop w:val="0"/>
          <w:marBottom w:val="0"/>
          <w:divBdr>
            <w:top w:val="none" w:sz="0" w:space="0" w:color="auto"/>
            <w:left w:val="none" w:sz="0" w:space="0" w:color="auto"/>
            <w:bottom w:val="none" w:sz="0" w:space="0" w:color="auto"/>
            <w:right w:val="none" w:sz="0" w:space="0" w:color="auto"/>
          </w:divBdr>
        </w:div>
        <w:div w:id="1248732639">
          <w:marLeft w:val="0"/>
          <w:marRight w:val="0"/>
          <w:marTop w:val="0"/>
          <w:marBottom w:val="0"/>
          <w:divBdr>
            <w:top w:val="none" w:sz="0" w:space="0" w:color="auto"/>
            <w:left w:val="none" w:sz="0" w:space="0" w:color="auto"/>
            <w:bottom w:val="none" w:sz="0" w:space="0" w:color="auto"/>
            <w:right w:val="none" w:sz="0" w:space="0" w:color="auto"/>
          </w:divBdr>
        </w:div>
        <w:div w:id="1377703049">
          <w:marLeft w:val="0"/>
          <w:marRight w:val="0"/>
          <w:marTop w:val="0"/>
          <w:marBottom w:val="0"/>
          <w:divBdr>
            <w:top w:val="none" w:sz="0" w:space="0" w:color="auto"/>
            <w:left w:val="none" w:sz="0" w:space="0" w:color="auto"/>
            <w:bottom w:val="none" w:sz="0" w:space="0" w:color="auto"/>
            <w:right w:val="none" w:sz="0" w:space="0" w:color="auto"/>
          </w:divBdr>
        </w:div>
        <w:div w:id="1563443319">
          <w:marLeft w:val="0"/>
          <w:marRight w:val="0"/>
          <w:marTop w:val="0"/>
          <w:marBottom w:val="0"/>
          <w:divBdr>
            <w:top w:val="none" w:sz="0" w:space="0" w:color="auto"/>
            <w:left w:val="none" w:sz="0" w:space="0" w:color="auto"/>
            <w:bottom w:val="none" w:sz="0" w:space="0" w:color="auto"/>
            <w:right w:val="none" w:sz="0" w:space="0" w:color="auto"/>
          </w:divBdr>
        </w:div>
        <w:div w:id="1667132394">
          <w:marLeft w:val="0"/>
          <w:marRight w:val="0"/>
          <w:marTop w:val="0"/>
          <w:marBottom w:val="0"/>
          <w:divBdr>
            <w:top w:val="none" w:sz="0" w:space="0" w:color="auto"/>
            <w:left w:val="none" w:sz="0" w:space="0" w:color="auto"/>
            <w:bottom w:val="none" w:sz="0" w:space="0" w:color="auto"/>
            <w:right w:val="none" w:sz="0" w:space="0" w:color="auto"/>
          </w:divBdr>
        </w:div>
        <w:div w:id="1677417732">
          <w:marLeft w:val="0"/>
          <w:marRight w:val="0"/>
          <w:marTop w:val="0"/>
          <w:marBottom w:val="0"/>
          <w:divBdr>
            <w:top w:val="none" w:sz="0" w:space="0" w:color="auto"/>
            <w:left w:val="none" w:sz="0" w:space="0" w:color="auto"/>
            <w:bottom w:val="none" w:sz="0" w:space="0" w:color="auto"/>
            <w:right w:val="none" w:sz="0" w:space="0" w:color="auto"/>
          </w:divBdr>
        </w:div>
        <w:div w:id="1763643774">
          <w:marLeft w:val="0"/>
          <w:marRight w:val="0"/>
          <w:marTop w:val="0"/>
          <w:marBottom w:val="0"/>
          <w:divBdr>
            <w:top w:val="none" w:sz="0" w:space="0" w:color="auto"/>
            <w:left w:val="none" w:sz="0" w:space="0" w:color="auto"/>
            <w:bottom w:val="none" w:sz="0" w:space="0" w:color="auto"/>
            <w:right w:val="none" w:sz="0" w:space="0" w:color="auto"/>
          </w:divBdr>
        </w:div>
        <w:div w:id="1974092516">
          <w:marLeft w:val="0"/>
          <w:marRight w:val="0"/>
          <w:marTop w:val="0"/>
          <w:marBottom w:val="0"/>
          <w:divBdr>
            <w:top w:val="none" w:sz="0" w:space="0" w:color="auto"/>
            <w:left w:val="none" w:sz="0" w:space="0" w:color="auto"/>
            <w:bottom w:val="none" w:sz="0" w:space="0" w:color="auto"/>
            <w:right w:val="none" w:sz="0" w:space="0" w:color="auto"/>
          </w:divBdr>
        </w:div>
        <w:div w:id="2010326167">
          <w:marLeft w:val="0"/>
          <w:marRight w:val="0"/>
          <w:marTop w:val="0"/>
          <w:marBottom w:val="0"/>
          <w:divBdr>
            <w:top w:val="none" w:sz="0" w:space="0" w:color="auto"/>
            <w:left w:val="none" w:sz="0" w:space="0" w:color="auto"/>
            <w:bottom w:val="none" w:sz="0" w:space="0" w:color="auto"/>
            <w:right w:val="none" w:sz="0" w:space="0" w:color="auto"/>
          </w:divBdr>
        </w:div>
        <w:div w:id="2078168119">
          <w:marLeft w:val="0"/>
          <w:marRight w:val="0"/>
          <w:marTop w:val="0"/>
          <w:marBottom w:val="0"/>
          <w:divBdr>
            <w:top w:val="none" w:sz="0" w:space="0" w:color="auto"/>
            <w:left w:val="none" w:sz="0" w:space="0" w:color="auto"/>
            <w:bottom w:val="none" w:sz="0" w:space="0" w:color="auto"/>
            <w:right w:val="none" w:sz="0" w:space="0" w:color="auto"/>
          </w:divBdr>
        </w:div>
        <w:div w:id="2079664148">
          <w:marLeft w:val="0"/>
          <w:marRight w:val="0"/>
          <w:marTop w:val="0"/>
          <w:marBottom w:val="0"/>
          <w:divBdr>
            <w:top w:val="none" w:sz="0" w:space="0" w:color="auto"/>
            <w:left w:val="none" w:sz="0" w:space="0" w:color="auto"/>
            <w:bottom w:val="none" w:sz="0" w:space="0" w:color="auto"/>
            <w:right w:val="none" w:sz="0" w:space="0" w:color="auto"/>
          </w:divBdr>
        </w:div>
        <w:div w:id="2106343181">
          <w:marLeft w:val="0"/>
          <w:marRight w:val="0"/>
          <w:marTop w:val="0"/>
          <w:marBottom w:val="0"/>
          <w:divBdr>
            <w:top w:val="none" w:sz="0" w:space="0" w:color="auto"/>
            <w:left w:val="none" w:sz="0" w:space="0" w:color="auto"/>
            <w:bottom w:val="none" w:sz="0" w:space="0" w:color="auto"/>
            <w:right w:val="none" w:sz="0" w:space="0" w:color="auto"/>
          </w:divBdr>
        </w:div>
      </w:divsChild>
    </w:div>
    <w:div w:id="1389761470">
      <w:bodyDiv w:val="1"/>
      <w:marLeft w:val="0"/>
      <w:marRight w:val="0"/>
      <w:marTop w:val="0"/>
      <w:marBottom w:val="0"/>
      <w:divBdr>
        <w:top w:val="none" w:sz="0" w:space="0" w:color="auto"/>
        <w:left w:val="none" w:sz="0" w:space="0" w:color="auto"/>
        <w:bottom w:val="none" w:sz="0" w:space="0" w:color="auto"/>
        <w:right w:val="none" w:sz="0" w:space="0" w:color="auto"/>
      </w:divBdr>
    </w:div>
    <w:div w:id="1391464439">
      <w:bodyDiv w:val="1"/>
      <w:marLeft w:val="0"/>
      <w:marRight w:val="0"/>
      <w:marTop w:val="0"/>
      <w:marBottom w:val="0"/>
      <w:divBdr>
        <w:top w:val="none" w:sz="0" w:space="0" w:color="auto"/>
        <w:left w:val="none" w:sz="0" w:space="0" w:color="auto"/>
        <w:bottom w:val="none" w:sz="0" w:space="0" w:color="auto"/>
        <w:right w:val="none" w:sz="0" w:space="0" w:color="auto"/>
      </w:divBdr>
    </w:div>
    <w:div w:id="1393575508">
      <w:bodyDiv w:val="1"/>
      <w:marLeft w:val="0"/>
      <w:marRight w:val="0"/>
      <w:marTop w:val="0"/>
      <w:marBottom w:val="0"/>
      <w:divBdr>
        <w:top w:val="none" w:sz="0" w:space="0" w:color="auto"/>
        <w:left w:val="none" w:sz="0" w:space="0" w:color="auto"/>
        <w:bottom w:val="none" w:sz="0" w:space="0" w:color="auto"/>
        <w:right w:val="none" w:sz="0" w:space="0" w:color="auto"/>
      </w:divBdr>
    </w:div>
    <w:div w:id="1394304788">
      <w:bodyDiv w:val="1"/>
      <w:marLeft w:val="0"/>
      <w:marRight w:val="0"/>
      <w:marTop w:val="0"/>
      <w:marBottom w:val="0"/>
      <w:divBdr>
        <w:top w:val="none" w:sz="0" w:space="0" w:color="auto"/>
        <w:left w:val="none" w:sz="0" w:space="0" w:color="auto"/>
        <w:bottom w:val="none" w:sz="0" w:space="0" w:color="auto"/>
        <w:right w:val="none" w:sz="0" w:space="0" w:color="auto"/>
      </w:divBdr>
    </w:div>
    <w:div w:id="1396314047">
      <w:bodyDiv w:val="1"/>
      <w:marLeft w:val="0"/>
      <w:marRight w:val="0"/>
      <w:marTop w:val="0"/>
      <w:marBottom w:val="0"/>
      <w:divBdr>
        <w:top w:val="none" w:sz="0" w:space="0" w:color="auto"/>
        <w:left w:val="none" w:sz="0" w:space="0" w:color="auto"/>
        <w:bottom w:val="none" w:sz="0" w:space="0" w:color="auto"/>
        <w:right w:val="none" w:sz="0" w:space="0" w:color="auto"/>
      </w:divBdr>
    </w:div>
    <w:div w:id="1398557304">
      <w:bodyDiv w:val="1"/>
      <w:marLeft w:val="0"/>
      <w:marRight w:val="0"/>
      <w:marTop w:val="0"/>
      <w:marBottom w:val="0"/>
      <w:divBdr>
        <w:top w:val="none" w:sz="0" w:space="0" w:color="auto"/>
        <w:left w:val="none" w:sz="0" w:space="0" w:color="auto"/>
        <w:bottom w:val="none" w:sz="0" w:space="0" w:color="auto"/>
        <w:right w:val="none" w:sz="0" w:space="0" w:color="auto"/>
      </w:divBdr>
    </w:div>
    <w:div w:id="1399088135">
      <w:bodyDiv w:val="1"/>
      <w:marLeft w:val="0"/>
      <w:marRight w:val="0"/>
      <w:marTop w:val="0"/>
      <w:marBottom w:val="0"/>
      <w:divBdr>
        <w:top w:val="none" w:sz="0" w:space="0" w:color="auto"/>
        <w:left w:val="none" w:sz="0" w:space="0" w:color="auto"/>
        <w:bottom w:val="none" w:sz="0" w:space="0" w:color="auto"/>
        <w:right w:val="none" w:sz="0" w:space="0" w:color="auto"/>
      </w:divBdr>
    </w:div>
    <w:div w:id="1400245650">
      <w:bodyDiv w:val="1"/>
      <w:marLeft w:val="0"/>
      <w:marRight w:val="0"/>
      <w:marTop w:val="0"/>
      <w:marBottom w:val="0"/>
      <w:divBdr>
        <w:top w:val="none" w:sz="0" w:space="0" w:color="auto"/>
        <w:left w:val="none" w:sz="0" w:space="0" w:color="auto"/>
        <w:bottom w:val="none" w:sz="0" w:space="0" w:color="auto"/>
        <w:right w:val="none" w:sz="0" w:space="0" w:color="auto"/>
      </w:divBdr>
    </w:div>
    <w:div w:id="1402362949">
      <w:bodyDiv w:val="1"/>
      <w:marLeft w:val="0"/>
      <w:marRight w:val="0"/>
      <w:marTop w:val="0"/>
      <w:marBottom w:val="0"/>
      <w:divBdr>
        <w:top w:val="none" w:sz="0" w:space="0" w:color="auto"/>
        <w:left w:val="none" w:sz="0" w:space="0" w:color="auto"/>
        <w:bottom w:val="none" w:sz="0" w:space="0" w:color="auto"/>
        <w:right w:val="none" w:sz="0" w:space="0" w:color="auto"/>
      </w:divBdr>
    </w:div>
    <w:div w:id="1403675475">
      <w:bodyDiv w:val="1"/>
      <w:marLeft w:val="0"/>
      <w:marRight w:val="0"/>
      <w:marTop w:val="0"/>
      <w:marBottom w:val="0"/>
      <w:divBdr>
        <w:top w:val="none" w:sz="0" w:space="0" w:color="auto"/>
        <w:left w:val="none" w:sz="0" w:space="0" w:color="auto"/>
        <w:bottom w:val="none" w:sz="0" w:space="0" w:color="auto"/>
        <w:right w:val="none" w:sz="0" w:space="0" w:color="auto"/>
      </w:divBdr>
    </w:div>
    <w:div w:id="1406684902">
      <w:bodyDiv w:val="1"/>
      <w:marLeft w:val="0"/>
      <w:marRight w:val="0"/>
      <w:marTop w:val="0"/>
      <w:marBottom w:val="0"/>
      <w:divBdr>
        <w:top w:val="none" w:sz="0" w:space="0" w:color="auto"/>
        <w:left w:val="none" w:sz="0" w:space="0" w:color="auto"/>
        <w:bottom w:val="none" w:sz="0" w:space="0" w:color="auto"/>
        <w:right w:val="none" w:sz="0" w:space="0" w:color="auto"/>
      </w:divBdr>
    </w:div>
    <w:div w:id="1409812520">
      <w:bodyDiv w:val="1"/>
      <w:marLeft w:val="0"/>
      <w:marRight w:val="0"/>
      <w:marTop w:val="0"/>
      <w:marBottom w:val="0"/>
      <w:divBdr>
        <w:top w:val="none" w:sz="0" w:space="0" w:color="auto"/>
        <w:left w:val="none" w:sz="0" w:space="0" w:color="auto"/>
        <w:bottom w:val="none" w:sz="0" w:space="0" w:color="auto"/>
        <w:right w:val="none" w:sz="0" w:space="0" w:color="auto"/>
      </w:divBdr>
    </w:div>
    <w:div w:id="1410079182">
      <w:bodyDiv w:val="1"/>
      <w:marLeft w:val="0"/>
      <w:marRight w:val="0"/>
      <w:marTop w:val="0"/>
      <w:marBottom w:val="0"/>
      <w:divBdr>
        <w:top w:val="none" w:sz="0" w:space="0" w:color="auto"/>
        <w:left w:val="none" w:sz="0" w:space="0" w:color="auto"/>
        <w:bottom w:val="none" w:sz="0" w:space="0" w:color="auto"/>
        <w:right w:val="none" w:sz="0" w:space="0" w:color="auto"/>
      </w:divBdr>
    </w:div>
    <w:div w:id="1410927081">
      <w:bodyDiv w:val="1"/>
      <w:marLeft w:val="0"/>
      <w:marRight w:val="0"/>
      <w:marTop w:val="0"/>
      <w:marBottom w:val="0"/>
      <w:divBdr>
        <w:top w:val="none" w:sz="0" w:space="0" w:color="auto"/>
        <w:left w:val="none" w:sz="0" w:space="0" w:color="auto"/>
        <w:bottom w:val="none" w:sz="0" w:space="0" w:color="auto"/>
        <w:right w:val="none" w:sz="0" w:space="0" w:color="auto"/>
      </w:divBdr>
    </w:div>
    <w:div w:id="1411387987">
      <w:bodyDiv w:val="1"/>
      <w:marLeft w:val="0"/>
      <w:marRight w:val="0"/>
      <w:marTop w:val="0"/>
      <w:marBottom w:val="0"/>
      <w:divBdr>
        <w:top w:val="none" w:sz="0" w:space="0" w:color="auto"/>
        <w:left w:val="none" w:sz="0" w:space="0" w:color="auto"/>
        <w:bottom w:val="none" w:sz="0" w:space="0" w:color="auto"/>
        <w:right w:val="none" w:sz="0" w:space="0" w:color="auto"/>
      </w:divBdr>
    </w:div>
    <w:div w:id="1411924793">
      <w:bodyDiv w:val="1"/>
      <w:marLeft w:val="0"/>
      <w:marRight w:val="0"/>
      <w:marTop w:val="0"/>
      <w:marBottom w:val="0"/>
      <w:divBdr>
        <w:top w:val="none" w:sz="0" w:space="0" w:color="auto"/>
        <w:left w:val="none" w:sz="0" w:space="0" w:color="auto"/>
        <w:bottom w:val="none" w:sz="0" w:space="0" w:color="auto"/>
        <w:right w:val="none" w:sz="0" w:space="0" w:color="auto"/>
      </w:divBdr>
    </w:div>
    <w:div w:id="1412699007">
      <w:bodyDiv w:val="1"/>
      <w:marLeft w:val="0"/>
      <w:marRight w:val="0"/>
      <w:marTop w:val="0"/>
      <w:marBottom w:val="0"/>
      <w:divBdr>
        <w:top w:val="none" w:sz="0" w:space="0" w:color="auto"/>
        <w:left w:val="none" w:sz="0" w:space="0" w:color="auto"/>
        <w:bottom w:val="none" w:sz="0" w:space="0" w:color="auto"/>
        <w:right w:val="none" w:sz="0" w:space="0" w:color="auto"/>
      </w:divBdr>
    </w:div>
    <w:div w:id="1414090374">
      <w:bodyDiv w:val="1"/>
      <w:marLeft w:val="0"/>
      <w:marRight w:val="0"/>
      <w:marTop w:val="0"/>
      <w:marBottom w:val="0"/>
      <w:divBdr>
        <w:top w:val="none" w:sz="0" w:space="0" w:color="auto"/>
        <w:left w:val="none" w:sz="0" w:space="0" w:color="auto"/>
        <w:bottom w:val="none" w:sz="0" w:space="0" w:color="auto"/>
        <w:right w:val="none" w:sz="0" w:space="0" w:color="auto"/>
      </w:divBdr>
    </w:div>
    <w:div w:id="1417745425">
      <w:bodyDiv w:val="1"/>
      <w:marLeft w:val="0"/>
      <w:marRight w:val="0"/>
      <w:marTop w:val="0"/>
      <w:marBottom w:val="0"/>
      <w:divBdr>
        <w:top w:val="none" w:sz="0" w:space="0" w:color="auto"/>
        <w:left w:val="none" w:sz="0" w:space="0" w:color="auto"/>
        <w:bottom w:val="none" w:sz="0" w:space="0" w:color="auto"/>
        <w:right w:val="none" w:sz="0" w:space="0" w:color="auto"/>
      </w:divBdr>
    </w:div>
    <w:div w:id="1424498793">
      <w:bodyDiv w:val="1"/>
      <w:marLeft w:val="0"/>
      <w:marRight w:val="0"/>
      <w:marTop w:val="0"/>
      <w:marBottom w:val="0"/>
      <w:divBdr>
        <w:top w:val="none" w:sz="0" w:space="0" w:color="auto"/>
        <w:left w:val="none" w:sz="0" w:space="0" w:color="auto"/>
        <w:bottom w:val="none" w:sz="0" w:space="0" w:color="auto"/>
        <w:right w:val="none" w:sz="0" w:space="0" w:color="auto"/>
      </w:divBdr>
    </w:div>
    <w:div w:id="1425344131">
      <w:bodyDiv w:val="1"/>
      <w:marLeft w:val="0"/>
      <w:marRight w:val="0"/>
      <w:marTop w:val="0"/>
      <w:marBottom w:val="0"/>
      <w:divBdr>
        <w:top w:val="none" w:sz="0" w:space="0" w:color="auto"/>
        <w:left w:val="none" w:sz="0" w:space="0" w:color="auto"/>
        <w:bottom w:val="none" w:sz="0" w:space="0" w:color="auto"/>
        <w:right w:val="none" w:sz="0" w:space="0" w:color="auto"/>
      </w:divBdr>
    </w:div>
    <w:div w:id="1430157694">
      <w:bodyDiv w:val="1"/>
      <w:marLeft w:val="0"/>
      <w:marRight w:val="0"/>
      <w:marTop w:val="0"/>
      <w:marBottom w:val="0"/>
      <w:divBdr>
        <w:top w:val="none" w:sz="0" w:space="0" w:color="auto"/>
        <w:left w:val="none" w:sz="0" w:space="0" w:color="auto"/>
        <w:bottom w:val="none" w:sz="0" w:space="0" w:color="auto"/>
        <w:right w:val="none" w:sz="0" w:space="0" w:color="auto"/>
      </w:divBdr>
    </w:div>
    <w:div w:id="1430544710">
      <w:bodyDiv w:val="1"/>
      <w:marLeft w:val="0"/>
      <w:marRight w:val="0"/>
      <w:marTop w:val="0"/>
      <w:marBottom w:val="0"/>
      <w:divBdr>
        <w:top w:val="none" w:sz="0" w:space="0" w:color="auto"/>
        <w:left w:val="none" w:sz="0" w:space="0" w:color="auto"/>
        <w:bottom w:val="none" w:sz="0" w:space="0" w:color="auto"/>
        <w:right w:val="none" w:sz="0" w:space="0" w:color="auto"/>
      </w:divBdr>
    </w:div>
    <w:div w:id="1431585630">
      <w:bodyDiv w:val="1"/>
      <w:marLeft w:val="0"/>
      <w:marRight w:val="0"/>
      <w:marTop w:val="0"/>
      <w:marBottom w:val="0"/>
      <w:divBdr>
        <w:top w:val="none" w:sz="0" w:space="0" w:color="auto"/>
        <w:left w:val="none" w:sz="0" w:space="0" w:color="auto"/>
        <w:bottom w:val="none" w:sz="0" w:space="0" w:color="auto"/>
        <w:right w:val="none" w:sz="0" w:space="0" w:color="auto"/>
      </w:divBdr>
    </w:div>
    <w:div w:id="1434084999">
      <w:bodyDiv w:val="1"/>
      <w:marLeft w:val="0"/>
      <w:marRight w:val="0"/>
      <w:marTop w:val="0"/>
      <w:marBottom w:val="0"/>
      <w:divBdr>
        <w:top w:val="none" w:sz="0" w:space="0" w:color="auto"/>
        <w:left w:val="none" w:sz="0" w:space="0" w:color="auto"/>
        <w:bottom w:val="none" w:sz="0" w:space="0" w:color="auto"/>
        <w:right w:val="none" w:sz="0" w:space="0" w:color="auto"/>
      </w:divBdr>
    </w:div>
    <w:div w:id="1436361244">
      <w:bodyDiv w:val="1"/>
      <w:marLeft w:val="0"/>
      <w:marRight w:val="0"/>
      <w:marTop w:val="0"/>
      <w:marBottom w:val="0"/>
      <w:divBdr>
        <w:top w:val="none" w:sz="0" w:space="0" w:color="auto"/>
        <w:left w:val="none" w:sz="0" w:space="0" w:color="auto"/>
        <w:bottom w:val="none" w:sz="0" w:space="0" w:color="auto"/>
        <w:right w:val="none" w:sz="0" w:space="0" w:color="auto"/>
      </w:divBdr>
    </w:div>
    <w:div w:id="1438018895">
      <w:bodyDiv w:val="1"/>
      <w:marLeft w:val="0"/>
      <w:marRight w:val="0"/>
      <w:marTop w:val="0"/>
      <w:marBottom w:val="0"/>
      <w:divBdr>
        <w:top w:val="none" w:sz="0" w:space="0" w:color="auto"/>
        <w:left w:val="none" w:sz="0" w:space="0" w:color="auto"/>
        <w:bottom w:val="none" w:sz="0" w:space="0" w:color="auto"/>
        <w:right w:val="none" w:sz="0" w:space="0" w:color="auto"/>
      </w:divBdr>
    </w:div>
    <w:div w:id="1439180961">
      <w:bodyDiv w:val="1"/>
      <w:marLeft w:val="0"/>
      <w:marRight w:val="0"/>
      <w:marTop w:val="0"/>
      <w:marBottom w:val="0"/>
      <w:divBdr>
        <w:top w:val="none" w:sz="0" w:space="0" w:color="auto"/>
        <w:left w:val="none" w:sz="0" w:space="0" w:color="auto"/>
        <w:bottom w:val="none" w:sz="0" w:space="0" w:color="auto"/>
        <w:right w:val="none" w:sz="0" w:space="0" w:color="auto"/>
      </w:divBdr>
    </w:div>
    <w:div w:id="1443300607">
      <w:bodyDiv w:val="1"/>
      <w:marLeft w:val="0"/>
      <w:marRight w:val="0"/>
      <w:marTop w:val="0"/>
      <w:marBottom w:val="0"/>
      <w:divBdr>
        <w:top w:val="none" w:sz="0" w:space="0" w:color="auto"/>
        <w:left w:val="none" w:sz="0" w:space="0" w:color="auto"/>
        <w:bottom w:val="none" w:sz="0" w:space="0" w:color="auto"/>
        <w:right w:val="none" w:sz="0" w:space="0" w:color="auto"/>
      </w:divBdr>
    </w:div>
    <w:div w:id="1444958739">
      <w:bodyDiv w:val="1"/>
      <w:marLeft w:val="0"/>
      <w:marRight w:val="0"/>
      <w:marTop w:val="0"/>
      <w:marBottom w:val="0"/>
      <w:divBdr>
        <w:top w:val="none" w:sz="0" w:space="0" w:color="auto"/>
        <w:left w:val="none" w:sz="0" w:space="0" w:color="auto"/>
        <w:bottom w:val="none" w:sz="0" w:space="0" w:color="auto"/>
        <w:right w:val="none" w:sz="0" w:space="0" w:color="auto"/>
      </w:divBdr>
    </w:div>
    <w:div w:id="1448502615">
      <w:bodyDiv w:val="1"/>
      <w:marLeft w:val="0"/>
      <w:marRight w:val="0"/>
      <w:marTop w:val="0"/>
      <w:marBottom w:val="0"/>
      <w:divBdr>
        <w:top w:val="none" w:sz="0" w:space="0" w:color="auto"/>
        <w:left w:val="none" w:sz="0" w:space="0" w:color="auto"/>
        <w:bottom w:val="none" w:sz="0" w:space="0" w:color="auto"/>
        <w:right w:val="none" w:sz="0" w:space="0" w:color="auto"/>
      </w:divBdr>
    </w:div>
    <w:div w:id="1454058170">
      <w:bodyDiv w:val="1"/>
      <w:marLeft w:val="0"/>
      <w:marRight w:val="0"/>
      <w:marTop w:val="0"/>
      <w:marBottom w:val="0"/>
      <w:divBdr>
        <w:top w:val="none" w:sz="0" w:space="0" w:color="auto"/>
        <w:left w:val="none" w:sz="0" w:space="0" w:color="auto"/>
        <w:bottom w:val="none" w:sz="0" w:space="0" w:color="auto"/>
        <w:right w:val="none" w:sz="0" w:space="0" w:color="auto"/>
      </w:divBdr>
    </w:div>
    <w:div w:id="1454515438">
      <w:bodyDiv w:val="1"/>
      <w:marLeft w:val="0"/>
      <w:marRight w:val="0"/>
      <w:marTop w:val="0"/>
      <w:marBottom w:val="0"/>
      <w:divBdr>
        <w:top w:val="none" w:sz="0" w:space="0" w:color="auto"/>
        <w:left w:val="none" w:sz="0" w:space="0" w:color="auto"/>
        <w:bottom w:val="none" w:sz="0" w:space="0" w:color="auto"/>
        <w:right w:val="none" w:sz="0" w:space="0" w:color="auto"/>
      </w:divBdr>
    </w:div>
    <w:div w:id="1456213304">
      <w:bodyDiv w:val="1"/>
      <w:marLeft w:val="0"/>
      <w:marRight w:val="0"/>
      <w:marTop w:val="0"/>
      <w:marBottom w:val="0"/>
      <w:divBdr>
        <w:top w:val="none" w:sz="0" w:space="0" w:color="auto"/>
        <w:left w:val="none" w:sz="0" w:space="0" w:color="auto"/>
        <w:bottom w:val="none" w:sz="0" w:space="0" w:color="auto"/>
        <w:right w:val="none" w:sz="0" w:space="0" w:color="auto"/>
      </w:divBdr>
    </w:div>
    <w:div w:id="1457290031">
      <w:bodyDiv w:val="1"/>
      <w:marLeft w:val="0"/>
      <w:marRight w:val="0"/>
      <w:marTop w:val="0"/>
      <w:marBottom w:val="0"/>
      <w:divBdr>
        <w:top w:val="none" w:sz="0" w:space="0" w:color="auto"/>
        <w:left w:val="none" w:sz="0" w:space="0" w:color="auto"/>
        <w:bottom w:val="none" w:sz="0" w:space="0" w:color="auto"/>
        <w:right w:val="none" w:sz="0" w:space="0" w:color="auto"/>
      </w:divBdr>
    </w:div>
    <w:div w:id="1458529468">
      <w:bodyDiv w:val="1"/>
      <w:marLeft w:val="0"/>
      <w:marRight w:val="0"/>
      <w:marTop w:val="0"/>
      <w:marBottom w:val="0"/>
      <w:divBdr>
        <w:top w:val="none" w:sz="0" w:space="0" w:color="auto"/>
        <w:left w:val="none" w:sz="0" w:space="0" w:color="auto"/>
        <w:bottom w:val="none" w:sz="0" w:space="0" w:color="auto"/>
        <w:right w:val="none" w:sz="0" w:space="0" w:color="auto"/>
      </w:divBdr>
    </w:div>
    <w:div w:id="1460218696">
      <w:bodyDiv w:val="1"/>
      <w:marLeft w:val="0"/>
      <w:marRight w:val="0"/>
      <w:marTop w:val="0"/>
      <w:marBottom w:val="0"/>
      <w:divBdr>
        <w:top w:val="none" w:sz="0" w:space="0" w:color="auto"/>
        <w:left w:val="none" w:sz="0" w:space="0" w:color="auto"/>
        <w:bottom w:val="none" w:sz="0" w:space="0" w:color="auto"/>
        <w:right w:val="none" w:sz="0" w:space="0" w:color="auto"/>
      </w:divBdr>
    </w:div>
    <w:div w:id="1462727667">
      <w:bodyDiv w:val="1"/>
      <w:marLeft w:val="0"/>
      <w:marRight w:val="0"/>
      <w:marTop w:val="0"/>
      <w:marBottom w:val="0"/>
      <w:divBdr>
        <w:top w:val="none" w:sz="0" w:space="0" w:color="auto"/>
        <w:left w:val="none" w:sz="0" w:space="0" w:color="auto"/>
        <w:bottom w:val="none" w:sz="0" w:space="0" w:color="auto"/>
        <w:right w:val="none" w:sz="0" w:space="0" w:color="auto"/>
      </w:divBdr>
    </w:div>
    <w:div w:id="1463881627">
      <w:bodyDiv w:val="1"/>
      <w:marLeft w:val="0"/>
      <w:marRight w:val="0"/>
      <w:marTop w:val="0"/>
      <w:marBottom w:val="0"/>
      <w:divBdr>
        <w:top w:val="none" w:sz="0" w:space="0" w:color="auto"/>
        <w:left w:val="none" w:sz="0" w:space="0" w:color="auto"/>
        <w:bottom w:val="none" w:sz="0" w:space="0" w:color="auto"/>
        <w:right w:val="none" w:sz="0" w:space="0" w:color="auto"/>
      </w:divBdr>
    </w:div>
    <w:div w:id="1464616173">
      <w:bodyDiv w:val="1"/>
      <w:marLeft w:val="0"/>
      <w:marRight w:val="0"/>
      <w:marTop w:val="0"/>
      <w:marBottom w:val="0"/>
      <w:divBdr>
        <w:top w:val="none" w:sz="0" w:space="0" w:color="auto"/>
        <w:left w:val="none" w:sz="0" w:space="0" w:color="auto"/>
        <w:bottom w:val="none" w:sz="0" w:space="0" w:color="auto"/>
        <w:right w:val="none" w:sz="0" w:space="0" w:color="auto"/>
      </w:divBdr>
    </w:div>
    <w:div w:id="1465544405">
      <w:bodyDiv w:val="1"/>
      <w:marLeft w:val="0"/>
      <w:marRight w:val="0"/>
      <w:marTop w:val="0"/>
      <w:marBottom w:val="0"/>
      <w:divBdr>
        <w:top w:val="none" w:sz="0" w:space="0" w:color="auto"/>
        <w:left w:val="none" w:sz="0" w:space="0" w:color="auto"/>
        <w:bottom w:val="none" w:sz="0" w:space="0" w:color="auto"/>
        <w:right w:val="none" w:sz="0" w:space="0" w:color="auto"/>
      </w:divBdr>
    </w:div>
    <w:div w:id="1466892866">
      <w:bodyDiv w:val="1"/>
      <w:marLeft w:val="0"/>
      <w:marRight w:val="0"/>
      <w:marTop w:val="0"/>
      <w:marBottom w:val="0"/>
      <w:divBdr>
        <w:top w:val="none" w:sz="0" w:space="0" w:color="auto"/>
        <w:left w:val="none" w:sz="0" w:space="0" w:color="auto"/>
        <w:bottom w:val="none" w:sz="0" w:space="0" w:color="auto"/>
        <w:right w:val="none" w:sz="0" w:space="0" w:color="auto"/>
      </w:divBdr>
    </w:div>
    <w:div w:id="1467352884">
      <w:bodyDiv w:val="1"/>
      <w:marLeft w:val="0"/>
      <w:marRight w:val="0"/>
      <w:marTop w:val="0"/>
      <w:marBottom w:val="0"/>
      <w:divBdr>
        <w:top w:val="none" w:sz="0" w:space="0" w:color="auto"/>
        <w:left w:val="none" w:sz="0" w:space="0" w:color="auto"/>
        <w:bottom w:val="none" w:sz="0" w:space="0" w:color="auto"/>
        <w:right w:val="none" w:sz="0" w:space="0" w:color="auto"/>
      </w:divBdr>
    </w:div>
    <w:div w:id="1468275852">
      <w:bodyDiv w:val="1"/>
      <w:marLeft w:val="0"/>
      <w:marRight w:val="0"/>
      <w:marTop w:val="0"/>
      <w:marBottom w:val="0"/>
      <w:divBdr>
        <w:top w:val="none" w:sz="0" w:space="0" w:color="auto"/>
        <w:left w:val="none" w:sz="0" w:space="0" w:color="auto"/>
        <w:bottom w:val="none" w:sz="0" w:space="0" w:color="auto"/>
        <w:right w:val="none" w:sz="0" w:space="0" w:color="auto"/>
      </w:divBdr>
    </w:div>
    <w:div w:id="1474567689">
      <w:bodyDiv w:val="1"/>
      <w:marLeft w:val="0"/>
      <w:marRight w:val="0"/>
      <w:marTop w:val="0"/>
      <w:marBottom w:val="0"/>
      <w:divBdr>
        <w:top w:val="none" w:sz="0" w:space="0" w:color="auto"/>
        <w:left w:val="none" w:sz="0" w:space="0" w:color="auto"/>
        <w:bottom w:val="none" w:sz="0" w:space="0" w:color="auto"/>
        <w:right w:val="none" w:sz="0" w:space="0" w:color="auto"/>
      </w:divBdr>
    </w:div>
    <w:div w:id="1475365563">
      <w:bodyDiv w:val="1"/>
      <w:marLeft w:val="0"/>
      <w:marRight w:val="0"/>
      <w:marTop w:val="0"/>
      <w:marBottom w:val="0"/>
      <w:divBdr>
        <w:top w:val="none" w:sz="0" w:space="0" w:color="auto"/>
        <w:left w:val="none" w:sz="0" w:space="0" w:color="auto"/>
        <w:bottom w:val="none" w:sz="0" w:space="0" w:color="auto"/>
        <w:right w:val="none" w:sz="0" w:space="0" w:color="auto"/>
      </w:divBdr>
    </w:div>
    <w:div w:id="1477213182">
      <w:bodyDiv w:val="1"/>
      <w:marLeft w:val="0"/>
      <w:marRight w:val="0"/>
      <w:marTop w:val="0"/>
      <w:marBottom w:val="0"/>
      <w:divBdr>
        <w:top w:val="none" w:sz="0" w:space="0" w:color="auto"/>
        <w:left w:val="none" w:sz="0" w:space="0" w:color="auto"/>
        <w:bottom w:val="none" w:sz="0" w:space="0" w:color="auto"/>
        <w:right w:val="none" w:sz="0" w:space="0" w:color="auto"/>
      </w:divBdr>
    </w:div>
    <w:div w:id="1481387334">
      <w:bodyDiv w:val="1"/>
      <w:marLeft w:val="0"/>
      <w:marRight w:val="0"/>
      <w:marTop w:val="0"/>
      <w:marBottom w:val="0"/>
      <w:divBdr>
        <w:top w:val="none" w:sz="0" w:space="0" w:color="auto"/>
        <w:left w:val="none" w:sz="0" w:space="0" w:color="auto"/>
        <w:bottom w:val="none" w:sz="0" w:space="0" w:color="auto"/>
        <w:right w:val="none" w:sz="0" w:space="0" w:color="auto"/>
      </w:divBdr>
    </w:div>
    <w:div w:id="1483081170">
      <w:bodyDiv w:val="1"/>
      <w:marLeft w:val="0"/>
      <w:marRight w:val="0"/>
      <w:marTop w:val="0"/>
      <w:marBottom w:val="0"/>
      <w:divBdr>
        <w:top w:val="none" w:sz="0" w:space="0" w:color="auto"/>
        <w:left w:val="none" w:sz="0" w:space="0" w:color="auto"/>
        <w:bottom w:val="none" w:sz="0" w:space="0" w:color="auto"/>
        <w:right w:val="none" w:sz="0" w:space="0" w:color="auto"/>
      </w:divBdr>
    </w:div>
    <w:div w:id="1483933075">
      <w:bodyDiv w:val="1"/>
      <w:marLeft w:val="0"/>
      <w:marRight w:val="0"/>
      <w:marTop w:val="0"/>
      <w:marBottom w:val="0"/>
      <w:divBdr>
        <w:top w:val="none" w:sz="0" w:space="0" w:color="auto"/>
        <w:left w:val="none" w:sz="0" w:space="0" w:color="auto"/>
        <w:bottom w:val="none" w:sz="0" w:space="0" w:color="auto"/>
        <w:right w:val="none" w:sz="0" w:space="0" w:color="auto"/>
      </w:divBdr>
    </w:div>
    <w:div w:id="1484392553">
      <w:bodyDiv w:val="1"/>
      <w:marLeft w:val="0"/>
      <w:marRight w:val="0"/>
      <w:marTop w:val="0"/>
      <w:marBottom w:val="0"/>
      <w:divBdr>
        <w:top w:val="none" w:sz="0" w:space="0" w:color="auto"/>
        <w:left w:val="none" w:sz="0" w:space="0" w:color="auto"/>
        <w:bottom w:val="none" w:sz="0" w:space="0" w:color="auto"/>
        <w:right w:val="none" w:sz="0" w:space="0" w:color="auto"/>
      </w:divBdr>
    </w:div>
    <w:div w:id="1485968868">
      <w:bodyDiv w:val="1"/>
      <w:marLeft w:val="0"/>
      <w:marRight w:val="0"/>
      <w:marTop w:val="0"/>
      <w:marBottom w:val="0"/>
      <w:divBdr>
        <w:top w:val="none" w:sz="0" w:space="0" w:color="auto"/>
        <w:left w:val="none" w:sz="0" w:space="0" w:color="auto"/>
        <w:bottom w:val="none" w:sz="0" w:space="0" w:color="auto"/>
        <w:right w:val="none" w:sz="0" w:space="0" w:color="auto"/>
      </w:divBdr>
    </w:div>
    <w:div w:id="1488597055">
      <w:bodyDiv w:val="1"/>
      <w:marLeft w:val="0"/>
      <w:marRight w:val="0"/>
      <w:marTop w:val="0"/>
      <w:marBottom w:val="0"/>
      <w:divBdr>
        <w:top w:val="none" w:sz="0" w:space="0" w:color="auto"/>
        <w:left w:val="none" w:sz="0" w:space="0" w:color="auto"/>
        <w:bottom w:val="none" w:sz="0" w:space="0" w:color="auto"/>
        <w:right w:val="none" w:sz="0" w:space="0" w:color="auto"/>
      </w:divBdr>
    </w:div>
    <w:div w:id="1494830713">
      <w:bodyDiv w:val="1"/>
      <w:marLeft w:val="0"/>
      <w:marRight w:val="0"/>
      <w:marTop w:val="0"/>
      <w:marBottom w:val="0"/>
      <w:divBdr>
        <w:top w:val="none" w:sz="0" w:space="0" w:color="auto"/>
        <w:left w:val="none" w:sz="0" w:space="0" w:color="auto"/>
        <w:bottom w:val="none" w:sz="0" w:space="0" w:color="auto"/>
        <w:right w:val="none" w:sz="0" w:space="0" w:color="auto"/>
      </w:divBdr>
    </w:div>
    <w:div w:id="1496529822">
      <w:bodyDiv w:val="1"/>
      <w:marLeft w:val="0"/>
      <w:marRight w:val="0"/>
      <w:marTop w:val="0"/>
      <w:marBottom w:val="0"/>
      <w:divBdr>
        <w:top w:val="none" w:sz="0" w:space="0" w:color="auto"/>
        <w:left w:val="none" w:sz="0" w:space="0" w:color="auto"/>
        <w:bottom w:val="none" w:sz="0" w:space="0" w:color="auto"/>
        <w:right w:val="none" w:sz="0" w:space="0" w:color="auto"/>
      </w:divBdr>
    </w:div>
    <w:div w:id="1500273819">
      <w:bodyDiv w:val="1"/>
      <w:marLeft w:val="0"/>
      <w:marRight w:val="0"/>
      <w:marTop w:val="0"/>
      <w:marBottom w:val="0"/>
      <w:divBdr>
        <w:top w:val="none" w:sz="0" w:space="0" w:color="auto"/>
        <w:left w:val="none" w:sz="0" w:space="0" w:color="auto"/>
        <w:bottom w:val="none" w:sz="0" w:space="0" w:color="auto"/>
        <w:right w:val="none" w:sz="0" w:space="0" w:color="auto"/>
      </w:divBdr>
    </w:div>
    <w:div w:id="1501003256">
      <w:bodyDiv w:val="1"/>
      <w:marLeft w:val="0"/>
      <w:marRight w:val="0"/>
      <w:marTop w:val="0"/>
      <w:marBottom w:val="0"/>
      <w:divBdr>
        <w:top w:val="none" w:sz="0" w:space="0" w:color="auto"/>
        <w:left w:val="none" w:sz="0" w:space="0" w:color="auto"/>
        <w:bottom w:val="none" w:sz="0" w:space="0" w:color="auto"/>
        <w:right w:val="none" w:sz="0" w:space="0" w:color="auto"/>
      </w:divBdr>
    </w:div>
    <w:div w:id="1501581383">
      <w:bodyDiv w:val="1"/>
      <w:marLeft w:val="0"/>
      <w:marRight w:val="0"/>
      <w:marTop w:val="0"/>
      <w:marBottom w:val="0"/>
      <w:divBdr>
        <w:top w:val="none" w:sz="0" w:space="0" w:color="auto"/>
        <w:left w:val="none" w:sz="0" w:space="0" w:color="auto"/>
        <w:bottom w:val="none" w:sz="0" w:space="0" w:color="auto"/>
        <w:right w:val="none" w:sz="0" w:space="0" w:color="auto"/>
      </w:divBdr>
    </w:div>
    <w:div w:id="1501967265">
      <w:bodyDiv w:val="1"/>
      <w:marLeft w:val="0"/>
      <w:marRight w:val="0"/>
      <w:marTop w:val="0"/>
      <w:marBottom w:val="0"/>
      <w:divBdr>
        <w:top w:val="none" w:sz="0" w:space="0" w:color="auto"/>
        <w:left w:val="none" w:sz="0" w:space="0" w:color="auto"/>
        <w:bottom w:val="none" w:sz="0" w:space="0" w:color="auto"/>
        <w:right w:val="none" w:sz="0" w:space="0" w:color="auto"/>
      </w:divBdr>
    </w:div>
    <w:div w:id="1503935520">
      <w:bodyDiv w:val="1"/>
      <w:marLeft w:val="0"/>
      <w:marRight w:val="0"/>
      <w:marTop w:val="0"/>
      <w:marBottom w:val="0"/>
      <w:divBdr>
        <w:top w:val="none" w:sz="0" w:space="0" w:color="auto"/>
        <w:left w:val="none" w:sz="0" w:space="0" w:color="auto"/>
        <w:bottom w:val="none" w:sz="0" w:space="0" w:color="auto"/>
        <w:right w:val="none" w:sz="0" w:space="0" w:color="auto"/>
      </w:divBdr>
    </w:div>
    <w:div w:id="1504276804">
      <w:bodyDiv w:val="1"/>
      <w:marLeft w:val="0"/>
      <w:marRight w:val="0"/>
      <w:marTop w:val="0"/>
      <w:marBottom w:val="0"/>
      <w:divBdr>
        <w:top w:val="none" w:sz="0" w:space="0" w:color="auto"/>
        <w:left w:val="none" w:sz="0" w:space="0" w:color="auto"/>
        <w:bottom w:val="none" w:sz="0" w:space="0" w:color="auto"/>
        <w:right w:val="none" w:sz="0" w:space="0" w:color="auto"/>
      </w:divBdr>
    </w:div>
    <w:div w:id="1504391748">
      <w:bodyDiv w:val="1"/>
      <w:marLeft w:val="0"/>
      <w:marRight w:val="0"/>
      <w:marTop w:val="0"/>
      <w:marBottom w:val="0"/>
      <w:divBdr>
        <w:top w:val="none" w:sz="0" w:space="0" w:color="auto"/>
        <w:left w:val="none" w:sz="0" w:space="0" w:color="auto"/>
        <w:bottom w:val="none" w:sz="0" w:space="0" w:color="auto"/>
        <w:right w:val="none" w:sz="0" w:space="0" w:color="auto"/>
      </w:divBdr>
    </w:div>
    <w:div w:id="1506819331">
      <w:bodyDiv w:val="1"/>
      <w:marLeft w:val="0"/>
      <w:marRight w:val="0"/>
      <w:marTop w:val="0"/>
      <w:marBottom w:val="0"/>
      <w:divBdr>
        <w:top w:val="none" w:sz="0" w:space="0" w:color="auto"/>
        <w:left w:val="none" w:sz="0" w:space="0" w:color="auto"/>
        <w:bottom w:val="none" w:sz="0" w:space="0" w:color="auto"/>
        <w:right w:val="none" w:sz="0" w:space="0" w:color="auto"/>
      </w:divBdr>
    </w:div>
    <w:div w:id="1509910429">
      <w:bodyDiv w:val="1"/>
      <w:marLeft w:val="0"/>
      <w:marRight w:val="0"/>
      <w:marTop w:val="0"/>
      <w:marBottom w:val="0"/>
      <w:divBdr>
        <w:top w:val="none" w:sz="0" w:space="0" w:color="auto"/>
        <w:left w:val="none" w:sz="0" w:space="0" w:color="auto"/>
        <w:bottom w:val="none" w:sz="0" w:space="0" w:color="auto"/>
        <w:right w:val="none" w:sz="0" w:space="0" w:color="auto"/>
      </w:divBdr>
    </w:div>
    <w:div w:id="1511529009">
      <w:bodyDiv w:val="1"/>
      <w:marLeft w:val="0"/>
      <w:marRight w:val="0"/>
      <w:marTop w:val="0"/>
      <w:marBottom w:val="0"/>
      <w:divBdr>
        <w:top w:val="none" w:sz="0" w:space="0" w:color="auto"/>
        <w:left w:val="none" w:sz="0" w:space="0" w:color="auto"/>
        <w:bottom w:val="none" w:sz="0" w:space="0" w:color="auto"/>
        <w:right w:val="none" w:sz="0" w:space="0" w:color="auto"/>
      </w:divBdr>
    </w:div>
    <w:div w:id="1512835184">
      <w:bodyDiv w:val="1"/>
      <w:marLeft w:val="0"/>
      <w:marRight w:val="0"/>
      <w:marTop w:val="0"/>
      <w:marBottom w:val="0"/>
      <w:divBdr>
        <w:top w:val="none" w:sz="0" w:space="0" w:color="auto"/>
        <w:left w:val="none" w:sz="0" w:space="0" w:color="auto"/>
        <w:bottom w:val="none" w:sz="0" w:space="0" w:color="auto"/>
        <w:right w:val="none" w:sz="0" w:space="0" w:color="auto"/>
      </w:divBdr>
    </w:div>
    <w:div w:id="1516114253">
      <w:bodyDiv w:val="1"/>
      <w:marLeft w:val="0"/>
      <w:marRight w:val="0"/>
      <w:marTop w:val="0"/>
      <w:marBottom w:val="0"/>
      <w:divBdr>
        <w:top w:val="none" w:sz="0" w:space="0" w:color="auto"/>
        <w:left w:val="none" w:sz="0" w:space="0" w:color="auto"/>
        <w:bottom w:val="none" w:sz="0" w:space="0" w:color="auto"/>
        <w:right w:val="none" w:sz="0" w:space="0" w:color="auto"/>
      </w:divBdr>
    </w:div>
    <w:div w:id="1516385255">
      <w:bodyDiv w:val="1"/>
      <w:marLeft w:val="0"/>
      <w:marRight w:val="0"/>
      <w:marTop w:val="0"/>
      <w:marBottom w:val="0"/>
      <w:divBdr>
        <w:top w:val="none" w:sz="0" w:space="0" w:color="auto"/>
        <w:left w:val="none" w:sz="0" w:space="0" w:color="auto"/>
        <w:bottom w:val="none" w:sz="0" w:space="0" w:color="auto"/>
        <w:right w:val="none" w:sz="0" w:space="0" w:color="auto"/>
      </w:divBdr>
    </w:div>
    <w:div w:id="1517648274">
      <w:bodyDiv w:val="1"/>
      <w:marLeft w:val="0"/>
      <w:marRight w:val="0"/>
      <w:marTop w:val="0"/>
      <w:marBottom w:val="0"/>
      <w:divBdr>
        <w:top w:val="none" w:sz="0" w:space="0" w:color="auto"/>
        <w:left w:val="none" w:sz="0" w:space="0" w:color="auto"/>
        <w:bottom w:val="none" w:sz="0" w:space="0" w:color="auto"/>
        <w:right w:val="none" w:sz="0" w:space="0" w:color="auto"/>
      </w:divBdr>
    </w:div>
    <w:div w:id="1519079154">
      <w:bodyDiv w:val="1"/>
      <w:marLeft w:val="0"/>
      <w:marRight w:val="0"/>
      <w:marTop w:val="0"/>
      <w:marBottom w:val="0"/>
      <w:divBdr>
        <w:top w:val="none" w:sz="0" w:space="0" w:color="auto"/>
        <w:left w:val="none" w:sz="0" w:space="0" w:color="auto"/>
        <w:bottom w:val="none" w:sz="0" w:space="0" w:color="auto"/>
        <w:right w:val="none" w:sz="0" w:space="0" w:color="auto"/>
      </w:divBdr>
    </w:div>
    <w:div w:id="1519655032">
      <w:bodyDiv w:val="1"/>
      <w:marLeft w:val="0"/>
      <w:marRight w:val="0"/>
      <w:marTop w:val="0"/>
      <w:marBottom w:val="0"/>
      <w:divBdr>
        <w:top w:val="none" w:sz="0" w:space="0" w:color="auto"/>
        <w:left w:val="none" w:sz="0" w:space="0" w:color="auto"/>
        <w:bottom w:val="none" w:sz="0" w:space="0" w:color="auto"/>
        <w:right w:val="none" w:sz="0" w:space="0" w:color="auto"/>
      </w:divBdr>
    </w:div>
    <w:div w:id="1520466750">
      <w:bodyDiv w:val="1"/>
      <w:marLeft w:val="0"/>
      <w:marRight w:val="0"/>
      <w:marTop w:val="0"/>
      <w:marBottom w:val="0"/>
      <w:divBdr>
        <w:top w:val="none" w:sz="0" w:space="0" w:color="auto"/>
        <w:left w:val="none" w:sz="0" w:space="0" w:color="auto"/>
        <w:bottom w:val="none" w:sz="0" w:space="0" w:color="auto"/>
        <w:right w:val="none" w:sz="0" w:space="0" w:color="auto"/>
      </w:divBdr>
    </w:div>
    <w:div w:id="1521505015">
      <w:bodyDiv w:val="1"/>
      <w:marLeft w:val="0"/>
      <w:marRight w:val="0"/>
      <w:marTop w:val="0"/>
      <w:marBottom w:val="0"/>
      <w:divBdr>
        <w:top w:val="none" w:sz="0" w:space="0" w:color="auto"/>
        <w:left w:val="none" w:sz="0" w:space="0" w:color="auto"/>
        <w:bottom w:val="none" w:sz="0" w:space="0" w:color="auto"/>
        <w:right w:val="none" w:sz="0" w:space="0" w:color="auto"/>
      </w:divBdr>
    </w:div>
    <w:div w:id="1523861634">
      <w:bodyDiv w:val="1"/>
      <w:marLeft w:val="0"/>
      <w:marRight w:val="0"/>
      <w:marTop w:val="0"/>
      <w:marBottom w:val="0"/>
      <w:divBdr>
        <w:top w:val="none" w:sz="0" w:space="0" w:color="auto"/>
        <w:left w:val="none" w:sz="0" w:space="0" w:color="auto"/>
        <w:bottom w:val="none" w:sz="0" w:space="0" w:color="auto"/>
        <w:right w:val="none" w:sz="0" w:space="0" w:color="auto"/>
      </w:divBdr>
    </w:div>
    <w:div w:id="1526020945">
      <w:bodyDiv w:val="1"/>
      <w:marLeft w:val="0"/>
      <w:marRight w:val="0"/>
      <w:marTop w:val="0"/>
      <w:marBottom w:val="0"/>
      <w:divBdr>
        <w:top w:val="none" w:sz="0" w:space="0" w:color="auto"/>
        <w:left w:val="none" w:sz="0" w:space="0" w:color="auto"/>
        <w:bottom w:val="none" w:sz="0" w:space="0" w:color="auto"/>
        <w:right w:val="none" w:sz="0" w:space="0" w:color="auto"/>
      </w:divBdr>
    </w:div>
    <w:div w:id="1527475593">
      <w:bodyDiv w:val="1"/>
      <w:marLeft w:val="0"/>
      <w:marRight w:val="0"/>
      <w:marTop w:val="0"/>
      <w:marBottom w:val="0"/>
      <w:divBdr>
        <w:top w:val="none" w:sz="0" w:space="0" w:color="auto"/>
        <w:left w:val="none" w:sz="0" w:space="0" w:color="auto"/>
        <w:bottom w:val="none" w:sz="0" w:space="0" w:color="auto"/>
        <w:right w:val="none" w:sz="0" w:space="0" w:color="auto"/>
      </w:divBdr>
    </w:div>
    <w:div w:id="1527906650">
      <w:bodyDiv w:val="1"/>
      <w:marLeft w:val="0"/>
      <w:marRight w:val="0"/>
      <w:marTop w:val="0"/>
      <w:marBottom w:val="0"/>
      <w:divBdr>
        <w:top w:val="none" w:sz="0" w:space="0" w:color="auto"/>
        <w:left w:val="none" w:sz="0" w:space="0" w:color="auto"/>
        <w:bottom w:val="none" w:sz="0" w:space="0" w:color="auto"/>
        <w:right w:val="none" w:sz="0" w:space="0" w:color="auto"/>
      </w:divBdr>
    </w:div>
    <w:div w:id="1528980824">
      <w:bodyDiv w:val="1"/>
      <w:marLeft w:val="0"/>
      <w:marRight w:val="0"/>
      <w:marTop w:val="0"/>
      <w:marBottom w:val="0"/>
      <w:divBdr>
        <w:top w:val="none" w:sz="0" w:space="0" w:color="auto"/>
        <w:left w:val="none" w:sz="0" w:space="0" w:color="auto"/>
        <w:bottom w:val="none" w:sz="0" w:space="0" w:color="auto"/>
        <w:right w:val="none" w:sz="0" w:space="0" w:color="auto"/>
      </w:divBdr>
    </w:div>
    <w:div w:id="1529099392">
      <w:bodyDiv w:val="1"/>
      <w:marLeft w:val="0"/>
      <w:marRight w:val="0"/>
      <w:marTop w:val="0"/>
      <w:marBottom w:val="0"/>
      <w:divBdr>
        <w:top w:val="none" w:sz="0" w:space="0" w:color="auto"/>
        <w:left w:val="none" w:sz="0" w:space="0" w:color="auto"/>
        <w:bottom w:val="none" w:sz="0" w:space="0" w:color="auto"/>
        <w:right w:val="none" w:sz="0" w:space="0" w:color="auto"/>
      </w:divBdr>
    </w:div>
    <w:div w:id="1529565176">
      <w:bodyDiv w:val="1"/>
      <w:marLeft w:val="0"/>
      <w:marRight w:val="0"/>
      <w:marTop w:val="0"/>
      <w:marBottom w:val="0"/>
      <w:divBdr>
        <w:top w:val="none" w:sz="0" w:space="0" w:color="auto"/>
        <w:left w:val="none" w:sz="0" w:space="0" w:color="auto"/>
        <w:bottom w:val="none" w:sz="0" w:space="0" w:color="auto"/>
        <w:right w:val="none" w:sz="0" w:space="0" w:color="auto"/>
      </w:divBdr>
    </w:div>
    <w:div w:id="1531334917">
      <w:bodyDiv w:val="1"/>
      <w:marLeft w:val="0"/>
      <w:marRight w:val="0"/>
      <w:marTop w:val="0"/>
      <w:marBottom w:val="0"/>
      <w:divBdr>
        <w:top w:val="none" w:sz="0" w:space="0" w:color="auto"/>
        <w:left w:val="none" w:sz="0" w:space="0" w:color="auto"/>
        <w:bottom w:val="none" w:sz="0" w:space="0" w:color="auto"/>
        <w:right w:val="none" w:sz="0" w:space="0" w:color="auto"/>
      </w:divBdr>
    </w:div>
    <w:div w:id="1532106918">
      <w:bodyDiv w:val="1"/>
      <w:marLeft w:val="0"/>
      <w:marRight w:val="0"/>
      <w:marTop w:val="0"/>
      <w:marBottom w:val="0"/>
      <w:divBdr>
        <w:top w:val="none" w:sz="0" w:space="0" w:color="auto"/>
        <w:left w:val="none" w:sz="0" w:space="0" w:color="auto"/>
        <w:bottom w:val="none" w:sz="0" w:space="0" w:color="auto"/>
        <w:right w:val="none" w:sz="0" w:space="0" w:color="auto"/>
      </w:divBdr>
    </w:div>
    <w:div w:id="1532111575">
      <w:bodyDiv w:val="1"/>
      <w:marLeft w:val="0"/>
      <w:marRight w:val="0"/>
      <w:marTop w:val="0"/>
      <w:marBottom w:val="0"/>
      <w:divBdr>
        <w:top w:val="none" w:sz="0" w:space="0" w:color="auto"/>
        <w:left w:val="none" w:sz="0" w:space="0" w:color="auto"/>
        <w:bottom w:val="none" w:sz="0" w:space="0" w:color="auto"/>
        <w:right w:val="none" w:sz="0" w:space="0" w:color="auto"/>
      </w:divBdr>
    </w:div>
    <w:div w:id="1532114099">
      <w:bodyDiv w:val="1"/>
      <w:marLeft w:val="0"/>
      <w:marRight w:val="0"/>
      <w:marTop w:val="0"/>
      <w:marBottom w:val="0"/>
      <w:divBdr>
        <w:top w:val="none" w:sz="0" w:space="0" w:color="auto"/>
        <w:left w:val="none" w:sz="0" w:space="0" w:color="auto"/>
        <w:bottom w:val="none" w:sz="0" w:space="0" w:color="auto"/>
        <w:right w:val="none" w:sz="0" w:space="0" w:color="auto"/>
      </w:divBdr>
    </w:div>
    <w:div w:id="1536237480">
      <w:bodyDiv w:val="1"/>
      <w:marLeft w:val="0"/>
      <w:marRight w:val="0"/>
      <w:marTop w:val="0"/>
      <w:marBottom w:val="0"/>
      <w:divBdr>
        <w:top w:val="none" w:sz="0" w:space="0" w:color="auto"/>
        <w:left w:val="none" w:sz="0" w:space="0" w:color="auto"/>
        <w:bottom w:val="none" w:sz="0" w:space="0" w:color="auto"/>
        <w:right w:val="none" w:sz="0" w:space="0" w:color="auto"/>
      </w:divBdr>
    </w:div>
    <w:div w:id="1540316173">
      <w:bodyDiv w:val="1"/>
      <w:marLeft w:val="0"/>
      <w:marRight w:val="0"/>
      <w:marTop w:val="0"/>
      <w:marBottom w:val="0"/>
      <w:divBdr>
        <w:top w:val="none" w:sz="0" w:space="0" w:color="auto"/>
        <w:left w:val="none" w:sz="0" w:space="0" w:color="auto"/>
        <w:bottom w:val="none" w:sz="0" w:space="0" w:color="auto"/>
        <w:right w:val="none" w:sz="0" w:space="0" w:color="auto"/>
      </w:divBdr>
    </w:div>
    <w:div w:id="1546983006">
      <w:bodyDiv w:val="1"/>
      <w:marLeft w:val="0"/>
      <w:marRight w:val="0"/>
      <w:marTop w:val="0"/>
      <w:marBottom w:val="0"/>
      <w:divBdr>
        <w:top w:val="none" w:sz="0" w:space="0" w:color="auto"/>
        <w:left w:val="none" w:sz="0" w:space="0" w:color="auto"/>
        <w:bottom w:val="none" w:sz="0" w:space="0" w:color="auto"/>
        <w:right w:val="none" w:sz="0" w:space="0" w:color="auto"/>
      </w:divBdr>
    </w:div>
    <w:div w:id="1546990931">
      <w:bodyDiv w:val="1"/>
      <w:marLeft w:val="0"/>
      <w:marRight w:val="0"/>
      <w:marTop w:val="0"/>
      <w:marBottom w:val="0"/>
      <w:divBdr>
        <w:top w:val="none" w:sz="0" w:space="0" w:color="auto"/>
        <w:left w:val="none" w:sz="0" w:space="0" w:color="auto"/>
        <w:bottom w:val="none" w:sz="0" w:space="0" w:color="auto"/>
        <w:right w:val="none" w:sz="0" w:space="0" w:color="auto"/>
      </w:divBdr>
    </w:div>
    <w:div w:id="1552841724">
      <w:bodyDiv w:val="1"/>
      <w:marLeft w:val="0"/>
      <w:marRight w:val="0"/>
      <w:marTop w:val="0"/>
      <w:marBottom w:val="0"/>
      <w:divBdr>
        <w:top w:val="none" w:sz="0" w:space="0" w:color="auto"/>
        <w:left w:val="none" w:sz="0" w:space="0" w:color="auto"/>
        <w:bottom w:val="none" w:sz="0" w:space="0" w:color="auto"/>
        <w:right w:val="none" w:sz="0" w:space="0" w:color="auto"/>
      </w:divBdr>
    </w:div>
    <w:div w:id="1555850619">
      <w:bodyDiv w:val="1"/>
      <w:marLeft w:val="0"/>
      <w:marRight w:val="0"/>
      <w:marTop w:val="0"/>
      <w:marBottom w:val="0"/>
      <w:divBdr>
        <w:top w:val="none" w:sz="0" w:space="0" w:color="auto"/>
        <w:left w:val="none" w:sz="0" w:space="0" w:color="auto"/>
        <w:bottom w:val="none" w:sz="0" w:space="0" w:color="auto"/>
        <w:right w:val="none" w:sz="0" w:space="0" w:color="auto"/>
      </w:divBdr>
    </w:div>
    <w:div w:id="1556315936">
      <w:bodyDiv w:val="1"/>
      <w:marLeft w:val="0"/>
      <w:marRight w:val="0"/>
      <w:marTop w:val="0"/>
      <w:marBottom w:val="0"/>
      <w:divBdr>
        <w:top w:val="none" w:sz="0" w:space="0" w:color="auto"/>
        <w:left w:val="none" w:sz="0" w:space="0" w:color="auto"/>
        <w:bottom w:val="none" w:sz="0" w:space="0" w:color="auto"/>
        <w:right w:val="none" w:sz="0" w:space="0" w:color="auto"/>
      </w:divBdr>
    </w:div>
    <w:div w:id="1557429763">
      <w:bodyDiv w:val="1"/>
      <w:marLeft w:val="0"/>
      <w:marRight w:val="0"/>
      <w:marTop w:val="0"/>
      <w:marBottom w:val="0"/>
      <w:divBdr>
        <w:top w:val="none" w:sz="0" w:space="0" w:color="auto"/>
        <w:left w:val="none" w:sz="0" w:space="0" w:color="auto"/>
        <w:bottom w:val="none" w:sz="0" w:space="0" w:color="auto"/>
        <w:right w:val="none" w:sz="0" w:space="0" w:color="auto"/>
      </w:divBdr>
    </w:div>
    <w:div w:id="1561790742">
      <w:bodyDiv w:val="1"/>
      <w:marLeft w:val="0"/>
      <w:marRight w:val="0"/>
      <w:marTop w:val="0"/>
      <w:marBottom w:val="0"/>
      <w:divBdr>
        <w:top w:val="none" w:sz="0" w:space="0" w:color="auto"/>
        <w:left w:val="none" w:sz="0" w:space="0" w:color="auto"/>
        <w:bottom w:val="none" w:sz="0" w:space="0" w:color="auto"/>
        <w:right w:val="none" w:sz="0" w:space="0" w:color="auto"/>
      </w:divBdr>
    </w:div>
    <w:div w:id="1565334570">
      <w:bodyDiv w:val="1"/>
      <w:marLeft w:val="0"/>
      <w:marRight w:val="0"/>
      <w:marTop w:val="0"/>
      <w:marBottom w:val="0"/>
      <w:divBdr>
        <w:top w:val="none" w:sz="0" w:space="0" w:color="auto"/>
        <w:left w:val="none" w:sz="0" w:space="0" w:color="auto"/>
        <w:bottom w:val="none" w:sz="0" w:space="0" w:color="auto"/>
        <w:right w:val="none" w:sz="0" w:space="0" w:color="auto"/>
      </w:divBdr>
      <w:divsChild>
        <w:div w:id="800198457">
          <w:marLeft w:val="0"/>
          <w:marRight w:val="0"/>
          <w:marTop w:val="0"/>
          <w:marBottom w:val="0"/>
          <w:divBdr>
            <w:top w:val="none" w:sz="0" w:space="0" w:color="auto"/>
            <w:left w:val="none" w:sz="0" w:space="0" w:color="auto"/>
            <w:bottom w:val="none" w:sz="0" w:space="0" w:color="auto"/>
            <w:right w:val="none" w:sz="0" w:space="0" w:color="auto"/>
          </w:divBdr>
          <w:divsChild>
            <w:div w:id="118548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681557">
      <w:bodyDiv w:val="1"/>
      <w:marLeft w:val="0"/>
      <w:marRight w:val="0"/>
      <w:marTop w:val="0"/>
      <w:marBottom w:val="0"/>
      <w:divBdr>
        <w:top w:val="none" w:sz="0" w:space="0" w:color="auto"/>
        <w:left w:val="none" w:sz="0" w:space="0" w:color="auto"/>
        <w:bottom w:val="none" w:sz="0" w:space="0" w:color="auto"/>
        <w:right w:val="none" w:sz="0" w:space="0" w:color="auto"/>
      </w:divBdr>
    </w:div>
    <w:div w:id="1566335552">
      <w:bodyDiv w:val="1"/>
      <w:marLeft w:val="0"/>
      <w:marRight w:val="0"/>
      <w:marTop w:val="0"/>
      <w:marBottom w:val="0"/>
      <w:divBdr>
        <w:top w:val="none" w:sz="0" w:space="0" w:color="auto"/>
        <w:left w:val="none" w:sz="0" w:space="0" w:color="auto"/>
        <w:bottom w:val="none" w:sz="0" w:space="0" w:color="auto"/>
        <w:right w:val="none" w:sz="0" w:space="0" w:color="auto"/>
      </w:divBdr>
    </w:div>
    <w:div w:id="1566532290">
      <w:bodyDiv w:val="1"/>
      <w:marLeft w:val="0"/>
      <w:marRight w:val="0"/>
      <w:marTop w:val="0"/>
      <w:marBottom w:val="0"/>
      <w:divBdr>
        <w:top w:val="none" w:sz="0" w:space="0" w:color="auto"/>
        <w:left w:val="none" w:sz="0" w:space="0" w:color="auto"/>
        <w:bottom w:val="none" w:sz="0" w:space="0" w:color="auto"/>
        <w:right w:val="none" w:sz="0" w:space="0" w:color="auto"/>
      </w:divBdr>
      <w:divsChild>
        <w:div w:id="134950200">
          <w:marLeft w:val="0"/>
          <w:marRight w:val="0"/>
          <w:marTop w:val="0"/>
          <w:marBottom w:val="0"/>
          <w:divBdr>
            <w:top w:val="none" w:sz="0" w:space="0" w:color="auto"/>
            <w:left w:val="none" w:sz="0" w:space="0" w:color="auto"/>
            <w:bottom w:val="none" w:sz="0" w:space="0" w:color="auto"/>
            <w:right w:val="none" w:sz="0" w:space="0" w:color="auto"/>
          </w:divBdr>
        </w:div>
        <w:div w:id="1123616174">
          <w:marLeft w:val="0"/>
          <w:marRight w:val="0"/>
          <w:marTop w:val="0"/>
          <w:marBottom w:val="0"/>
          <w:divBdr>
            <w:top w:val="none" w:sz="0" w:space="0" w:color="auto"/>
            <w:left w:val="none" w:sz="0" w:space="0" w:color="auto"/>
            <w:bottom w:val="none" w:sz="0" w:space="0" w:color="auto"/>
            <w:right w:val="none" w:sz="0" w:space="0" w:color="auto"/>
          </w:divBdr>
        </w:div>
        <w:div w:id="1667704236">
          <w:marLeft w:val="0"/>
          <w:marRight w:val="0"/>
          <w:marTop w:val="0"/>
          <w:marBottom w:val="0"/>
          <w:divBdr>
            <w:top w:val="none" w:sz="0" w:space="0" w:color="auto"/>
            <w:left w:val="none" w:sz="0" w:space="0" w:color="auto"/>
            <w:bottom w:val="none" w:sz="0" w:space="0" w:color="auto"/>
            <w:right w:val="none" w:sz="0" w:space="0" w:color="auto"/>
          </w:divBdr>
        </w:div>
      </w:divsChild>
    </w:div>
    <w:div w:id="1566573497">
      <w:bodyDiv w:val="1"/>
      <w:marLeft w:val="0"/>
      <w:marRight w:val="0"/>
      <w:marTop w:val="0"/>
      <w:marBottom w:val="0"/>
      <w:divBdr>
        <w:top w:val="none" w:sz="0" w:space="0" w:color="auto"/>
        <w:left w:val="none" w:sz="0" w:space="0" w:color="auto"/>
        <w:bottom w:val="none" w:sz="0" w:space="0" w:color="auto"/>
        <w:right w:val="none" w:sz="0" w:space="0" w:color="auto"/>
      </w:divBdr>
    </w:div>
    <w:div w:id="1568495904">
      <w:bodyDiv w:val="1"/>
      <w:marLeft w:val="0"/>
      <w:marRight w:val="0"/>
      <w:marTop w:val="0"/>
      <w:marBottom w:val="0"/>
      <w:divBdr>
        <w:top w:val="none" w:sz="0" w:space="0" w:color="auto"/>
        <w:left w:val="none" w:sz="0" w:space="0" w:color="auto"/>
        <w:bottom w:val="none" w:sz="0" w:space="0" w:color="auto"/>
        <w:right w:val="none" w:sz="0" w:space="0" w:color="auto"/>
      </w:divBdr>
    </w:div>
    <w:div w:id="1569264429">
      <w:bodyDiv w:val="1"/>
      <w:marLeft w:val="0"/>
      <w:marRight w:val="0"/>
      <w:marTop w:val="0"/>
      <w:marBottom w:val="0"/>
      <w:divBdr>
        <w:top w:val="none" w:sz="0" w:space="0" w:color="auto"/>
        <w:left w:val="none" w:sz="0" w:space="0" w:color="auto"/>
        <w:bottom w:val="none" w:sz="0" w:space="0" w:color="auto"/>
        <w:right w:val="none" w:sz="0" w:space="0" w:color="auto"/>
      </w:divBdr>
    </w:div>
    <w:div w:id="1570270529">
      <w:bodyDiv w:val="1"/>
      <w:marLeft w:val="0"/>
      <w:marRight w:val="0"/>
      <w:marTop w:val="0"/>
      <w:marBottom w:val="0"/>
      <w:divBdr>
        <w:top w:val="none" w:sz="0" w:space="0" w:color="auto"/>
        <w:left w:val="none" w:sz="0" w:space="0" w:color="auto"/>
        <w:bottom w:val="none" w:sz="0" w:space="0" w:color="auto"/>
        <w:right w:val="none" w:sz="0" w:space="0" w:color="auto"/>
      </w:divBdr>
    </w:div>
    <w:div w:id="1570654071">
      <w:bodyDiv w:val="1"/>
      <w:marLeft w:val="0"/>
      <w:marRight w:val="0"/>
      <w:marTop w:val="0"/>
      <w:marBottom w:val="0"/>
      <w:divBdr>
        <w:top w:val="none" w:sz="0" w:space="0" w:color="auto"/>
        <w:left w:val="none" w:sz="0" w:space="0" w:color="auto"/>
        <w:bottom w:val="none" w:sz="0" w:space="0" w:color="auto"/>
        <w:right w:val="none" w:sz="0" w:space="0" w:color="auto"/>
      </w:divBdr>
    </w:div>
    <w:div w:id="1571423427">
      <w:bodyDiv w:val="1"/>
      <w:marLeft w:val="0"/>
      <w:marRight w:val="0"/>
      <w:marTop w:val="0"/>
      <w:marBottom w:val="0"/>
      <w:divBdr>
        <w:top w:val="none" w:sz="0" w:space="0" w:color="auto"/>
        <w:left w:val="none" w:sz="0" w:space="0" w:color="auto"/>
        <w:bottom w:val="none" w:sz="0" w:space="0" w:color="auto"/>
        <w:right w:val="none" w:sz="0" w:space="0" w:color="auto"/>
      </w:divBdr>
    </w:div>
    <w:div w:id="1572152354">
      <w:bodyDiv w:val="1"/>
      <w:marLeft w:val="0"/>
      <w:marRight w:val="0"/>
      <w:marTop w:val="0"/>
      <w:marBottom w:val="0"/>
      <w:divBdr>
        <w:top w:val="none" w:sz="0" w:space="0" w:color="auto"/>
        <w:left w:val="none" w:sz="0" w:space="0" w:color="auto"/>
        <w:bottom w:val="none" w:sz="0" w:space="0" w:color="auto"/>
        <w:right w:val="none" w:sz="0" w:space="0" w:color="auto"/>
      </w:divBdr>
    </w:div>
    <w:div w:id="1573001724">
      <w:bodyDiv w:val="1"/>
      <w:marLeft w:val="0"/>
      <w:marRight w:val="0"/>
      <w:marTop w:val="0"/>
      <w:marBottom w:val="0"/>
      <w:divBdr>
        <w:top w:val="none" w:sz="0" w:space="0" w:color="auto"/>
        <w:left w:val="none" w:sz="0" w:space="0" w:color="auto"/>
        <w:bottom w:val="none" w:sz="0" w:space="0" w:color="auto"/>
        <w:right w:val="none" w:sz="0" w:space="0" w:color="auto"/>
      </w:divBdr>
    </w:div>
    <w:div w:id="1573849167">
      <w:bodyDiv w:val="1"/>
      <w:marLeft w:val="0"/>
      <w:marRight w:val="0"/>
      <w:marTop w:val="0"/>
      <w:marBottom w:val="0"/>
      <w:divBdr>
        <w:top w:val="none" w:sz="0" w:space="0" w:color="auto"/>
        <w:left w:val="none" w:sz="0" w:space="0" w:color="auto"/>
        <w:bottom w:val="none" w:sz="0" w:space="0" w:color="auto"/>
        <w:right w:val="none" w:sz="0" w:space="0" w:color="auto"/>
      </w:divBdr>
    </w:div>
    <w:div w:id="1574848105">
      <w:bodyDiv w:val="1"/>
      <w:marLeft w:val="0"/>
      <w:marRight w:val="0"/>
      <w:marTop w:val="0"/>
      <w:marBottom w:val="0"/>
      <w:divBdr>
        <w:top w:val="none" w:sz="0" w:space="0" w:color="auto"/>
        <w:left w:val="none" w:sz="0" w:space="0" w:color="auto"/>
        <w:bottom w:val="none" w:sz="0" w:space="0" w:color="auto"/>
        <w:right w:val="none" w:sz="0" w:space="0" w:color="auto"/>
      </w:divBdr>
    </w:div>
    <w:div w:id="1575819629">
      <w:bodyDiv w:val="1"/>
      <w:marLeft w:val="0"/>
      <w:marRight w:val="0"/>
      <w:marTop w:val="0"/>
      <w:marBottom w:val="0"/>
      <w:divBdr>
        <w:top w:val="none" w:sz="0" w:space="0" w:color="auto"/>
        <w:left w:val="none" w:sz="0" w:space="0" w:color="auto"/>
        <w:bottom w:val="none" w:sz="0" w:space="0" w:color="auto"/>
        <w:right w:val="none" w:sz="0" w:space="0" w:color="auto"/>
      </w:divBdr>
    </w:div>
    <w:div w:id="1577090300">
      <w:bodyDiv w:val="1"/>
      <w:marLeft w:val="0"/>
      <w:marRight w:val="0"/>
      <w:marTop w:val="0"/>
      <w:marBottom w:val="0"/>
      <w:divBdr>
        <w:top w:val="none" w:sz="0" w:space="0" w:color="auto"/>
        <w:left w:val="none" w:sz="0" w:space="0" w:color="auto"/>
        <w:bottom w:val="none" w:sz="0" w:space="0" w:color="auto"/>
        <w:right w:val="none" w:sz="0" w:space="0" w:color="auto"/>
      </w:divBdr>
    </w:div>
    <w:div w:id="1578008207">
      <w:bodyDiv w:val="1"/>
      <w:marLeft w:val="0"/>
      <w:marRight w:val="0"/>
      <w:marTop w:val="0"/>
      <w:marBottom w:val="0"/>
      <w:divBdr>
        <w:top w:val="none" w:sz="0" w:space="0" w:color="auto"/>
        <w:left w:val="none" w:sz="0" w:space="0" w:color="auto"/>
        <w:bottom w:val="none" w:sz="0" w:space="0" w:color="auto"/>
        <w:right w:val="none" w:sz="0" w:space="0" w:color="auto"/>
      </w:divBdr>
    </w:div>
    <w:div w:id="1580820589">
      <w:bodyDiv w:val="1"/>
      <w:marLeft w:val="0"/>
      <w:marRight w:val="0"/>
      <w:marTop w:val="0"/>
      <w:marBottom w:val="0"/>
      <w:divBdr>
        <w:top w:val="none" w:sz="0" w:space="0" w:color="auto"/>
        <w:left w:val="none" w:sz="0" w:space="0" w:color="auto"/>
        <w:bottom w:val="none" w:sz="0" w:space="0" w:color="auto"/>
        <w:right w:val="none" w:sz="0" w:space="0" w:color="auto"/>
      </w:divBdr>
    </w:div>
    <w:div w:id="1581715976">
      <w:bodyDiv w:val="1"/>
      <w:marLeft w:val="0"/>
      <w:marRight w:val="0"/>
      <w:marTop w:val="0"/>
      <w:marBottom w:val="0"/>
      <w:divBdr>
        <w:top w:val="none" w:sz="0" w:space="0" w:color="auto"/>
        <w:left w:val="none" w:sz="0" w:space="0" w:color="auto"/>
        <w:bottom w:val="none" w:sz="0" w:space="0" w:color="auto"/>
        <w:right w:val="none" w:sz="0" w:space="0" w:color="auto"/>
      </w:divBdr>
    </w:div>
    <w:div w:id="1581790825">
      <w:bodyDiv w:val="1"/>
      <w:marLeft w:val="0"/>
      <w:marRight w:val="0"/>
      <w:marTop w:val="0"/>
      <w:marBottom w:val="0"/>
      <w:divBdr>
        <w:top w:val="none" w:sz="0" w:space="0" w:color="auto"/>
        <w:left w:val="none" w:sz="0" w:space="0" w:color="auto"/>
        <w:bottom w:val="none" w:sz="0" w:space="0" w:color="auto"/>
        <w:right w:val="none" w:sz="0" w:space="0" w:color="auto"/>
      </w:divBdr>
    </w:div>
    <w:div w:id="1589727957">
      <w:bodyDiv w:val="1"/>
      <w:marLeft w:val="0"/>
      <w:marRight w:val="0"/>
      <w:marTop w:val="0"/>
      <w:marBottom w:val="0"/>
      <w:divBdr>
        <w:top w:val="none" w:sz="0" w:space="0" w:color="auto"/>
        <w:left w:val="none" w:sz="0" w:space="0" w:color="auto"/>
        <w:bottom w:val="none" w:sz="0" w:space="0" w:color="auto"/>
        <w:right w:val="none" w:sz="0" w:space="0" w:color="auto"/>
      </w:divBdr>
    </w:div>
    <w:div w:id="1595478162">
      <w:bodyDiv w:val="1"/>
      <w:marLeft w:val="0"/>
      <w:marRight w:val="0"/>
      <w:marTop w:val="0"/>
      <w:marBottom w:val="0"/>
      <w:divBdr>
        <w:top w:val="none" w:sz="0" w:space="0" w:color="auto"/>
        <w:left w:val="none" w:sz="0" w:space="0" w:color="auto"/>
        <w:bottom w:val="none" w:sz="0" w:space="0" w:color="auto"/>
        <w:right w:val="none" w:sz="0" w:space="0" w:color="auto"/>
      </w:divBdr>
    </w:div>
    <w:div w:id="1596017422">
      <w:bodyDiv w:val="1"/>
      <w:marLeft w:val="0"/>
      <w:marRight w:val="0"/>
      <w:marTop w:val="0"/>
      <w:marBottom w:val="0"/>
      <w:divBdr>
        <w:top w:val="none" w:sz="0" w:space="0" w:color="auto"/>
        <w:left w:val="none" w:sz="0" w:space="0" w:color="auto"/>
        <w:bottom w:val="none" w:sz="0" w:space="0" w:color="auto"/>
        <w:right w:val="none" w:sz="0" w:space="0" w:color="auto"/>
      </w:divBdr>
    </w:div>
    <w:div w:id="1596940234">
      <w:bodyDiv w:val="1"/>
      <w:marLeft w:val="0"/>
      <w:marRight w:val="0"/>
      <w:marTop w:val="0"/>
      <w:marBottom w:val="0"/>
      <w:divBdr>
        <w:top w:val="none" w:sz="0" w:space="0" w:color="auto"/>
        <w:left w:val="none" w:sz="0" w:space="0" w:color="auto"/>
        <w:bottom w:val="none" w:sz="0" w:space="0" w:color="auto"/>
        <w:right w:val="none" w:sz="0" w:space="0" w:color="auto"/>
      </w:divBdr>
    </w:div>
    <w:div w:id="1597052447">
      <w:bodyDiv w:val="1"/>
      <w:marLeft w:val="0"/>
      <w:marRight w:val="0"/>
      <w:marTop w:val="0"/>
      <w:marBottom w:val="0"/>
      <w:divBdr>
        <w:top w:val="none" w:sz="0" w:space="0" w:color="auto"/>
        <w:left w:val="none" w:sz="0" w:space="0" w:color="auto"/>
        <w:bottom w:val="none" w:sz="0" w:space="0" w:color="auto"/>
        <w:right w:val="none" w:sz="0" w:space="0" w:color="auto"/>
      </w:divBdr>
    </w:div>
    <w:div w:id="1597636693">
      <w:bodyDiv w:val="1"/>
      <w:marLeft w:val="0"/>
      <w:marRight w:val="0"/>
      <w:marTop w:val="0"/>
      <w:marBottom w:val="0"/>
      <w:divBdr>
        <w:top w:val="none" w:sz="0" w:space="0" w:color="auto"/>
        <w:left w:val="none" w:sz="0" w:space="0" w:color="auto"/>
        <w:bottom w:val="none" w:sz="0" w:space="0" w:color="auto"/>
        <w:right w:val="none" w:sz="0" w:space="0" w:color="auto"/>
      </w:divBdr>
    </w:div>
    <w:div w:id="1598830564">
      <w:bodyDiv w:val="1"/>
      <w:marLeft w:val="0"/>
      <w:marRight w:val="0"/>
      <w:marTop w:val="0"/>
      <w:marBottom w:val="0"/>
      <w:divBdr>
        <w:top w:val="none" w:sz="0" w:space="0" w:color="auto"/>
        <w:left w:val="none" w:sz="0" w:space="0" w:color="auto"/>
        <w:bottom w:val="none" w:sz="0" w:space="0" w:color="auto"/>
        <w:right w:val="none" w:sz="0" w:space="0" w:color="auto"/>
      </w:divBdr>
    </w:div>
    <w:div w:id="1602369465">
      <w:bodyDiv w:val="1"/>
      <w:marLeft w:val="0"/>
      <w:marRight w:val="0"/>
      <w:marTop w:val="0"/>
      <w:marBottom w:val="0"/>
      <w:divBdr>
        <w:top w:val="none" w:sz="0" w:space="0" w:color="auto"/>
        <w:left w:val="none" w:sz="0" w:space="0" w:color="auto"/>
        <w:bottom w:val="none" w:sz="0" w:space="0" w:color="auto"/>
        <w:right w:val="none" w:sz="0" w:space="0" w:color="auto"/>
      </w:divBdr>
    </w:div>
    <w:div w:id="1604221818">
      <w:bodyDiv w:val="1"/>
      <w:marLeft w:val="0"/>
      <w:marRight w:val="0"/>
      <w:marTop w:val="0"/>
      <w:marBottom w:val="0"/>
      <w:divBdr>
        <w:top w:val="none" w:sz="0" w:space="0" w:color="auto"/>
        <w:left w:val="none" w:sz="0" w:space="0" w:color="auto"/>
        <w:bottom w:val="none" w:sz="0" w:space="0" w:color="auto"/>
        <w:right w:val="none" w:sz="0" w:space="0" w:color="auto"/>
      </w:divBdr>
    </w:div>
    <w:div w:id="1605653963">
      <w:bodyDiv w:val="1"/>
      <w:marLeft w:val="0"/>
      <w:marRight w:val="0"/>
      <w:marTop w:val="0"/>
      <w:marBottom w:val="0"/>
      <w:divBdr>
        <w:top w:val="none" w:sz="0" w:space="0" w:color="auto"/>
        <w:left w:val="none" w:sz="0" w:space="0" w:color="auto"/>
        <w:bottom w:val="none" w:sz="0" w:space="0" w:color="auto"/>
        <w:right w:val="none" w:sz="0" w:space="0" w:color="auto"/>
      </w:divBdr>
    </w:div>
    <w:div w:id="1606692801">
      <w:bodyDiv w:val="1"/>
      <w:marLeft w:val="0"/>
      <w:marRight w:val="0"/>
      <w:marTop w:val="0"/>
      <w:marBottom w:val="0"/>
      <w:divBdr>
        <w:top w:val="none" w:sz="0" w:space="0" w:color="auto"/>
        <w:left w:val="none" w:sz="0" w:space="0" w:color="auto"/>
        <w:bottom w:val="none" w:sz="0" w:space="0" w:color="auto"/>
        <w:right w:val="none" w:sz="0" w:space="0" w:color="auto"/>
      </w:divBdr>
    </w:div>
    <w:div w:id="1608000410">
      <w:bodyDiv w:val="1"/>
      <w:marLeft w:val="0"/>
      <w:marRight w:val="0"/>
      <w:marTop w:val="0"/>
      <w:marBottom w:val="0"/>
      <w:divBdr>
        <w:top w:val="none" w:sz="0" w:space="0" w:color="auto"/>
        <w:left w:val="none" w:sz="0" w:space="0" w:color="auto"/>
        <w:bottom w:val="none" w:sz="0" w:space="0" w:color="auto"/>
        <w:right w:val="none" w:sz="0" w:space="0" w:color="auto"/>
      </w:divBdr>
    </w:div>
    <w:div w:id="1609582372">
      <w:bodyDiv w:val="1"/>
      <w:marLeft w:val="0"/>
      <w:marRight w:val="0"/>
      <w:marTop w:val="0"/>
      <w:marBottom w:val="0"/>
      <w:divBdr>
        <w:top w:val="none" w:sz="0" w:space="0" w:color="auto"/>
        <w:left w:val="none" w:sz="0" w:space="0" w:color="auto"/>
        <w:bottom w:val="none" w:sz="0" w:space="0" w:color="auto"/>
        <w:right w:val="none" w:sz="0" w:space="0" w:color="auto"/>
      </w:divBdr>
    </w:div>
    <w:div w:id="1613895750">
      <w:bodyDiv w:val="1"/>
      <w:marLeft w:val="0"/>
      <w:marRight w:val="0"/>
      <w:marTop w:val="0"/>
      <w:marBottom w:val="0"/>
      <w:divBdr>
        <w:top w:val="none" w:sz="0" w:space="0" w:color="auto"/>
        <w:left w:val="none" w:sz="0" w:space="0" w:color="auto"/>
        <w:bottom w:val="none" w:sz="0" w:space="0" w:color="auto"/>
        <w:right w:val="none" w:sz="0" w:space="0" w:color="auto"/>
      </w:divBdr>
    </w:div>
    <w:div w:id="1615752128">
      <w:bodyDiv w:val="1"/>
      <w:marLeft w:val="0"/>
      <w:marRight w:val="0"/>
      <w:marTop w:val="0"/>
      <w:marBottom w:val="0"/>
      <w:divBdr>
        <w:top w:val="none" w:sz="0" w:space="0" w:color="auto"/>
        <w:left w:val="none" w:sz="0" w:space="0" w:color="auto"/>
        <w:bottom w:val="none" w:sz="0" w:space="0" w:color="auto"/>
        <w:right w:val="none" w:sz="0" w:space="0" w:color="auto"/>
      </w:divBdr>
    </w:div>
    <w:div w:id="1617132948">
      <w:bodyDiv w:val="1"/>
      <w:marLeft w:val="0"/>
      <w:marRight w:val="0"/>
      <w:marTop w:val="0"/>
      <w:marBottom w:val="0"/>
      <w:divBdr>
        <w:top w:val="none" w:sz="0" w:space="0" w:color="auto"/>
        <w:left w:val="none" w:sz="0" w:space="0" w:color="auto"/>
        <w:bottom w:val="none" w:sz="0" w:space="0" w:color="auto"/>
        <w:right w:val="none" w:sz="0" w:space="0" w:color="auto"/>
      </w:divBdr>
    </w:div>
    <w:div w:id="1624118753">
      <w:bodyDiv w:val="1"/>
      <w:marLeft w:val="0"/>
      <w:marRight w:val="0"/>
      <w:marTop w:val="0"/>
      <w:marBottom w:val="0"/>
      <w:divBdr>
        <w:top w:val="none" w:sz="0" w:space="0" w:color="auto"/>
        <w:left w:val="none" w:sz="0" w:space="0" w:color="auto"/>
        <w:bottom w:val="none" w:sz="0" w:space="0" w:color="auto"/>
        <w:right w:val="none" w:sz="0" w:space="0" w:color="auto"/>
      </w:divBdr>
    </w:div>
    <w:div w:id="1624458331">
      <w:bodyDiv w:val="1"/>
      <w:marLeft w:val="0"/>
      <w:marRight w:val="0"/>
      <w:marTop w:val="0"/>
      <w:marBottom w:val="0"/>
      <w:divBdr>
        <w:top w:val="none" w:sz="0" w:space="0" w:color="auto"/>
        <w:left w:val="none" w:sz="0" w:space="0" w:color="auto"/>
        <w:bottom w:val="none" w:sz="0" w:space="0" w:color="auto"/>
        <w:right w:val="none" w:sz="0" w:space="0" w:color="auto"/>
      </w:divBdr>
    </w:div>
    <w:div w:id="1624773298">
      <w:bodyDiv w:val="1"/>
      <w:marLeft w:val="0"/>
      <w:marRight w:val="0"/>
      <w:marTop w:val="0"/>
      <w:marBottom w:val="0"/>
      <w:divBdr>
        <w:top w:val="none" w:sz="0" w:space="0" w:color="auto"/>
        <w:left w:val="none" w:sz="0" w:space="0" w:color="auto"/>
        <w:bottom w:val="none" w:sz="0" w:space="0" w:color="auto"/>
        <w:right w:val="none" w:sz="0" w:space="0" w:color="auto"/>
      </w:divBdr>
    </w:div>
    <w:div w:id="1629315085">
      <w:bodyDiv w:val="1"/>
      <w:marLeft w:val="0"/>
      <w:marRight w:val="0"/>
      <w:marTop w:val="0"/>
      <w:marBottom w:val="0"/>
      <w:divBdr>
        <w:top w:val="none" w:sz="0" w:space="0" w:color="auto"/>
        <w:left w:val="none" w:sz="0" w:space="0" w:color="auto"/>
        <w:bottom w:val="none" w:sz="0" w:space="0" w:color="auto"/>
        <w:right w:val="none" w:sz="0" w:space="0" w:color="auto"/>
      </w:divBdr>
    </w:div>
    <w:div w:id="1631935168">
      <w:bodyDiv w:val="1"/>
      <w:marLeft w:val="0"/>
      <w:marRight w:val="0"/>
      <w:marTop w:val="0"/>
      <w:marBottom w:val="0"/>
      <w:divBdr>
        <w:top w:val="none" w:sz="0" w:space="0" w:color="auto"/>
        <w:left w:val="none" w:sz="0" w:space="0" w:color="auto"/>
        <w:bottom w:val="none" w:sz="0" w:space="0" w:color="auto"/>
        <w:right w:val="none" w:sz="0" w:space="0" w:color="auto"/>
      </w:divBdr>
    </w:div>
    <w:div w:id="1637371414">
      <w:bodyDiv w:val="1"/>
      <w:marLeft w:val="0"/>
      <w:marRight w:val="0"/>
      <w:marTop w:val="0"/>
      <w:marBottom w:val="0"/>
      <w:divBdr>
        <w:top w:val="none" w:sz="0" w:space="0" w:color="auto"/>
        <w:left w:val="none" w:sz="0" w:space="0" w:color="auto"/>
        <w:bottom w:val="none" w:sz="0" w:space="0" w:color="auto"/>
        <w:right w:val="none" w:sz="0" w:space="0" w:color="auto"/>
      </w:divBdr>
    </w:div>
    <w:div w:id="1637638964">
      <w:bodyDiv w:val="1"/>
      <w:marLeft w:val="0"/>
      <w:marRight w:val="0"/>
      <w:marTop w:val="0"/>
      <w:marBottom w:val="0"/>
      <w:divBdr>
        <w:top w:val="none" w:sz="0" w:space="0" w:color="auto"/>
        <w:left w:val="none" w:sz="0" w:space="0" w:color="auto"/>
        <w:bottom w:val="none" w:sz="0" w:space="0" w:color="auto"/>
        <w:right w:val="none" w:sz="0" w:space="0" w:color="auto"/>
      </w:divBdr>
    </w:div>
    <w:div w:id="1639070744">
      <w:bodyDiv w:val="1"/>
      <w:marLeft w:val="0"/>
      <w:marRight w:val="0"/>
      <w:marTop w:val="0"/>
      <w:marBottom w:val="0"/>
      <w:divBdr>
        <w:top w:val="none" w:sz="0" w:space="0" w:color="auto"/>
        <w:left w:val="none" w:sz="0" w:space="0" w:color="auto"/>
        <w:bottom w:val="none" w:sz="0" w:space="0" w:color="auto"/>
        <w:right w:val="none" w:sz="0" w:space="0" w:color="auto"/>
      </w:divBdr>
    </w:div>
    <w:div w:id="1639798738">
      <w:bodyDiv w:val="1"/>
      <w:marLeft w:val="0"/>
      <w:marRight w:val="0"/>
      <w:marTop w:val="0"/>
      <w:marBottom w:val="0"/>
      <w:divBdr>
        <w:top w:val="none" w:sz="0" w:space="0" w:color="auto"/>
        <w:left w:val="none" w:sz="0" w:space="0" w:color="auto"/>
        <w:bottom w:val="none" w:sz="0" w:space="0" w:color="auto"/>
        <w:right w:val="none" w:sz="0" w:space="0" w:color="auto"/>
      </w:divBdr>
    </w:div>
    <w:div w:id="1643921215">
      <w:bodyDiv w:val="1"/>
      <w:marLeft w:val="0"/>
      <w:marRight w:val="0"/>
      <w:marTop w:val="0"/>
      <w:marBottom w:val="0"/>
      <w:divBdr>
        <w:top w:val="none" w:sz="0" w:space="0" w:color="auto"/>
        <w:left w:val="none" w:sz="0" w:space="0" w:color="auto"/>
        <w:bottom w:val="none" w:sz="0" w:space="0" w:color="auto"/>
        <w:right w:val="none" w:sz="0" w:space="0" w:color="auto"/>
      </w:divBdr>
    </w:div>
    <w:div w:id="1644582975">
      <w:bodyDiv w:val="1"/>
      <w:marLeft w:val="0"/>
      <w:marRight w:val="0"/>
      <w:marTop w:val="0"/>
      <w:marBottom w:val="0"/>
      <w:divBdr>
        <w:top w:val="none" w:sz="0" w:space="0" w:color="auto"/>
        <w:left w:val="none" w:sz="0" w:space="0" w:color="auto"/>
        <w:bottom w:val="none" w:sz="0" w:space="0" w:color="auto"/>
        <w:right w:val="none" w:sz="0" w:space="0" w:color="auto"/>
      </w:divBdr>
    </w:div>
    <w:div w:id="1645310215">
      <w:bodyDiv w:val="1"/>
      <w:marLeft w:val="0"/>
      <w:marRight w:val="0"/>
      <w:marTop w:val="0"/>
      <w:marBottom w:val="0"/>
      <w:divBdr>
        <w:top w:val="none" w:sz="0" w:space="0" w:color="auto"/>
        <w:left w:val="none" w:sz="0" w:space="0" w:color="auto"/>
        <w:bottom w:val="none" w:sz="0" w:space="0" w:color="auto"/>
        <w:right w:val="none" w:sz="0" w:space="0" w:color="auto"/>
      </w:divBdr>
    </w:div>
    <w:div w:id="1645964965">
      <w:bodyDiv w:val="1"/>
      <w:marLeft w:val="0"/>
      <w:marRight w:val="0"/>
      <w:marTop w:val="0"/>
      <w:marBottom w:val="0"/>
      <w:divBdr>
        <w:top w:val="none" w:sz="0" w:space="0" w:color="auto"/>
        <w:left w:val="none" w:sz="0" w:space="0" w:color="auto"/>
        <w:bottom w:val="none" w:sz="0" w:space="0" w:color="auto"/>
        <w:right w:val="none" w:sz="0" w:space="0" w:color="auto"/>
      </w:divBdr>
    </w:div>
    <w:div w:id="1646203309">
      <w:bodyDiv w:val="1"/>
      <w:marLeft w:val="0"/>
      <w:marRight w:val="0"/>
      <w:marTop w:val="0"/>
      <w:marBottom w:val="0"/>
      <w:divBdr>
        <w:top w:val="none" w:sz="0" w:space="0" w:color="auto"/>
        <w:left w:val="none" w:sz="0" w:space="0" w:color="auto"/>
        <w:bottom w:val="none" w:sz="0" w:space="0" w:color="auto"/>
        <w:right w:val="none" w:sz="0" w:space="0" w:color="auto"/>
      </w:divBdr>
    </w:div>
    <w:div w:id="1647735665">
      <w:bodyDiv w:val="1"/>
      <w:marLeft w:val="0"/>
      <w:marRight w:val="0"/>
      <w:marTop w:val="0"/>
      <w:marBottom w:val="0"/>
      <w:divBdr>
        <w:top w:val="none" w:sz="0" w:space="0" w:color="auto"/>
        <w:left w:val="none" w:sz="0" w:space="0" w:color="auto"/>
        <w:bottom w:val="none" w:sz="0" w:space="0" w:color="auto"/>
        <w:right w:val="none" w:sz="0" w:space="0" w:color="auto"/>
      </w:divBdr>
    </w:div>
    <w:div w:id="1648434918">
      <w:bodyDiv w:val="1"/>
      <w:marLeft w:val="0"/>
      <w:marRight w:val="0"/>
      <w:marTop w:val="0"/>
      <w:marBottom w:val="0"/>
      <w:divBdr>
        <w:top w:val="none" w:sz="0" w:space="0" w:color="auto"/>
        <w:left w:val="none" w:sz="0" w:space="0" w:color="auto"/>
        <w:bottom w:val="none" w:sz="0" w:space="0" w:color="auto"/>
        <w:right w:val="none" w:sz="0" w:space="0" w:color="auto"/>
      </w:divBdr>
    </w:div>
    <w:div w:id="1651132933">
      <w:bodyDiv w:val="1"/>
      <w:marLeft w:val="0"/>
      <w:marRight w:val="0"/>
      <w:marTop w:val="0"/>
      <w:marBottom w:val="0"/>
      <w:divBdr>
        <w:top w:val="none" w:sz="0" w:space="0" w:color="auto"/>
        <w:left w:val="none" w:sz="0" w:space="0" w:color="auto"/>
        <w:bottom w:val="none" w:sz="0" w:space="0" w:color="auto"/>
        <w:right w:val="none" w:sz="0" w:space="0" w:color="auto"/>
      </w:divBdr>
    </w:div>
    <w:div w:id="1652297086">
      <w:bodyDiv w:val="1"/>
      <w:marLeft w:val="0"/>
      <w:marRight w:val="0"/>
      <w:marTop w:val="0"/>
      <w:marBottom w:val="0"/>
      <w:divBdr>
        <w:top w:val="none" w:sz="0" w:space="0" w:color="auto"/>
        <w:left w:val="none" w:sz="0" w:space="0" w:color="auto"/>
        <w:bottom w:val="none" w:sz="0" w:space="0" w:color="auto"/>
        <w:right w:val="none" w:sz="0" w:space="0" w:color="auto"/>
      </w:divBdr>
    </w:div>
    <w:div w:id="1656106485">
      <w:bodyDiv w:val="1"/>
      <w:marLeft w:val="0"/>
      <w:marRight w:val="0"/>
      <w:marTop w:val="0"/>
      <w:marBottom w:val="0"/>
      <w:divBdr>
        <w:top w:val="none" w:sz="0" w:space="0" w:color="auto"/>
        <w:left w:val="none" w:sz="0" w:space="0" w:color="auto"/>
        <w:bottom w:val="none" w:sz="0" w:space="0" w:color="auto"/>
        <w:right w:val="none" w:sz="0" w:space="0" w:color="auto"/>
      </w:divBdr>
    </w:div>
    <w:div w:id="1658803363">
      <w:bodyDiv w:val="1"/>
      <w:marLeft w:val="0"/>
      <w:marRight w:val="0"/>
      <w:marTop w:val="0"/>
      <w:marBottom w:val="0"/>
      <w:divBdr>
        <w:top w:val="none" w:sz="0" w:space="0" w:color="auto"/>
        <w:left w:val="none" w:sz="0" w:space="0" w:color="auto"/>
        <w:bottom w:val="none" w:sz="0" w:space="0" w:color="auto"/>
        <w:right w:val="none" w:sz="0" w:space="0" w:color="auto"/>
      </w:divBdr>
    </w:div>
    <w:div w:id="1661538228">
      <w:bodyDiv w:val="1"/>
      <w:marLeft w:val="0"/>
      <w:marRight w:val="0"/>
      <w:marTop w:val="0"/>
      <w:marBottom w:val="0"/>
      <w:divBdr>
        <w:top w:val="none" w:sz="0" w:space="0" w:color="auto"/>
        <w:left w:val="none" w:sz="0" w:space="0" w:color="auto"/>
        <w:bottom w:val="none" w:sz="0" w:space="0" w:color="auto"/>
        <w:right w:val="none" w:sz="0" w:space="0" w:color="auto"/>
      </w:divBdr>
    </w:div>
    <w:div w:id="1663196571">
      <w:bodyDiv w:val="1"/>
      <w:marLeft w:val="0"/>
      <w:marRight w:val="0"/>
      <w:marTop w:val="0"/>
      <w:marBottom w:val="0"/>
      <w:divBdr>
        <w:top w:val="none" w:sz="0" w:space="0" w:color="auto"/>
        <w:left w:val="none" w:sz="0" w:space="0" w:color="auto"/>
        <w:bottom w:val="none" w:sz="0" w:space="0" w:color="auto"/>
        <w:right w:val="none" w:sz="0" w:space="0" w:color="auto"/>
      </w:divBdr>
    </w:div>
    <w:div w:id="1665430069">
      <w:bodyDiv w:val="1"/>
      <w:marLeft w:val="0"/>
      <w:marRight w:val="0"/>
      <w:marTop w:val="0"/>
      <w:marBottom w:val="0"/>
      <w:divBdr>
        <w:top w:val="none" w:sz="0" w:space="0" w:color="auto"/>
        <w:left w:val="none" w:sz="0" w:space="0" w:color="auto"/>
        <w:bottom w:val="none" w:sz="0" w:space="0" w:color="auto"/>
        <w:right w:val="none" w:sz="0" w:space="0" w:color="auto"/>
      </w:divBdr>
    </w:div>
    <w:div w:id="1665663626">
      <w:bodyDiv w:val="1"/>
      <w:marLeft w:val="0"/>
      <w:marRight w:val="0"/>
      <w:marTop w:val="0"/>
      <w:marBottom w:val="0"/>
      <w:divBdr>
        <w:top w:val="none" w:sz="0" w:space="0" w:color="auto"/>
        <w:left w:val="none" w:sz="0" w:space="0" w:color="auto"/>
        <w:bottom w:val="none" w:sz="0" w:space="0" w:color="auto"/>
        <w:right w:val="none" w:sz="0" w:space="0" w:color="auto"/>
      </w:divBdr>
    </w:div>
    <w:div w:id="1665742299">
      <w:bodyDiv w:val="1"/>
      <w:marLeft w:val="0"/>
      <w:marRight w:val="0"/>
      <w:marTop w:val="0"/>
      <w:marBottom w:val="0"/>
      <w:divBdr>
        <w:top w:val="none" w:sz="0" w:space="0" w:color="auto"/>
        <w:left w:val="none" w:sz="0" w:space="0" w:color="auto"/>
        <w:bottom w:val="none" w:sz="0" w:space="0" w:color="auto"/>
        <w:right w:val="none" w:sz="0" w:space="0" w:color="auto"/>
      </w:divBdr>
    </w:div>
    <w:div w:id="1667592062">
      <w:bodyDiv w:val="1"/>
      <w:marLeft w:val="0"/>
      <w:marRight w:val="0"/>
      <w:marTop w:val="0"/>
      <w:marBottom w:val="0"/>
      <w:divBdr>
        <w:top w:val="none" w:sz="0" w:space="0" w:color="auto"/>
        <w:left w:val="none" w:sz="0" w:space="0" w:color="auto"/>
        <w:bottom w:val="none" w:sz="0" w:space="0" w:color="auto"/>
        <w:right w:val="none" w:sz="0" w:space="0" w:color="auto"/>
      </w:divBdr>
    </w:div>
    <w:div w:id="1668559076">
      <w:bodyDiv w:val="1"/>
      <w:marLeft w:val="0"/>
      <w:marRight w:val="0"/>
      <w:marTop w:val="0"/>
      <w:marBottom w:val="0"/>
      <w:divBdr>
        <w:top w:val="none" w:sz="0" w:space="0" w:color="auto"/>
        <w:left w:val="none" w:sz="0" w:space="0" w:color="auto"/>
        <w:bottom w:val="none" w:sz="0" w:space="0" w:color="auto"/>
        <w:right w:val="none" w:sz="0" w:space="0" w:color="auto"/>
      </w:divBdr>
    </w:div>
    <w:div w:id="1671565897">
      <w:bodyDiv w:val="1"/>
      <w:marLeft w:val="0"/>
      <w:marRight w:val="0"/>
      <w:marTop w:val="0"/>
      <w:marBottom w:val="0"/>
      <w:divBdr>
        <w:top w:val="none" w:sz="0" w:space="0" w:color="auto"/>
        <w:left w:val="none" w:sz="0" w:space="0" w:color="auto"/>
        <w:bottom w:val="none" w:sz="0" w:space="0" w:color="auto"/>
        <w:right w:val="none" w:sz="0" w:space="0" w:color="auto"/>
      </w:divBdr>
    </w:div>
    <w:div w:id="1672176617">
      <w:bodyDiv w:val="1"/>
      <w:marLeft w:val="0"/>
      <w:marRight w:val="0"/>
      <w:marTop w:val="0"/>
      <w:marBottom w:val="0"/>
      <w:divBdr>
        <w:top w:val="none" w:sz="0" w:space="0" w:color="auto"/>
        <w:left w:val="none" w:sz="0" w:space="0" w:color="auto"/>
        <w:bottom w:val="none" w:sz="0" w:space="0" w:color="auto"/>
        <w:right w:val="none" w:sz="0" w:space="0" w:color="auto"/>
      </w:divBdr>
    </w:div>
    <w:div w:id="1676613504">
      <w:bodyDiv w:val="1"/>
      <w:marLeft w:val="0"/>
      <w:marRight w:val="0"/>
      <w:marTop w:val="0"/>
      <w:marBottom w:val="0"/>
      <w:divBdr>
        <w:top w:val="none" w:sz="0" w:space="0" w:color="auto"/>
        <w:left w:val="none" w:sz="0" w:space="0" w:color="auto"/>
        <w:bottom w:val="none" w:sz="0" w:space="0" w:color="auto"/>
        <w:right w:val="none" w:sz="0" w:space="0" w:color="auto"/>
      </w:divBdr>
    </w:div>
    <w:div w:id="1677727940">
      <w:bodyDiv w:val="1"/>
      <w:marLeft w:val="0"/>
      <w:marRight w:val="0"/>
      <w:marTop w:val="0"/>
      <w:marBottom w:val="0"/>
      <w:divBdr>
        <w:top w:val="none" w:sz="0" w:space="0" w:color="auto"/>
        <w:left w:val="none" w:sz="0" w:space="0" w:color="auto"/>
        <w:bottom w:val="none" w:sz="0" w:space="0" w:color="auto"/>
        <w:right w:val="none" w:sz="0" w:space="0" w:color="auto"/>
      </w:divBdr>
    </w:div>
    <w:div w:id="1683051678">
      <w:bodyDiv w:val="1"/>
      <w:marLeft w:val="0"/>
      <w:marRight w:val="0"/>
      <w:marTop w:val="0"/>
      <w:marBottom w:val="0"/>
      <w:divBdr>
        <w:top w:val="none" w:sz="0" w:space="0" w:color="auto"/>
        <w:left w:val="none" w:sz="0" w:space="0" w:color="auto"/>
        <w:bottom w:val="none" w:sz="0" w:space="0" w:color="auto"/>
        <w:right w:val="none" w:sz="0" w:space="0" w:color="auto"/>
      </w:divBdr>
    </w:div>
    <w:div w:id="1683243979">
      <w:bodyDiv w:val="1"/>
      <w:marLeft w:val="0"/>
      <w:marRight w:val="0"/>
      <w:marTop w:val="0"/>
      <w:marBottom w:val="0"/>
      <w:divBdr>
        <w:top w:val="none" w:sz="0" w:space="0" w:color="auto"/>
        <w:left w:val="none" w:sz="0" w:space="0" w:color="auto"/>
        <w:bottom w:val="none" w:sz="0" w:space="0" w:color="auto"/>
        <w:right w:val="none" w:sz="0" w:space="0" w:color="auto"/>
      </w:divBdr>
    </w:div>
    <w:div w:id="1683555502">
      <w:bodyDiv w:val="1"/>
      <w:marLeft w:val="0"/>
      <w:marRight w:val="0"/>
      <w:marTop w:val="0"/>
      <w:marBottom w:val="0"/>
      <w:divBdr>
        <w:top w:val="none" w:sz="0" w:space="0" w:color="auto"/>
        <w:left w:val="none" w:sz="0" w:space="0" w:color="auto"/>
        <w:bottom w:val="none" w:sz="0" w:space="0" w:color="auto"/>
        <w:right w:val="none" w:sz="0" w:space="0" w:color="auto"/>
      </w:divBdr>
    </w:div>
    <w:div w:id="1684236790">
      <w:bodyDiv w:val="1"/>
      <w:marLeft w:val="0"/>
      <w:marRight w:val="0"/>
      <w:marTop w:val="0"/>
      <w:marBottom w:val="0"/>
      <w:divBdr>
        <w:top w:val="none" w:sz="0" w:space="0" w:color="auto"/>
        <w:left w:val="none" w:sz="0" w:space="0" w:color="auto"/>
        <w:bottom w:val="none" w:sz="0" w:space="0" w:color="auto"/>
        <w:right w:val="none" w:sz="0" w:space="0" w:color="auto"/>
      </w:divBdr>
    </w:div>
    <w:div w:id="1685396901">
      <w:bodyDiv w:val="1"/>
      <w:marLeft w:val="0"/>
      <w:marRight w:val="0"/>
      <w:marTop w:val="0"/>
      <w:marBottom w:val="0"/>
      <w:divBdr>
        <w:top w:val="none" w:sz="0" w:space="0" w:color="auto"/>
        <w:left w:val="none" w:sz="0" w:space="0" w:color="auto"/>
        <w:bottom w:val="none" w:sz="0" w:space="0" w:color="auto"/>
        <w:right w:val="none" w:sz="0" w:space="0" w:color="auto"/>
      </w:divBdr>
    </w:div>
    <w:div w:id="1685940774">
      <w:bodyDiv w:val="1"/>
      <w:marLeft w:val="0"/>
      <w:marRight w:val="0"/>
      <w:marTop w:val="0"/>
      <w:marBottom w:val="0"/>
      <w:divBdr>
        <w:top w:val="none" w:sz="0" w:space="0" w:color="auto"/>
        <w:left w:val="none" w:sz="0" w:space="0" w:color="auto"/>
        <w:bottom w:val="none" w:sz="0" w:space="0" w:color="auto"/>
        <w:right w:val="none" w:sz="0" w:space="0" w:color="auto"/>
      </w:divBdr>
    </w:div>
    <w:div w:id="1686979886">
      <w:bodyDiv w:val="1"/>
      <w:marLeft w:val="0"/>
      <w:marRight w:val="0"/>
      <w:marTop w:val="0"/>
      <w:marBottom w:val="0"/>
      <w:divBdr>
        <w:top w:val="none" w:sz="0" w:space="0" w:color="auto"/>
        <w:left w:val="none" w:sz="0" w:space="0" w:color="auto"/>
        <w:bottom w:val="none" w:sz="0" w:space="0" w:color="auto"/>
        <w:right w:val="none" w:sz="0" w:space="0" w:color="auto"/>
      </w:divBdr>
    </w:div>
    <w:div w:id="1688868759">
      <w:bodyDiv w:val="1"/>
      <w:marLeft w:val="0"/>
      <w:marRight w:val="0"/>
      <w:marTop w:val="0"/>
      <w:marBottom w:val="0"/>
      <w:divBdr>
        <w:top w:val="none" w:sz="0" w:space="0" w:color="auto"/>
        <w:left w:val="none" w:sz="0" w:space="0" w:color="auto"/>
        <w:bottom w:val="none" w:sz="0" w:space="0" w:color="auto"/>
        <w:right w:val="none" w:sz="0" w:space="0" w:color="auto"/>
      </w:divBdr>
    </w:div>
    <w:div w:id="1691761301">
      <w:bodyDiv w:val="1"/>
      <w:marLeft w:val="0"/>
      <w:marRight w:val="0"/>
      <w:marTop w:val="0"/>
      <w:marBottom w:val="0"/>
      <w:divBdr>
        <w:top w:val="none" w:sz="0" w:space="0" w:color="auto"/>
        <w:left w:val="none" w:sz="0" w:space="0" w:color="auto"/>
        <w:bottom w:val="none" w:sz="0" w:space="0" w:color="auto"/>
        <w:right w:val="none" w:sz="0" w:space="0" w:color="auto"/>
      </w:divBdr>
    </w:div>
    <w:div w:id="1691761679">
      <w:bodyDiv w:val="1"/>
      <w:marLeft w:val="0"/>
      <w:marRight w:val="0"/>
      <w:marTop w:val="0"/>
      <w:marBottom w:val="0"/>
      <w:divBdr>
        <w:top w:val="none" w:sz="0" w:space="0" w:color="auto"/>
        <w:left w:val="none" w:sz="0" w:space="0" w:color="auto"/>
        <w:bottom w:val="none" w:sz="0" w:space="0" w:color="auto"/>
        <w:right w:val="none" w:sz="0" w:space="0" w:color="auto"/>
      </w:divBdr>
    </w:div>
    <w:div w:id="1693651729">
      <w:bodyDiv w:val="1"/>
      <w:marLeft w:val="0"/>
      <w:marRight w:val="0"/>
      <w:marTop w:val="0"/>
      <w:marBottom w:val="0"/>
      <w:divBdr>
        <w:top w:val="none" w:sz="0" w:space="0" w:color="auto"/>
        <w:left w:val="none" w:sz="0" w:space="0" w:color="auto"/>
        <w:bottom w:val="none" w:sz="0" w:space="0" w:color="auto"/>
        <w:right w:val="none" w:sz="0" w:space="0" w:color="auto"/>
      </w:divBdr>
    </w:div>
    <w:div w:id="1694578309">
      <w:bodyDiv w:val="1"/>
      <w:marLeft w:val="0"/>
      <w:marRight w:val="0"/>
      <w:marTop w:val="0"/>
      <w:marBottom w:val="0"/>
      <w:divBdr>
        <w:top w:val="none" w:sz="0" w:space="0" w:color="auto"/>
        <w:left w:val="none" w:sz="0" w:space="0" w:color="auto"/>
        <w:bottom w:val="none" w:sz="0" w:space="0" w:color="auto"/>
        <w:right w:val="none" w:sz="0" w:space="0" w:color="auto"/>
      </w:divBdr>
    </w:div>
    <w:div w:id="1698238681">
      <w:bodyDiv w:val="1"/>
      <w:marLeft w:val="0"/>
      <w:marRight w:val="0"/>
      <w:marTop w:val="0"/>
      <w:marBottom w:val="0"/>
      <w:divBdr>
        <w:top w:val="none" w:sz="0" w:space="0" w:color="auto"/>
        <w:left w:val="none" w:sz="0" w:space="0" w:color="auto"/>
        <w:bottom w:val="none" w:sz="0" w:space="0" w:color="auto"/>
        <w:right w:val="none" w:sz="0" w:space="0" w:color="auto"/>
      </w:divBdr>
    </w:div>
    <w:div w:id="1698578257">
      <w:bodyDiv w:val="1"/>
      <w:marLeft w:val="0"/>
      <w:marRight w:val="0"/>
      <w:marTop w:val="0"/>
      <w:marBottom w:val="0"/>
      <w:divBdr>
        <w:top w:val="none" w:sz="0" w:space="0" w:color="auto"/>
        <w:left w:val="none" w:sz="0" w:space="0" w:color="auto"/>
        <w:bottom w:val="none" w:sz="0" w:space="0" w:color="auto"/>
        <w:right w:val="none" w:sz="0" w:space="0" w:color="auto"/>
      </w:divBdr>
    </w:div>
    <w:div w:id="1700427036">
      <w:bodyDiv w:val="1"/>
      <w:marLeft w:val="0"/>
      <w:marRight w:val="0"/>
      <w:marTop w:val="0"/>
      <w:marBottom w:val="0"/>
      <w:divBdr>
        <w:top w:val="none" w:sz="0" w:space="0" w:color="auto"/>
        <w:left w:val="none" w:sz="0" w:space="0" w:color="auto"/>
        <w:bottom w:val="none" w:sz="0" w:space="0" w:color="auto"/>
        <w:right w:val="none" w:sz="0" w:space="0" w:color="auto"/>
      </w:divBdr>
    </w:div>
    <w:div w:id="1700885958">
      <w:bodyDiv w:val="1"/>
      <w:marLeft w:val="0"/>
      <w:marRight w:val="0"/>
      <w:marTop w:val="0"/>
      <w:marBottom w:val="0"/>
      <w:divBdr>
        <w:top w:val="none" w:sz="0" w:space="0" w:color="auto"/>
        <w:left w:val="none" w:sz="0" w:space="0" w:color="auto"/>
        <w:bottom w:val="none" w:sz="0" w:space="0" w:color="auto"/>
        <w:right w:val="none" w:sz="0" w:space="0" w:color="auto"/>
      </w:divBdr>
    </w:div>
    <w:div w:id="1701003695">
      <w:bodyDiv w:val="1"/>
      <w:marLeft w:val="0"/>
      <w:marRight w:val="0"/>
      <w:marTop w:val="0"/>
      <w:marBottom w:val="0"/>
      <w:divBdr>
        <w:top w:val="none" w:sz="0" w:space="0" w:color="auto"/>
        <w:left w:val="none" w:sz="0" w:space="0" w:color="auto"/>
        <w:bottom w:val="none" w:sz="0" w:space="0" w:color="auto"/>
        <w:right w:val="none" w:sz="0" w:space="0" w:color="auto"/>
      </w:divBdr>
    </w:div>
    <w:div w:id="1705787994">
      <w:bodyDiv w:val="1"/>
      <w:marLeft w:val="0"/>
      <w:marRight w:val="0"/>
      <w:marTop w:val="0"/>
      <w:marBottom w:val="0"/>
      <w:divBdr>
        <w:top w:val="none" w:sz="0" w:space="0" w:color="auto"/>
        <w:left w:val="none" w:sz="0" w:space="0" w:color="auto"/>
        <w:bottom w:val="none" w:sz="0" w:space="0" w:color="auto"/>
        <w:right w:val="none" w:sz="0" w:space="0" w:color="auto"/>
      </w:divBdr>
    </w:div>
    <w:div w:id="1706640804">
      <w:bodyDiv w:val="1"/>
      <w:marLeft w:val="0"/>
      <w:marRight w:val="0"/>
      <w:marTop w:val="0"/>
      <w:marBottom w:val="0"/>
      <w:divBdr>
        <w:top w:val="none" w:sz="0" w:space="0" w:color="auto"/>
        <w:left w:val="none" w:sz="0" w:space="0" w:color="auto"/>
        <w:bottom w:val="none" w:sz="0" w:space="0" w:color="auto"/>
        <w:right w:val="none" w:sz="0" w:space="0" w:color="auto"/>
      </w:divBdr>
    </w:div>
    <w:div w:id="1708408847">
      <w:bodyDiv w:val="1"/>
      <w:marLeft w:val="0"/>
      <w:marRight w:val="0"/>
      <w:marTop w:val="0"/>
      <w:marBottom w:val="0"/>
      <w:divBdr>
        <w:top w:val="none" w:sz="0" w:space="0" w:color="auto"/>
        <w:left w:val="none" w:sz="0" w:space="0" w:color="auto"/>
        <w:bottom w:val="none" w:sz="0" w:space="0" w:color="auto"/>
        <w:right w:val="none" w:sz="0" w:space="0" w:color="auto"/>
      </w:divBdr>
    </w:div>
    <w:div w:id="1709061393">
      <w:bodyDiv w:val="1"/>
      <w:marLeft w:val="0"/>
      <w:marRight w:val="0"/>
      <w:marTop w:val="0"/>
      <w:marBottom w:val="0"/>
      <w:divBdr>
        <w:top w:val="none" w:sz="0" w:space="0" w:color="auto"/>
        <w:left w:val="none" w:sz="0" w:space="0" w:color="auto"/>
        <w:bottom w:val="none" w:sz="0" w:space="0" w:color="auto"/>
        <w:right w:val="none" w:sz="0" w:space="0" w:color="auto"/>
      </w:divBdr>
    </w:div>
    <w:div w:id="1709260082">
      <w:bodyDiv w:val="1"/>
      <w:marLeft w:val="0"/>
      <w:marRight w:val="0"/>
      <w:marTop w:val="0"/>
      <w:marBottom w:val="0"/>
      <w:divBdr>
        <w:top w:val="none" w:sz="0" w:space="0" w:color="auto"/>
        <w:left w:val="none" w:sz="0" w:space="0" w:color="auto"/>
        <w:bottom w:val="none" w:sz="0" w:space="0" w:color="auto"/>
        <w:right w:val="none" w:sz="0" w:space="0" w:color="auto"/>
      </w:divBdr>
    </w:div>
    <w:div w:id="1713268242">
      <w:bodyDiv w:val="1"/>
      <w:marLeft w:val="0"/>
      <w:marRight w:val="0"/>
      <w:marTop w:val="0"/>
      <w:marBottom w:val="0"/>
      <w:divBdr>
        <w:top w:val="none" w:sz="0" w:space="0" w:color="auto"/>
        <w:left w:val="none" w:sz="0" w:space="0" w:color="auto"/>
        <w:bottom w:val="none" w:sz="0" w:space="0" w:color="auto"/>
        <w:right w:val="none" w:sz="0" w:space="0" w:color="auto"/>
      </w:divBdr>
    </w:div>
    <w:div w:id="1717075944">
      <w:bodyDiv w:val="1"/>
      <w:marLeft w:val="0"/>
      <w:marRight w:val="0"/>
      <w:marTop w:val="0"/>
      <w:marBottom w:val="0"/>
      <w:divBdr>
        <w:top w:val="none" w:sz="0" w:space="0" w:color="auto"/>
        <w:left w:val="none" w:sz="0" w:space="0" w:color="auto"/>
        <w:bottom w:val="none" w:sz="0" w:space="0" w:color="auto"/>
        <w:right w:val="none" w:sz="0" w:space="0" w:color="auto"/>
      </w:divBdr>
    </w:div>
    <w:div w:id="1717122046">
      <w:bodyDiv w:val="1"/>
      <w:marLeft w:val="0"/>
      <w:marRight w:val="0"/>
      <w:marTop w:val="0"/>
      <w:marBottom w:val="0"/>
      <w:divBdr>
        <w:top w:val="none" w:sz="0" w:space="0" w:color="auto"/>
        <w:left w:val="none" w:sz="0" w:space="0" w:color="auto"/>
        <w:bottom w:val="none" w:sz="0" w:space="0" w:color="auto"/>
        <w:right w:val="none" w:sz="0" w:space="0" w:color="auto"/>
      </w:divBdr>
    </w:div>
    <w:div w:id="1722433972">
      <w:bodyDiv w:val="1"/>
      <w:marLeft w:val="0"/>
      <w:marRight w:val="0"/>
      <w:marTop w:val="0"/>
      <w:marBottom w:val="0"/>
      <w:divBdr>
        <w:top w:val="none" w:sz="0" w:space="0" w:color="auto"/>
        <w:left w:val="none" w:sz="0" w:space="0" w:color="auto"/>
        <w:bottom w:val="none" w:sz="0" w:space="0" w:color="auto"/>
        <w:right w:val="none" w:sz="0" w:space="0" w:color="auto"/>
      </w:divBdr>
    </w:div>
    <w:div w:id="1722634440">
      <w:bodyDiv w:val="1"/>
      <w:marLeft w:val="0"/>
      <w:marRight w:val="0"/>
      <w:marTop w:val="0"/>
      <w:marBottom w:val="0"/>
      <w:divBdr>
        <w:top w:val="none" w:sz="0" w:space="0" w:color="auto"/>
        <w:left w:val="none" w:sz="0" w:space="0" w:color="auto"/>
        <w:bottom w:val="none" w:sz="0" w:space="0" w:color="auto"/>
        <w:right w:val="none" w:sz="0" w:space="0" w:color="auto"/>
      </w:divBdr>
    </w:div>
    <w:div w:id="1726105175">
      <w:bodyDiv w:val="1"/>
      <w:marLeft w:val="0"/>
      <w:marRight w:val="0"/>
      <w:marTop w:val="0"/>
      <w:marBottom w:val="0"/>
      <w:divBdr>
        <w:top w:val="none" w:sz="0" w:space="0" w:color="auto"/>
        <w:left w:val="none" w:sz="0" w:space="0" w:color="auto"/>
        <w:bottom w:val="none" w:sz="0" w:space="0" w:color="auto"/>
        <w:right w:val="none" w:sz="0" w:space="0" w:color="auto"/>
      </w:divBdr>
    </w:div>
    <w:div w:id="1726684014">
      <w:bodyDiv w:val="1"/>
      <w:marLeft w:val="0"/>
      <w:marRight w:val="0"/>
      <w:marTop w:val="0"/>
      <w:marBottom w:val="0"/>
      <w:divBdr>
        <w:top w:val="none" w:sz="0" w:space="0" w:color="auto"/>
        <w:left w:val="none" w:sz="0" w:space="0" w:color="auto"/>
        <w:bottom w:val="none" w:sz="0" w:space="0" w:color="auto"/>
        <w:right w:val="none" w:sz="0" w:space="0" w:color="auto"/>
      </w:divBdr>
    </w:div>
    <w:div w:id="1731541690">
      <w:bodyDiv w:val="1"/>
      <w:marLeft w:val="0"/>
      <w:marRight w:val="0"/>
      <w:marTop w:val="0"/>
      <w:marBottom w:val="0"/>
      <w:divBdr>
        <w:top w:val="none" w:sz="0" w:space="0" w:color="auto"/>
        <w:left w:val="none" w:sz="0" w:space="0" w:color="auto"/>
        <w:bottom w:val="none" w:sz="0" w:space="0" w:color="auto"/>
        <w:right w:val="none" w:sz="0" w:space="0" w:color="auto"/>
      </w:divBdr>
    </w:div>
    <w:div w:id="1733649788">
      <w:bodyDiv w:val="1"/>
      <w:marLeft w:val="0"/>
      <w:marRight w:val="0"/>
      <w:marTop w:val="0"/>
      <w:marBottom w:val="0"/>
      <w:divBdr>
        <w:top w:val="none" w:sz="0" w:space="0" w:color="auto"/>
        <w:left w:val="none" w:sz="0" w:space="0" w:color="auto"/>
        <w:bottom w:val="none" w:sz="0" w:space="0" w:color="auto"/>
        <w:right w:val="none" w:sz="0" w:space="0" w:color="auto"/>
      </w:divBdr>
    </w:div>
    <w:div w:id="1734037208">
      <w:bodyDiv w:val="1"/>
      <w:marLeft w:val="0"/>
      <w:marRight w:val="0"/>
      <w:marTop w:val="0"/>
      <w:marBottom w:val="0"/>
      <w:divBdr>
        <w:top w:val="none" w:sz="0" w:space="0" w:color="auto"/>
        <w:left w:val="none" w:sz="0" w:space="0" w:color="auto"/>
        <w:bottom w:val="none" w:sz="0" w:space="0" w:color="auto"/>
        <w:right w:val="none" w:sz="0" w:space="0" w:color="auto"/>
      </w:divBdr>
    </w:div>
    <w:div w:id="1735663447">
      <w:bodyDiv w:val="1"/>
      <w:marLeft w:val="0"/>
      <w:marRight w:val="0"/>
      <w:marTop w:val="0"/>
      <w:marBottom w:val="0"/>
      <w:divBdr>
        <w:top w:val="none" w:sz="0" w:space="0" w:color="auto"/>
        <w:left w:val="none" w:sz="0" w:space="0" w:color="auto"/>
        <w:bottom w:val="none" w:sz="0" w:space="0" w:color="auto"/>
        <w:right w:val="none" w:sz="0" w:space="0" w:color="auto"/>
      </w:divBdr>
    </w:div>
    <w:div w:id="1740060068">
      <w:bodyDiv w:val="1"/>
      <w:marLeft w:val="0"/>
      <w:marRight w:val="0"/>
      <w:marTop w:val="0"/>
      <w:marBottom w:val="0"/>
      <w:divBdr>
        <w:top w:val="none" w:sz="0" w:space="0" w:color="auto"/>
        <w:left w:val="none" w:sz="0" w:space="0" w:color="auto"/>
        <w:bottom w:val="none" w:sz="0" w:space="0" w:color="auto"/>
        <w:right w:val="none" w:sz="0" w:space="0" w:color="auto"/>
      </w:divBdr>
    </w:div>
    <w:div w:id="1744183678">
      <w:bodyDiv w:val="1"/>
      <w:marLeft w:val="0"/>
      <w:marRight w:val="0"/>
      <w:marTop w:val="0"/>
      <w:marBottom w:val="0"/>
      <w:divBdr>
        <w:top w:val="none" w:sz="0" w:space="0" w:color="auto"/>
        <w:left w:val="none" w:sz="0" w:space="0" w:color="auto"/>
        <w:bottom w:val="none" w:sz="0" w:space="0" w:color="auto"/>
        <w:right w:val="none" w:sz="0" w:space="0" w:color="auto"/>
      </w:divBdr>
    </w:div>
    <w:div w:id="1748114705">
      <w:bodyDiv w:val="1"/>
      <w:marLeft w:val="0"/>
      <w:marRight w:val="0"/>
      <w:marTop w:val="0"/>
      <w:marBottom w:val="0"/>
      <w:divBdr>
        <w:top w:val="none" w:sz="0" w:space="0" w:color="auto"/>
        <w:left w:val="none" w:sz="0" w:space="0" w:color="auto"/>
        <w:bottom w:val="none" w:sz="0" w:space="0" w:color="auto"/>
        <w:right w:val="none" w:sz="0" w:space="0" w:color="auto"/>
      </w:divBdr>
    </w:div>
    <w:div w:id="1748764377">
      <w:bodyDiv w:val="1"/>
      <w:marLeft w:val="0"/>
      <w:marRight w:val="0"/>
      <w:marTop w:val="0"/>
      <w:marBottom w:val="0"/>
      <w:divBdr>
        <w:top w:val="none" w:sz="0" w:space="0" w:color="auto"/>
        <w:left w:val="none" w:sz="0" w:space="0" w:color="auto"/>
        <w:bottom w:val="none" w:sz="0" w:space="0" w:color="auto"/>
        <w:right w:val="none" w:sz="0" w:space="0" w:color="auto"/>
      </w:divBdr>
    </w:div>
    <w:div w:id="1751081710">
      <w:bodyDiv w:val="1"/>
      <w:marLeft w:val="0"/>
      <w:marRight w:val="0"/>
      <w:marTop w:val="0"/>
      <w:marBottom w:val="0"/>
      <w:divBdr>
        <w:top w:val="none" w:sz="0" w:space="0" w:color="auto"/>
        <w:left w:val="none" w:sz="0" w:space="0" w:color="auto"/>
        <w:bottom w:val="none" w:sz="0" w:space="0" w:color="auto"/>
        <w:right w:val="none" w:sz="0" w:space="0" w:color="auto"/>
      </w:divBdr>
    </w:div>
    <w:div w:id="1754739676">
      <w:bodyDiv w:val="1"/>
      <w:marLeft w:val="0"/>
      <w:marRight w:val="0"/>
      <w:marTop w:val="0"/>
      <w:marBottom w:val="0"/>
      <w:divBdr>
        <w:top w:val="none" w:sz="0" w:space="0" w:color="auto"/>
        <w:left w:val="none" w:sz="0" w:space="0" w:color="auto"/>
        <w:bottom w:val="none" w:sz="0" w:space="0" w:color="auto"/>
        <w:right w:val="none" w:sz="0" w:space="0" w:color="auto"/>
      </w:divBdr>
    </w:div>
    <w:div w:id="1754862974">
      <w:bodyDiv w:val="1"/>
      <w:marLeft w:val="0"/>
      <w:marRight w:val="0"/>
      <w:marTop w:val="0"/>
      <w:marBottom w:val="0"/>
      <w:divBdr>
        <w:top w:val="none" w:sz="0" w:space="0" w:color="auto"/>
        <w:left w:val="none" w:sz="0" w:space="0" w:color="auto"/>
        <w:bottom w:val="none" w:sz="0" w:space="0" w:color="auto"/>
        <w:right w:val="none" w:sz="0" w:space="0" w:color="auto"/>
      </w:divBdr>
    </w:div>
    <w:div w:id="1759449176">
      <w:bodyDiv w:val="1"/>
      <w:marLeft w:val="0"/>
      <w:marRight w:val="0"/>
      <w:marTop w:val="0"/>
      <w:marBottom w:val="0"/>
      <w:divBdr>
        <w:top w:val="none" w:sz="0" w:space="0" w:color="auto"/>
        <w:left w:val="none" w:sz="0" w:space="0" w:color="auto"/>
        <w:bottom w:val="none" w:sz="0" w:space="0" w:color="auto"/>
        <w:right w:val="none" w:sz="0" w:space="0" w:color="auto"/>
      </w:divBdr>
    </w:div>
    <w:div w:id="1761832664">
      <w:bodyDiv w:val="1"/>
      <w:marLeft w:val="0"/>
      <w:marRight w:val="0"/>
      <w:marTop w:val="0"/>
      <w:marBottom w:val="0"/>
      <w:divBdr>
        <w:top w:val="none" w:sz="0" w:space="0" w:color="auto"/>
        <w:left w:val="none" w:sz="0" w:space="0" w:color="auto"/>
        <w:bottom w:val="none" w:sz="0" w:space="0" w:color="auto"/>
        <w:right w:val="none" w:sz="0" w:space="0" w:color="auto"/>
      </w:divBdr>
    </w:div>
    <w:div w:id="1762986661">
      <w:bodyDiv w:val="1"/>
      <w:marLeft w:val="0"/>
      <w:marRight w:val="0"/>
      <w:marTop w:val="0"/>
      <w:marBottom w:val="0"/>
      <w:divBdr>
        <w:top w:val="none" w:sz="0" w:space="0" w:color="auto"/>
        <w:left w:val="none" w:sz="0" w:space="0" w:color="auto"/>
        <w:bottom w:val="none" w:sz="0" w:space="0" w:color="auto"/>
        <w:right w:val="none" w:sz="0" w:space="0" w:color="auto"/>
      </w:divBdr>
    </w:div>
    <w:div w:id="1764186818">
      <w:bodyDiv w:val="1"/>
      <w:marLeft w:val="0"/>
      <w:marRight w:val="0"/>
      <w:marTop w:val="0"/>
      <w:marBottom w:val="0"/>
      <w:divBdr>
        <w:top w:val="none" w:sz="0" w:space="0" w:color="auto"/>
        <w:left w:val="none" w:sz="0" w:space="0" w:color="auto"/>
        <w:bottom w:val="none" w:sz="0" w:space="0" w:color="auto"/>
        <w:right w:val="none" w:sz="0" w:space="0" w:color="auto"/>
      </w:divBdr>
    </w:div>
    <w:div w:id="1765035232">
      <w:bodyDiv w:val="1"/>
      <w:marLeft w:val="0"/>
      <w:marRight w:val="0"/>
      <w:marTop w:val="0"/>
      <w:marBottom w:val="0"/>
      <w:divBdr>
        <w:top w:val="none" w:sz="0" w:space="0" w:color="auto"/>
        <w:left w:val="none" w:sz="0" w:space="0" w:color="auto"/>
        <w:bottom w:val="none" w:sz="0" w:space="0" w:color="auto"/>
        <w:right w:val="none" w:sz="0" w:space="0" w:color="auto"/>
      </w:divBdr>
    </w:div>
    <w:div w:id="1766338563">
      <w:bodyDiv w:val="1"/>
      <w:marLeft w:val="0"/>
      <w:marRight w:val="0"/>
      <w:marTop w:val="0"/>
      <w:marBottom w:val="0"/>
      <w:divBdr>
        <w:top w:val="none" w:sz="0" w:space="0" w:color="auto"/>
        <w:left w:val="none" w:sz="0" w:space="0" w:color="auto"/>
        <w:bottom w:val="none" w:sz="0" w:space="0" w:color="auto"/>
        <w:right w:val="none" w:sz="0" w:space="0" w:color="auto"/>
      </w:divBdr>
    </w:div>
    <w:div w:id="1766684783">
      <w:bodyDiv w:val="1"/>
      <w:marLeft w:val="0"/>
      <w:marRight w:val="0"/>
      <w:marTop w:val="0"/>
      <w:marBottom w:val="0"/>
      <w:divBdr>
        <w:top w:val="none" w:sz="0" w:space="0" w:color="auto"/>
        <w:left w:val="none" w:sz="0" w:space="0" w:color="auto"/>
        <w:bottom w:val="none" w:sz="0" w:space="0" w:color="auto"/>
        <w:right w:val="none" w:sz="0" w:space="0" w:color="auto"/>
      </w:divBdr>
    </w:div>
    <w:div w:id="1769041972">
      <w:bodyDiv w:val="1"/>
      <w:marLeft w:val="0"/>
      <w:marRight w:val="0"/>
      <w:marTop w:val="0"/>
      <w:marBottom w:val="0"/>
      <w:divBdr>
        <w:top w:val="none" w:sz="0" w:space="0" w:color="auto"/>
        <w:left w:val="none" w:sz="0" w:space="0" w:color="auto"/>
        <w:bottom w:val="none" w:sz="0" w:space="0" w:color="auto"/>
        <w:right w:val="none" w:sz="0" w:space="0" w:color="auto"/>
      </w:divBdr>
    </w:div>
    <w:div w:id="1776168379">
      <w:bodyDiv w:val="1"/>
      <w:marLeft w:val="0"/>
      <w:marRight w:val="0"/>
      <w:marTop w:val="0"/>
      <w:marBottom w:val="0"/>
      <w:divBdr>
        <w:top w:val="none" w:sz="0" w:space="0" w:color="auto"/>
        <w:left w:val="none" w:sz="0" w:space="0" w:color="auto"/>
        <w:bottom w:val="none" w:sz="0" w:space="0" w:color="auto"/>
        <w:right w:val="none" w:sz="0" w:space="0" w:color="auto"/>
      </w:divBdr>
    </w:div>
    <w:div w:id="1776293027">
      <w:bodyDiv w:val="1"/>
      <w:marLeft w:val="0"/>
      <w:marRight w:val="0"/>
      <w:marTop w:val="0"/>
      <w:marBottom w:val="0"/>
      <w:divBdr>
        <w:top w:val="none" w:sz="0" w:space="0" w:color="auto"/>
        <w:left w:val="none" w:sz="0" w:space="0" w:color="auto"/>
        <w:bottom w:val="none" w:sz="0" w:space="0" w:color="auto"/>
        <w:right w:val="none" w:sz="0" w:space="0" w:color="auto"/>
      </w:divBdr>
    </w:div>
    <w:div w:id="1777171330">
      <w:bodyDiv w:val="1"/>
      <w:marLeft w:val="0"/>
      <w:marRight w:val="0"/>
      <w:marTop w:val="0"/>
      <w:marBottom w:val="0"/>
      <w:divBdr>
        <w:top w:val="none" w:sz="0" w:space="0" w:color="auto"/>
        <w:left w:val="none" w:sz="0" w:space="0" w:color="auto"/>
        <w:bottom w:val="none" w:sz="0" w:space="0" w:color="auto"/>
        <w:right w:val="none" w:sz="0" w:space="0" w:color="auto"/>
      </w:divBdr>
    </w:div>
    <w:div w:id="1778062799">
      <w:bodyDiv w:val="1"/>
      <w:marLeft w:val="0"/>
      <w:marRight w:val="0"/>
      <w:marTop w:val="0"/>
      <w:marBottom w:val="0"/>
      <w:divBdr>
        <w:top w:val="none" w:sz="0" w:space="0" w:color="auto"/>
        <w:left w:val="none" w:sz="0" w:space="0" w:color="auto"/>
        <w:bottom w:val="none" w:sz="0" w:space="0" w:color="auto"/>
        <w:right w:val="none" w:sz="0" w:space="0" w:color="auto"/>
      </w:divBdr>
    </w:div>
    <w:div w:id="1780493069">
      <w:bodyDiv w:val="1"/>
      <w:marLeft w:val="0"/>
      <w:marRight w:val="0"/>
      <w:marTop w:val="0"/>
      <w:marBottom w:val="0"/>
      <w:divBdr>
        <w:top w:val="none" w:sz="0" w:space="0" w:color="auto"/>
        <w:left w:val="none" w:sz="0" w:space="0" w:color="auto"/>
        <w:bottom w:val="none" w:sz="0" w:space="0" w:color="auto"/>
        <w:right w:val="none" w:sz="0" w:space="0" w:color="auto"/>
      </w:divBdr>
    </w:div>
    <w:div w:id="1781679698">
      <w:bodyDiv w:val="1"/>
      <w:marLeft w:val="0"/>
      <w:marRight w:val="0"/>
      <w:marTop w:val="0"/>
      <w:marBottom w:val="0"/>
      <w:divBdr>
        <w:top w:val="none" w:sz="0" w:space="0" w:color="auto"/>
        <w:left w:val="none" w:sz="0" w:space="0" w:color="auto"/>
        <w:bottom w:val="none" w:sz="0" w:space="0" w:color="auto"/>
        <w:right w:val="none" w:sz="0" w:space="0" w:color="auto"/>
      </w:divBdr>
    </w:div>
    <w:div w:id="1786345997">
      <w:bodyDiv w:val="1"/>
      <w:marLeft w:val="0"/>
      <w:marRight w:val="0"/>
      <w:marTop w:val="0"/>
      <w:marBottom w:val="0"/>
      <w:divBdr>
        <w:top w:val="none" w:sz="0" w:space="0" w:color="auto"/>
        <w:left w:val="none" w:sz="0" w:space="0" w:color="auto"/>
        <w:bottom w:val="none" w:sz="0" w:space="0" w:color="auto"/>
        <w:right w:val="none" w:sz="0" w:space="0" w:color="auto"/>
      </w:divBdr>
    </w:div>
    <w:div w:id="1786850370">
      <w:bodyDiv w:val="1"/>
      <w:marLeft w:val="0"/>
      <w:marRight w:val="0"/>
      <w:marTop w:val="0"/>
      <w:marBottom w:val="0"/>
      <w:divBdr>
        <w:top w:val="none" w:sz="0" w:space="0" w:color="auto"/>
        <w:left w:val="none" w:sz="0" w:space="0" w:color="auto"/>
        <w:bottom w:val="none" w:sz="0" w:space="0" w:color="auto"/>
        <w:right w:val="none" w:sz="0" w:space="0" w:color="auto"/>
      </w:divBdr>
    </w:div>
    <w:div w:id="1792236515">
      <w:bodyDiv w:val="1"/>
      <w:marLeft w:val="0"/>
      <w:marRight w:val="0"/>
      <w:marTop w:val="0"/>
      <w:marBottom w:val="0"/>
      <w:divBdr>
        <w:top w:val="none" w:sz="0" w:space="0" w:color="auto"/>
        <w:left w:val="none" w:sz="0" w:space="0" w:color="auto"/>
        <w:bottom w:val="none" w:sz="0" w:space="0" w:color="auto"/>
        <w:right w:val="none" w:sz="0" w:space="0" w:color="auto"/>
      </w:divBdr>
    </w:div>
    <w:div w:id="1792673392">
      <w:bodyDiv w:val="1"/>
      <w:marLeft w:val="0"/>
      <w:marRight w:val="0"/>
      <w:marTop w:val="0"/>
      <w:marBottom w:val="0"/>
      <w:divBdr>
        <w:top w:val="none" w:sz="0" w:space="0" w:color="auto"/>
        <w:left w:val="none" w:sz="0" w:space="0" w:color="auto"/>
        <w:bottom w:val="none" w:sz="0" w:space="0" w:color="auto"/>
        <w:right w:val="none" w:sz="0" w:space="0" w:color="auto"/>
      </w:divBdr>
    </w:div>
    <w:div w:id="1793790565">
      <w:bodyDiv w:val="1"/>
      <w:marLeft w:val="0"/>
      <w:marRight w:val="0"/>
      <w:marTop w:val="0"/>
      <w:marBottom w:val="0"/>
      <w:divBdr>
        <w:top w:val="none" w:sz="0" w:space="0" w:color="auto"/>
        <w:left w:val="none" w:sz="0" w:space="0" w:color="auto"/>
        <w:bottom w:val="none" w:sz="0" w:space="0" w:color="auto"/>
        <w:right w:val="none" w:sz="0" w:space="0" w:color="auto"/>
      </w:divBdr>
    </w:div>
    <w:div w:id="1794054866">
      <w:bodyDiv w:val="1"/>
      <w:marLeft w:val="0"/>
      <w:marRight w:val="0"/>
      <w:marTop w:val="0"/>
      <w:marBottom w:val="0"/>
      <w:divBdr>
        <w:top w:val="none" w:sz="0" w:space="0" w:color="auto"/>
        <w:left w:val="none" w:sz="0" w:space="0" w:color="auto"/>
        <w:bottom w:val="none" w:sz="0" w:space="0" w:color="auto"/>
        <w:right w:val="none" w:sz="0" w:space="0" w:color="auto"/>
      </w:divBdr>
    </w:div>
    <w:div w:id="1794135000">
      <w:bodyDiv w:val="1"/>
      <w:marLeft w:val="0"/>
      <w:marRight w:val="0"/>
      <w:marTop w:val="0"/>
      <w:marBottom w:val="0"/>
      <w:divBdr>
        <w:top w:val="none" w:sz="0" w:space="0" w:color="auto"/>
        <w:left w:val="none" w:sz="0" w:space="0" w:color="auto"/>
        <w:bottom w:val="none" w:sz="0" w:space="0" w:color="auto"/>
        <w:right w:val="none" w:sz="0" w:space="0" w:color="auto"/>
      </w:divBdr>
    </w:div>
    <w:div w:id="1797092048">
      <w:bodyDiv w:val="1"/>
      <w:marLeft w:val="0"/>
      <w:marRight w:val="0"/>
      <w:marTop w:val="0"/>
      <w:marBottom w:val="0"/>
      <w:divBdr>
        <w:top w:val="none" w:sz="0" w:space="0" w:color="auto"/>
        <w:left w:val="none" w:sz="0" w:space="0" w:color="auto"/>
        <w:bottom w:val="none" w:sz="0" w:space="0" w:color="auto"/>
        <w:right w:val="none" w:sz="0" w:space="0" w:color="auto"/>
      </w:divBdr>
    </w:div>
    <w:div w:id="1800806989">
      <w:bodyDiv w:val="1"/>
      <w:marLeft w:val="0"/>
      <w:marRight w:val="0"/>
      <w:marTop w:val="0"/>
      <w:marBottom w:val="0"/>
      <w:divBdr>
        <w:top w:val="none" w:sz="0" w:space="0" w:color="auto"/>
        <w:left w:val="none" w:sz="0" w:space="0" w:color="auto"/>
        <w:bottom w:val="none" w:sz="0" w:space="0" w:color="auto"/>
        <w:right w:val="none" w:sz="0" w:space="0" w:color="auto"/>
      </w:divBdr>
    </w:div>
    <w:div w:id="1803621458">
      <w:bodyDiv w:val="1"/>
      <w:marLeft w:val="0"/>
      <w:marRight w:val="0"/>
      <w:marTop w:val="0"/>
      <w:marBottom w:val="0"/>
      <w:divBdr>
        <w:top w:val="none" w:sz="0" w:space="0" w:color="auto"/>
        <w:left w:val="none" w:sz="0" w:space="0" w:color="auto"/>
        <w:bottom w:val="none" w:sz="0" w:space="0" w:color="auto"/>
        <w:right w:val="none" w:sz="0" w:space="0" w:color="auto"/>
      </w:divBdr>
    </w:div>
    <w:div w:id="1808743081">
      <w:bodyDiv w:val="1"/>
      <w:marLeft w:val="0"/>
      <w:marRight w:val="0"/>
      <w:marTop w:val="0"/>
      <w:marBottom w:val="0"/>
      <w:divBdr>
        <w:top w:val="none" w:sz="0" w:space="0" w:color="auto"/>
        <w:left w:val="none" w:sz="0" w:space="0" w:color="auto"/>
        <w:bottom w:val="none" w:sz="0" w:space="0" w:color="auto"/>
        <w:right w:val="none" w:sz="0" w:space="0" w:color="auto"/>
      </w:divBdr>
    </w:div>
    <w:div w:id="1812863059">
      <w:bodyDiv w:val="1"/>
      <w:marLeft w:val="0"/>
      <w:marRight w:val="0"/>
      <w:marTop w:val="0"/>
      <w:marBottom w:val="0"/>
      <w:divBdr>
        <w:top w:val="none" w:sz="0" w:space="0" w:color="auto"/>
        <w:left w:val="none" w:sz="0" w:space="0" w:color="auto"/>
        <w:bottom w:val="none" w:sz="0" w:space="0" w:color="auto"/>
        <w:right w:val="none" w:sz="0" w:space="0" w:color="auto"/>
      </w:divBdr>
    </w:div>
    <w:div w:id="1814710392">
      <w:bodyDiv w:val="1"/>
      <w:marLeft w:val="0"/>
      <w:marRight w:val="0"/>
      <w:marTop w:val="0"/>
      <w:marBottom w:val="0"/>
      <w:divBdr>
        <w:top w:val="none" w:sz="0" w:space="0" w:color="auto"/>
        <w:left w:val="none" w:sz="0" w:space="0" w:color="auto"/>
        <w:bottom w:val="none" w:sz="0" w:space="0" w:color="auto"/>
        <w:right w:val="none" w:sz="0" w:space="0" w:color="auto"/>
      </w:divBdr>
    </w:div>
    <w:div w:id="1814984470">
      <w:bodyDiv w:val="1"/>
      <w:marLeft w:val="0"/>
      <w:marRight w:val="0"/>
      <w:marTop w:val="0"/>
      <w:marBottom w:val="0"/>
      <w:divBdr>
        <w:top w:val="none" w:sz="0" w:space="0" w:color="auto"/>
        <w:left w:val="none" w:sz="0" w:space="0" w:color="auto"/>
        <w:bottom w:val="none" w:sz="0" w:space="0" w:color="auto"/>
        <w:right w:val="none" w:sz="0" w:space="0" w:color="auto"/>
      </w:divBdr>
    </w:div>
    <w:div w:id="1815098863">
      <w:bodyDiv w:val="1"/>
      <w:marLeft w:val="0"/>
      <w:marRight w:val="0"/>
      <w:marTop w:val="0"/>
      <w:marBottom w:val="0"/>
      <w:divBdr>
        <w:top w:val="none" w:sz="0" w:space="0" w:color="auto"/>
        <w:left w:val="none" w:sz="0" w:space="0" w:color="auto"/>
        <w:bottom w:val="none" w:sz="0" w:space="0" w:color="auto"/>
        <w:right w:val="none" w:sz="0" w:space="0" w:color="auto"/>
      </w:divBdr>
    </w:div>
    <w:div w:id="1818911935">
      <w:bodyDiv w:val="1"/>
      <w:marLeft w:val="0"/>
      <w:marRight w:val="0"/>
      <w:marTop w:val="0"/>
      <w:marBottom w:val="0"/>
      <w:divBdr>
        <w:top w:val="none" w:sz="0" w:space="0" w:color="auto"/>
        <w:left w:val="none" w:sz="0" w:space="0" w:color="auto"/>
        <w:bottom w:val="none" w:sz="0" w:space="0" w:color="auto"/>
        <w:right w:val="none" w:sz="0" w:space="0" w:color="auto"/>
      </w:divBdr>
    </w:div>
    <w:div w:id="1819377336">
      <w:bodyDiv w:val="1"/>
      <w:marLeft w:val="0"/>
      <w:marRight w:val="0"/>
      <w:marTop w:val="0"/>
      <w:marBottom w:val="0"/>
      <w:divBdr>
        <w:top w:val="none" w:sz="0" w:space="0" w:color="auto"/>
        <w:left w:val="none" w:sz="0" w:space="0" w:color="auto"/>
        <w:bottom w:val="none" w:sz="0" w:space="0" w:color="auto"/>
        <w:right w:val="none" w:sz="0" w:space="0" w:color="auto"/>
      </w:divBdr>
    </w:div>
    <w:div w:id="1823422627">
      <w:bodyDiv w:val="1"/>
      <w:marLeft w:val="0"/>
      <w:marRight w:val="0"/>
      <w:marTop w:val="0"/>
      <w:marBottom w:val="0"/>
      <w:divBdr>
        <w:top w:val="none" w:sz="0" w:space="0" w:color="auto"/>
        <w:left w:val="none" w:sz="0" w:space="0" w:color="auto"/>
        <w:bottom w:val="none" w:sz="0" w:space="0" w:color="auto"/>
        <w:right w:val="none" w:sz="0" w:space="0" w:color="auto"/>
      </w:divBdr>
    </w:div>
    <w:div w:id="1823540934">
      <w:bodyDiv w:val="1"/>
      <w:marLeft w:val="0"/>
      <w:marRight w:val="0"/>
      <w:marTop w:val="0"/>
      <w:marBottom w:val="0"/>
      <w:divBdr>
        <w:top w:val="none" w:sz="0" w:space="0" w:color="auto"/>
        <w:left w:val="none" w:sz="0" w:space="0" w:color="auto"/>
        <w:bottom w:val="none" w:sz="0" w:space="0" w:color="auto"/>
        <w:right w:val="none" w:sz="0" w:space="0" w:color="auto"/>
      </w:divBdr>
    </w:div>
    <w:div w:id="1827166892">
      <w:bodyDiv w:val="1"/>
      <w:marLeft w:val="0"/>
      <w:marRight w:val="0"/>
      <w:marTop w:val="0"/>
      <w:marBottom w:val="0"/>
      <w:divBdr>
        <w:top w:val="none" w:sz="0" w:space="0" w:color="auto"/>
        <w:left w:val="none" w:sz="0" w:space="0" w:color="auto"/>
        <w:bottom w:val="none" w:sz="0" w:space="0" w:color="auto"/>
        <w:right w:val="none" w:sz="0" w:space="0" w:color="auto"/>
      </w:divBdr>
    </w:div>
    <w:div w:id="1827866444">
      <w:bodyDiv w:val="1"/>
      <w:marLeft w:val="0"/>
      <w:marRight w:val="0"/>
      <w:marTop w:val="0"/>
      <w:marBottom w:val="0"/>
      <w:divBdr>
        <w:top w:val="none" w:sz="0" w:space="0" w:color="auto"/>
        <w:left w:val="none" w:sz="0" w:space="0" w:color="auto"/>
        <w:bottom w:val="none" w:sz="0" w:space="0" w:color="auto"/>
        <w:right w:val="none" w:sz="0" w:space="0" w:color="auto"/>
      </w:divBdr>
    </w:div>
    <w:div w:id="1828129538">
      <w:bodyDiv w:val="1"/>
      <w:marLeft w:val="0"/>
      <w:marRight w:val="0"/>
      <w:marTop w:val="0"/>
      <w:marBottom w:val="0"/>
      <w:divBdr>
        <w:top w:val="none" w:sz="0" w:space="0" w:color="auto"/>
        <w:left w:val="none" w:sz="0" w:space="0" w:color="auto"/>
        <w:bottom w:val="none" w:sz="0" w:space="0" w:color="auto"/>
        <w:right w:val="none" w:sz="0" w:space="0" w:color="auto"/>
      </w:divBdr>
    </w:div>
    <w:div w:id="1828863471">
      <w:bodyDiv w:val="1"/>
      <w:marLeft w:val="0"/>
      <w:marRight w:val="0"/>
      <w:marTop w:val="0"/>
      <w:marBottom w:val="0"/>
      <w:divBdr>
        <w:top w:val="none" w:sz="0" w:space="0" w:color="auto"/>
        <w:left w:val="none" w:sz="0" w:space="0" w:color="auto"/>
        <w:bottom w:val="none" w:sz="0" w:space="0" w:color="auto"/>
        <w:right w:val="none" w:sz="0" w:space="0" w:color="auto"/>
      </w:divBdr>
    </w:div>
    <w:div w:id="1829321352">
      <w:bodyDiv w:val="1"/>
      <w:marLeft w:val="0"/>
      <w:marRight w:val="0"/>
      <w:marTop w:val="0"/>
      <w:marBottom w:val="0"/>
      <w:divBdr>
        <w:top w:val="none" w:sz="0" w:space="0" w:color="auto"/>
        <w:left w:val="none" w:sz="0" w:space="0" w:color="auto"/>
        <w:bottom w:val="none" w:sz="0" w:space="0" w:color="auto"/>
        <w:right w:val="none" w:sz="0" w:space="0" w:color="auto"/>
      </w:divBdr>
    </w:div>
    <w:div w:id="1830172914">
      <w:bodyDiv w:val="1"/>
      <w:marLeft w:val="0"/>
      <w:marRight w:val="0"/>
      <w:marTop w:val="0"/>
      <w:marBottom w:val="0"/>
      <w:divBdr>
        <w:top w:val="none" w:sz="0" w:space="0" w:color="auto"/>
        <w:left w:val="none" w:sz="0" w:space="0" w:color="auto"/>
        <w:bottom w:val="none" w:sz="0" w:space="0" w:color="auto"/>
        <w:right w:val="none" w:sz="0" w:space="0" w:color="auto"/>
      </w:divBdr>
    </w:div>
    <w:div w:id="1833444160">
      <w:bodyDiv w:val="1"/>
      <w:marLeft w:val="0"/>
      <w:marRight w:val="0"/>
      <w:marTop w:val="0"/>
      <w:marBottom w:val="0"/>
      <w:divBdr>
        <w:top w:val="none" w:sz="0" w:space="0" w:color="auto"/>
        <w:left w:val="none" w:sz="0" w:space="0" w:color="auto"/>
        <w:bottom w:val="none" w:sz="0" w:space="0" w:color="auto"/>
        <w:right w:val="none" w:sz="0" w:space="0" w:color="auto"/>
      </w:divBdr>
    </w:div>
    <w:div w:id="1839005726">
      <w:bodyDiv w:val="1"/>
      <w:marLeft w:val="0"/>
      <w:marRight w:val="0"/>
      <w:marTop w:val="0"/>
      <w:marBottom w:val="0"/>
      <w:divBdr>
        <w:top w:val="none" w:sz="0" w:space="0" w:color="auto"/>
        <w:left w:val="none" w:sz="0" w:space="0" w:color="auto"/>
        <w:bottom w:val="none" w:sz="0" w:space="0" w:color="auto"/>
        <w:right w:val="none" w:sz="0" w:space="0" w:color="auto"/>
      </w:divBdr>
    </w:div>
    <w:div w:id="1840583180">
      <w:bodyDiv w:val="1"/>
      <w:marLeft w:val="0"/>
      <w:marRight w:val="0"/>
      <w:marTop w:val="0"/>
      <w:marBottom w:val="0"/>
      <w:divBdr>
        <w:top w:val="none" w:sz="0" w:space="0" w:color="auto"/>
        <w:left w:val="none" w:sz="0" w:space="0" w:color="auto"/>
        <w:bottom w:val="none" w:sz="0" w:space="0" w:color="auto"/>
        <w:right w:val="none" w:sz="0" w:space="0" w:color="auto"/>
      </w:divBdr>
    </w:div>
    <w:div w:id="1840727960">
      <w:bodyDiv w:val="1"/>
      <w:marLeft w:val="0"/>
      <w:marRight w:val="0"/>
      <w:marTop w:val="0"/>
      <w:marBottom w:val="0"/>
      <w:divBdr>
        <w:top w:val="none" w:sz="0" w:space="0" w:color="auto"/>
        <w:left w:val="none" w:sz="0" w:space="0" w:color="auto"/>
        <w:bottom w:val="none" w:sz="0" w:space="0" w:color="auto"/>
        <w:right w:val="none" w:sz="0" w:space="0" w:color="auto"/>
      </w:divBdr>
    </w:div>
    <w:div w:id="1841113790">
      <w:bodyDiv w:val="1"/>
      <w:marLeft w:val="0"/>
      <w:marRight w:val="0"/>
      <w:marTop w:val="0"/>
      <w:marBottom w:val="0"/>
      <w:divBdr>
        <w:top w:val="none" w:sz="0" w:space="0" w:color="auto"/>
        <w:left w:val="none" w:sz="0" w:space="0" w:color="auto"/>
        <w:bottom w:val="none" w:sz="0" w:space="0" w:color="auto"/>
        <w:right w:val="none" w:sz="0" w:space="0" w:color="auto"/>
      </w:divBdr>
    </w:div>
    <w:div w:id="1843425498">
      <w:bodyDiv w:val="1"/>
      <w:marLeft w:val="0"/>
      <w:marRight w:val="0"/>
      <w:marTop w:val="0"/>
      <w:marBottom w:val="0"/>
      <w:divBdr>
        <w:top w:val="none" w:sz="0" w:space="0" w:color="auto"/>
        <w:left w:val="none" w:sz="0" w:space="0" w:color="auto"/>
        <w:bottom w:val="none" w:sz="0" w:space="0" w:color="auto"/>
        <w:right w:val="none" w:sz="0" w:space="0" w:color="auto"/>
      </w:divBdr>
    </w:div>
    <w:div w:id="1850824128">
      <w:bodyDiv w:val="1"/>
      <w:marLeft w:val="0"/>
      <w:marRight w:val="0"/>
      <w:marTop w:val="0"/>
      <w:marBottom w:val="0"/>
      <w:divBdr>
        <w:top w:val="none" w:sz="0" w:space="0" w:color="auto"/>
        <w:left w:val="none" w:sz="0" w:space="0" w:color="auto"/>
        <w:bottom w:val="none" w:sz="0" w:space="0" w:color="auto"/>
        <w:right w:val="none" w:sz="0" w:space="0" w:color="auto"/>
      </w:divBdr>
    </w:div>
    <w:div w:id="1852992341">
      <w:bodyDiv w:val="1"/>
      <w:marLeft w:val="0"/>
      <w:marRight w:val="0"/>
      <w:marTop w:val="0"/>
      <w:marBottom w:val="0"/>
      <w:divBdr>
        <w:top w:val="none" w:sz="0" w:space="0" w:color="auto"/>
        <w:left w:val="none" w:sz="0" w:space="0" w:color="auto"/>
        <w:bottom w:val="none" w:sz="0" w:space="0" w:color="auto"/>
        <w:right w:val="none" w:sz="0" w:space="0" w:color="auto"/>
      </w:divBdr>
    </w:div>
    <w:div w:id="1853950708">
      <w:bodyDiv w:val="1"/>
      <w:marLeft w:val="0"/>
      <w:marRight w:val="0"/>
      <w:marTop w:val="0"/>
      <w:marBottom w:val="0"/>
      <w:divBdr>
        <w:top w:val="none" w:sz="0" w:space="0" w:color="auto"/>
        <w:left w:val="none" w:sz="0" w:space="0" w:color="auto"/>
        <w:bottom w:val="none" w:sz="0" w:space="0" w:color="auto"/>
        <w:right w:val="none" w:sz="0" w:space="0" w:color="auto"/>
      </w:divBdr>
    </w:div>
    <w:div w:id="1854370734">
      <w:bodyDiv w:val="1"/>
      <w:marLeft w:val="0"/>
      <w:marRight w:val="0"/>
      <w:marTop w:val="0"/>
      <w:marBottom w:val="0"/>
      <w:divBdr>
        <w:top w:val="none" w:sz="0" w:space="0" w:color="auto"/>
        <w:left w:val="none" w:sz="0" w:space="0" w:color="auto"/>
        <w:bottom w:val="none" w:sz="0" w:space="0" w:color="auto"/>
        <w:right w:val="none" w:sz="0" w:space="0" w:color="auto"/>
      </w:divBdr>
    </w:div>
    <w:div w:id="1855146977">
      <w:bodyDiv w:val="1"/>
      <w:marLeft w:val="0"/>
      <w:marRight w:val="0"/>
      <w:marTop w:val="0"/>
      <w:marBottom w:val="0"/>
      <w:divBdr>
        <w:top w:val="none" w:sz="0" w:space="0" w:color="auto"/>
        <w:left w:val="none" w:sz="0" w:space="0" w:color="auto"/>
        <w:bottom w:val="none" w:sz="0" w:space="0" w:color="auto"/>
        <w:right w:val="none" w:sz="0" w:space="0" w:color="auto"/>
      </w:divBdr>
    </w:div>
    <w:div w:id="1857377286">
      <w:bodyDiv w:val="1"/>
      <w:marLeft w:val="0"/>
      <w:marRight w:val="0"/>
      <w:marTop w:val="0"/>
      <w:marBottom w:val="0"/>
      <w:divBdr>
        <w:top w:val="none" w:sz="0" w:space="0" w:color="auto"/>
        <w:left w:val="none" w:sz="0" w:space="0" w:color="auto"/>
        <w:bottom w:val="none" w:sz="0" w:space="0" w:color="auto"/>
        <w:right w:val="none" w:sz="0" w:space="0" w:color="auto"/>
      </w:divBdr>
    </w:div>
    <w:div w:id="1860583628">
      <w:bodyDiv w:val="1"/>
      <w:marLeft w:val="0"/>
      <w:marRight w:val="0"/>
      <w:marTop w:val="0"/>
      <w:marBottom w:val="0"/>
      <w:divBdr>
        <w:top w:val="none" w:sz="0" w:space="0" w:color="auto"/>
        <w:left w:val="none" w:sz="0" w:space="0" w:color="auto"/>
        <w:bottom w:val="none" w:sz="0" w:space="0" w:color="auto"/>
        <w:right w:val="none" w:sz="0" w:space="0" w:color="auto"/>
      </w:divBdr>
    </w:div>
    <w:div w:id="1863085920">
      <w:bodyDiv w:val="1"/>
      <w:marLeft w:val="0"/>
      <w:marRight w:val="0"/>
      <w:marTop w:val="0"/>
      <w:marBottom w:val="0"/>
      <w:divBdr>
        <w:top w:val="none" w:sz="0" w:space="0" w:color="auto"/>
        <w:left w:val="none" w:sz="0" w:space="0" w:color="auto"/>
        <w:bottom w:val="none" w:sz="0" w:space="0" w:color="auto"/>
        <w:right w:val="none" w:sz="0" w:space="0" w:color="auto"/>
      </w:divBdr>
    </w:div>
    <w:div w:id="1863587603">
      <w:bodyDiv w:val="1"/>
      <w:marLeft w:val="0"/>
      <w:marRight w:val="0"/>
      <w:marTop w:val="0"/>
      <w:marBottom w:val="0"/>
      <w:divBdr>
        <w:top w:val="none" w:sz="0" w:space="0" w:color="auto"/>
        <w:left w:val="none" w:sz="0" w:space="0" w:color="auto"/>
        <w:bottom w:val="none" w:sz="0" w:space="0" w:color="auto"/>
        <w:right w:val="none" w:sz="0" w:space="0" w:color="auto"/>
      </w:divBdr>
    </w:div>
    <w:div w:id="1864589571">
      <w:bodyDiv w:val="1"/>
      <w:marLeft w:val="0"/>
      <w:marRight w:val="0"/>
      <w:marTop w:val="0"/>
      <w:marBottom w:val="0"/>
      <w:divBdr>
        <w:top w:val="none" w:sz="0" w:space="0" w:color="auto"/>
        <w:left w:val="none" w:sz="0" w:space="0" w:color="auto"/>
        <w:bottom w:val="none" w:sz="0" w:space="0" w:color="auto"/>
        <w:right w:val="none" w:sz="0" w:space="0" w:color="auto"/>
      </w:divBdr>
    </w:div>
    <w:div w:id="1869369659">
      <w:bodyDiv w:val="1"/>
      <w:marLeft w:val="0"/>
      <w:marRight w:val="0"/>
      <w:marTop w:val="0"/>
      <w:marBottom w:val="0"/>
      <w:divBdr>
        <w:top w:val="none" w:sz="0" w:space="0" w:color="auto"/>
        <w:left w:val="none" w:sz="0" w:space="0" w:color="auto"/>
        <w:bottom w:val="none" w:sz="0" w:space="0" w:color="auto"/>
        <w:right w:val="none" w:sz="0" w:space="0" w:color="auto"/>
      </w:divBdr>
    </w:div>
    <w:div w:id="1869483318">
      <w:bodyDiv w:val="1"/>
      <w:marLeft w:val="0"/>
      <w:marRight w:val="0"/>
      <w:marTop w:val="0"/>
      <w:marBottom w:val="0"/>
      <w:divBdr>
        <w:top w:val="none" w:sz="0" w:space="0" w:color="auto"/>
        <w:left w:val="none" w:sz="0" w:space="0" w:color="auto"/>
        <w:bottom w:val="none" w:sz="0" w:space="0" w:color="auto"/>
        <w:right w:val="none" w:sz="0" w:space="0" w:color="auto"/>
      </w:divBdr>
    </w:div>
    <w:div w:id="1871793521">
      <w:bodyDiv w:val="1"/>
      <w:marLeft w:val="0"/>
      <w:marRight w:val="0"/>
      <w:marTop w:val="0"/>
      <w:marBottom w:val="0"/>
      <w:divBdr>
        <w:top w:val="none" w:sz="0" w:space="0" w:color="auto"/>
        <w:left w:val="none" w:sz="0" w:space="0" w:color="auto"/>
        <w:bottom w:val="none" w:sz="0" w:space="0" w:color="auto"/>
        <w:right w:val="none" w:sz="0" w:space="0" w:color="auto"/>
      </w:divBdr>
    </w:div>
    <w:div w:id="1874879271">
      <w:bodyDiv w:val="1"/>
      <w:marLeft w:val="0"/>
      <w:marRight w:val="0"/>
      <w:marTop w:val="0"/>
      <w:marBottom w:val="0"/>
      <w:divBdr>
        <w:top w:val="none" w:sz="0" w:space="0" w:color="auto"/>
        <w:left w:val="none" w:sz="0" w:space="0" w:color="auto"/>
        <w:bottom w:val="none" w:sz="0" w:space="0" w:color="auto"/>
        <w:right w:val="none" w:sz="0" w:space="0" w:color="auto"/>
      </w:divBdr>
    </w:div>
    <w:div w:id="1876307188">
      <w:bodyDiv w:val="1"/>
      <w:marLeft w:val="0"/>
      <w:marRight w:val="0"/>
      <w:marTop w:val="0"/>
      <w:marBottom w:val="0"/>
      <w:divBdr>
        <w:top w:val="none" w:sz="0" w:space="0" w:color="auto"/>
        <w:left w:val="none" w:sz="0" w:space="0" w:color="auto"/>
        <w:bottom w:val="none" w:sz="0" w:space="0" w:color="auto"/>
        <w:right w:val="none" w:sz="0" w:space="0" w:color="auto"/>
      </w:divBdr>
    </w:div>
    <w:div w:id="1876693353">
      <w:bodyDiv w:val="1"/>
      <w:marLeft w:val="0"/>
      <w:marRight w:val="0"/>
      <w:marTop w:val="0"/>
      <w:marBottom w:val="0"/>
      <w:divBdr>
        <w:top w:val="none" w:sz="0" w:space="0" w:color="auto"/>
        <w:left w:val="none" w:sz="0" w:space="0" w:color="auto"/>
        <w:bottom w:val="none" w:sz="0" w:space="0" w:color="auto"/>
        <w:right w:val="none" w:sz="0" w:space="0" w:color="auto"/>
      </w:divBdr>
    </w:div>
    <w:div w:id="1884511810">
      <w:bodyDiv w:val="1"/>
      <w:marLeft w:val="0"/>
      <w:marRight w:val="0"/>
      <w:marTop w:val="0"/>
      <w:marBottom w:val="0"/>
      <w:divBdr>
        <w:top w:val="none" w:sz="0" w:space="0" w:color="auto"/>
        <w:left w:val="none" w:sz="0" w:space="0" w:color="auto"/>
        <w:bottom w:val="none" w:sz="0" w:space="0" w:color="auto"/>
        <w:right w:val="none" w:sz="0" w:space="0" w:color="auto"/>
      </w:divBdr>
    </w:div>
    <w:div w:id="1884949465">
      <w:bodyDiv w:val="1"/>
      <w:marLeft w:val="0"/>
      <w:marRight w:val="0"/>
      <w:marTop w:val="0"/>
      <w:marBottom w:val="0"/>
      <w:divBdr>
        <w:top w:val="none" w:sz="0" w:space="0" w:color="auto"/>
        <w:left w:val="none" w:sz="0" w:space="0" w:color="auto"/>
        <w:bottom w:val="none" w:sz="0" w:space="0" w:color="auto"/>
        <w:right w:val="none" w:sz="0" w:space="0" w:color="auto"/>
      </w:divBdr>
    </w:div>
    <w:div w:id="1885366493">
      <w:bodyDiv w:val="1"/>
      <w:marLeft w:val="0"/>
      <w:marRight w:val="0"/>
      <w:marTop w:val="0"/>
      <w:marBottom w:val="0"/>
      <w:divBdr>
        <w:top w:val="none" w:sz="0" w:space="0" w:color="auto"/>
        <w:left w:val="none" w:sz="0" w:space="0" w:color="auto"/>
        <w:bottom w:val="none" w:sz="0" w:space="0" w:color="auto"/>
        <w:right w:val="none" w:sz="0" w:space="0" w:color="auto"/>
      </w:divBdr>
    </w:div>
    <w:div w:id="1886410467">
      <w:bodyDiv w:val="1"/>
      <w:marLeft w:val="0"/>
      <w:marRight w:val="0"/>
      <w:marTop w:val="0"/>
      <w:marBottom w:val="0"/>
      <w:divBdr>
        <w:top w:val="none" w:sz="0" w:space="0" w:color="auto"/>
        <w:left w:val="none" w:sz="0" w:space="0" w:color="auto"/>
        <w:bottom w:val="none" w:sz="0" w:space="0" w:color="auto"/>
        <w:right w:val="none" w:sz="0" w:space="0" w:color="auto"/>
      </w:divBdr>
    </w:div>
    <w:div w:id="1886600186">
      <w:bodyDiv w:val="1"/>
      <w:marLeft w:val="0"/>
      <w:marRight w:val="0"/>
      <w:marTop w:val="0"/>
      <w:marBottom w:val="0"/>
      <w:divBdr>
        <w:top w:val="none" w:sz="0" w:space="0" w:color="auto"/>
        <w:left w:val="none" w:sz="0" w:space="0" w:color="auto"/>
        <w:bottom w:val="none" w:sz="0" w:space="0" w:color="auto"/>
        <w:right w:val="none" w:sz="0" w:space="0" w:color="auto"/>
      </w:divBdr>
    </w:div>
    <w:div w:id="1887913405">
      <w:bodyDiv w:val="1"/>
      <w:marLeft w:val="0"/>
      <w:marRight w:val="0"/>
      <w:marTop w:val="0"/>
      <w:marBottom w:val="0"/>
      <w:divBdr>
        <w:top w:val="none" w:sz="0" w:space="0" w:color="auto"/>
        <w:left w:val="none" w:sz="0" w:space="0" w:color="auto"/>
        <w:bottom w:val="none" w:sz="0" w:space="0" w:color="auto"/>
        <w:right w:val="none" w:sz="0" w:space="0" w:color="auto"/>
      </w:divBdr>
    </w:div>
    <w:div w:id="1889148981">
      <w:bodyDiv w:val="1"/>
      <w:marLeft w:val="0"/>
      <w:marRight w:val="0"/>
      <w:marTop w:val="0"/>
      <w:marBottom w:val="0"/>
      <w:divBdr>
        <w:top w:val="none" w:sz="0" w:space="0" w:color="auto"/>
        <w:left w:val="none" w:sz="0" w:space="0" w:color="auto"/>
        <w:bottom w:val="none" w:sz="0" w:space="0" w:color="auto"/>
        <w:right w:val="none" w:sz="0" w:space="0" w:color="auto"/>
      </w:divBdr>
    </w:div>
    <w:div w:id="1893038126">
      <w:bodyDiv w:val="1"/>
      <w:marLeft w:val="0"/>
      <w:marRight w:val="0"/>
      <w:marTop w:val="0"/>
      <w:marBottom w:val="0"/>
      <w:divBdr>
        <w:top w:val="none" w:sz="0" w:space="0" w:color="auto"/>
        <w:left w:val="none" w:sz="0" w:space="0" w:color="auto"/>
        <w:bottom w:val="none" w:sz="0" w:space="0" w:color="auto"/>
        <w:right w:val="none" w:sz="0" w:space="0" w:color="auto"/>
      </w:divBdr>
    </w:div>
    <w:div w:id="1894926682">
      <w:bodyDiv w:val="1"/>
      <w:marLeft w:val="0"/>
      <w:marRight w:val="0"/>
      <w:marTop w:val="0"/>
      <w:marBottom w:val="0"/>
      <w:divBdr>
        <w:top w:val="none" w:sz="0" w:space="0" w:color="auto"/>
        <w:left w:val="none" w:sz="0" w:space="0" w:color="auto"/>
        <w:bottom w:val="none" w:sz="0" w:space="0" w:color="auto"/>
        <w:right w:val="none" w:sz="0" w:space="0" w:color="auto"/>
      </w:divBdr>
    </w:div>
    <w:div w:id="1896694683">
      <w:bodyDiv w:val="1"/>
      <w:marLeft w:val="0"/>
      <w:marRight w:val="0"/>
      <w:marTop w:val="0"/>
      <w:marBottom w:val="0"/>
      <w:divBdr>
        <w:top w:val="none" w:sz="0" w:space="0" w:color="auto"/>
        <w:left w:val="none" w:sz="0" w:space="0" w:color="auto"/>
        <w:bottom w:val="none" w:sz="0" w:space="0" w:color="auto"/>
        <w:right w:val="none" w:sz="0" w:space="0" w:color="auto"/>
      </w:divBdr>
    </w:div>
    <w:div w:id="1896743605">
      <w:bodyDiv w:val="1"/>
      <w:marLeft w:val="0"/>
      <w:marRight w:val="0"/>
      <w:marTop w:val="0"/>
      <w:marBottom w:val="0"/>
      <w:divBdr>
        <w:top w:val="none" w:sz="0" w:space="0" w:color="auto"/>
        <w:left w:val="none" w:sz="0" w:space="0" w:color="auto"/>
        <w:bottom w:val="none" w:sz="0" w:space="0" w:color="auto"/>
        <w:right w:val="none" w:sz="0" w:space="0" w:color="auto"/>
      </w:divBdr>
    </w:div>
    <w:div w:id="1897668541">
      <w:bodyDiv w:val="1"/>
      <w:marLeft w:val="0"/>
      <w:marRight w:val="0"/>
      <w:marTop w:val="0"/>
      <w:marBottom w:val="0"/>
      <w:divBdr>
        <w:top w:val="none" w:sz="0" w:space="0" w:color="auto"/>
        <w:left w:val="none" w:sz="0" w:space="0" w:color="auto"/>
        <w:bottom w:val="none" w:sz="0" w:space="0" w:color="auto"/>
        <w:right w:val="none" w:sz="0" w:space="0" w:color="auto"/>
      </w:divBdr>
    </w:div>
    <w:div w:id="1902861366">
      <w:bodyDiv w:val="1"/>
      <w:marLeft w:val="0"/>
      <w:marRight w:val="0"/>
      <w:marTop w:val="0"/>
      <w:marBottom w:val="0"/>
      <w:divBdr>
        <w:top w:val="none" w:sz="0" w:space="0" w:color="auto"/>
        <w:left w:val="none" w:sz="0" w:space="0" w:color="auto"/>
        <w:bottom w:val="none" w:sz="0" w:space="0" w:color="auto"/>
        <w:right w:val="none" w:sz="0" w:space="0" w:color="auto"/>
      </w:divBdr>
    </w:div>
    <w:div w:id="1902985179">
      <w:bodyDiv w:val="1"/>
      <w:marLeft w:val="0"/>
      <w:marRight w:val="0"/>
      <w:marTop w:val="0"/>
      <w:marBottom w:val="0"/>
      <w:divBdr>
        <w:top w:val="none" w:sz="0" w:space="0" w:color="auto"/>
        <w:left w:val="none" w:sz="0" w:space="0" w:color="auto"/>
        <w:bottom w:val="none" w:sz="0" w:space="0" w:color="auto"/>
        <w:right w:val="none" w:sz="0" w:space="0" w:color="auto"/>
      </w:divBdr>
    </w:div>
    <w:div w:id="1905020568">
      <w:bodyDiv w:val="1"/>
      <w:marLeft w:val="0"/>
      <w:marRight w:val="0"/>
      <w:marTop w:val="0"/>
      <w:marBottom w:val="0"/>
      <w:divBdr>
        <w:top w:val="none" w:sz="0" w:space="0" w:color="auto"/>
        <w:left w:val="none" w:sz="0" w:space="0" w:color="auto"/>
        <w:bottom w:val="none" w:sz="0" w:space="0" w:color="auto"/>
        <w:right w:val="none" w:sz="0" w:space="0" w:color="auto"/>
      </w:divBdr>
    </w:div>
    <w:div w:id="1908539924">
      <w:bodyDiv w:val="1"/>
      <w:marLeft w:val="0"/>
      <w:marRight w:val="0"/>
      <w:marTop w:val="0"/>
      <w:marBottom w:val="0"/>
      <w:divBdr>
        <w:top w:val="none" w:sz="0" w:space="0" w:color="auto"/>
        <w:left w:val="none" w:sz="0" w:space="0" w:color="auto"/>
        <w:bottom w:val="none" w:sz="0" w:space="0" w:color="auto"/>
        <w:right w:val="none" w:sz="0" w:space="0" w:color="auto"/>
      </w:divBdr>
    </w:div>
    <w:div w:id="1908805271">
      <w:bodyDiv w:val="1"/>
      <w:marLeft w:val="0"/>
      <w:marRight w:val="0"/>
      <w:marTop w:val="0"/>
      <w:marBottom w:val="0"/>
      <w:divBdr>
        <w:top w:val="none" w:sz="0" w:space="0" w:color="auto"/>
        <w:left w:val="none" w:sz="0" w:space="0" w:color="auto"/>
        <w:bottom w:val="none" w:sz="0" w:space="0" w:color="auto"/>
        <w:right w:val="none" w:sz="0" w:space="0" w:color="auto"/>
      </w:divBdr>
    </w:div>
    <w:div w:id="1910456181">
      <w:bodyDiv w:val="1"/>
      <w:marLeft w:val="0"/>
      <w:marRight w:val="0"/>
      <w:marTop w:val="0"/>
      <w:marBottom w:val="0"/>
      <w:divBdr>
        <w:top w:val="none" w:sz="0" w:space="0" w:color="auto"/>
        <w:left w:val="none" w:sz="0" w:space="0" w:color="auto"/>
        <w:bottom w:val="none" w:sz="0" w:space="0" w:color="auto"/>
        <w:right w:val="none" w:sz="0" w:space="0" w:color="auto"/>
      </w:divBdr>
    </w:div>
    <w:div w:id="1914462217">
      <w:bodyDiv w:val="1"/>
      <w:marLeft w:val="0"/>
      <w:marRight w:val="0"/>
      <w:marTop w:val="0"/>
      <w:marBottom w:val="0"/>
      <w:divBdr>
        <w:top w:val="none" w:sz="0" w:space="0" w:color="auto"/>
        <w:left w:val="none" w:sz="0" w:space="0" w:color="auto"/>
        <w:bottom w:val="none" w:sz="0" w:space="0" w:color="auto"/>
        <w:right w:val="none" w:sz="0" w:space="0" w:color="auto"/>
      </w:divBdr>
    </w:div>
    <w:div w:id="1914464483">
      <w:bodyDiv w:val="1"/>
      <w:marLeft w:val="0"/>
      <w:marRight w:val="0"/>
      <w:marTop w:val="0"/>
      <w:marBottom w:val="0"/>
      <w:divBdr>
        <w:top w:val="none" w:sz="0" w:space="0" w:color="auto"/>
        <w:left w:val="none" w:sz="0" w:space="0" w:color="auto"/>
        <w:bottom w:val="none" w:sz="0" w:space="0" w:color="auto"/>
        <w:right w:val="none" w:sz="0" w:space="0" w:color="auto"/>
      </w:divBdr>
    </w:div>
    <w:div w:id="1920141580">
      <w:bodyDiv w:val="1"/>
      <w:marLeft w:val="0"/>
      <w:marRight w:val="0"/>
      <w:marTop w:val="0"/>
      <w:marBottom w:val="0"/>
      <w:divBdr>
        <w:top w:val="none" w:sz="0" w:space="0" w:color="auto"/>
        <w:left w:val="none" w:sz="0" w:space="0" w:color="auto"/>
        <w:bottom w:val="none" w:sz="0" w:space="0" w:color="auto"/>
        <w:right w:val="none" w:sz="0" w:space="0" w:color="auto"/>
      </w:divBdr>
    </w:div>
    <w:div w:id="1920357962">
      <w:bodyDiv w:val="1"/>
      <w:marLeft w:val="0"/>
      <w:marRight w:val="0"/>
      <w:marTop w:val="0"/>
      <w:marBottom w:val="0"/>
      <w:divBdr>
        <w:top w:val="none" w:sz="0" w:space="0" w:color="auto"/>
        <w:left w:val="none" w:sz="0" w:space="0" w:color="auto"/>
        <w:bottom w:val="none" w:sz="0" w:space="0" w:color="auto"/>
        <w:right w:val="none" w:sz="0" w:space="0" w:color="auto"/>
      </w:divBdr>
    </w:div>
    <w:div w:id="1920602459">
      <w:bodyDiv w:val="1"/>
      <w:marLeft w:val="0"/>
      <w:marRight w:val="0"/>
      <w:marTop w:val="0"/>
      <w:marBottom w:val="0"/>
      <w:divBdr>
        <w:top w:val="none" w:sz="0" w:space="0" w:color="auto"/>
        <w:left w:val="none" w:sz="0" w:space="0" w:color="auto"/>
        <w:bottom w:val="none" w:sz="0" w:space="0" w:color="auto"/>
        <w:right w:val="none" w:sz="0" w:space="0" w:color="auto"/>
      </w:divBdr>
    </w:div>
    <w:div w:id="1920819913">
      <w:bodyDiv w:val="1"/>
      <w:marLeft w:val="0"/>
      <w:marRight w:val="0"/>
      <w:marTop w:val="0"/>
      <w:marBottom w:val="0"/>
      <w:divBdr>
        <w:top w:val="none" w:sz="0" w:space="0" w:color="auto"/>
        <w:left w:val="none" w:sz="0" w:space="0" w:color="auto"/>
        <w:bottom w:val="none" w:sz="0" w:space="0" w:color="auto"/>
        <w:right w:val="none" w:sz="0" w:space="0" w:color="auto"/>
      </w:divBdr>
    </w:div>
    <w:div w:id="1926651168">
      <w:bodyDiv w:val="1"/>
      <w:marLeft w:val="0"/>
      <w:marRight w:val="0"/>
      <w:marTop w:val="0"/>
      <w:marBottom w:val="0"/>
      <w:divBdr>
        <w:top w:val="none" w:sz="0" w:space="0" w:color="auto"/>
        <w:left w:val="none" w:sz="0" w:space="0" w:color="auto"/>
        <w:bottom w:val="none" w:sz="0" w:space="0" w:color="auto"/>
        <w:right w:val="none" w:sz="0" w:space="0" w:color="auto"/>
      </w:divBdr>
    </w:div>
    <w:div w:id="1927495740">
      <w:bodyDiv w:val="1"/>
      <w:marLeft w:val="0"/>
      <w:marRight w:val="0"/>
      <w:marTop w:val="0"/>
      <w:marBottom w:val="0"/>
      <w:divBdr>
        <w:top w:val="none" w:sz="0" w:space="0" w:color="auto"/>
        <w:left w:val="none" w:sz="0" w:space="0" w:color="auto"/>
        <w:bottom w:val="none" w:sz="0" w:space="0" w:color="auto"/>
        <w:right w:val="none" w:sz="0" w:space="0" w:color="auto"/>
      </w:divBdr>
    </w:div>
    <w:div w:id="1929776299">
      <w:bodyDiv w:val="1"/>
      <w:marLeft w:val="0"/>
      <w:marRight w:val="0"/>
      <w:marTop w:val="0"/>
      <w:marBottom w:val="0"/>
      <w:divBdr>
        <w:top w:val="none" w:sz="0" w:space="0" w:color="auto"/>
        <w:left w:val="none" w:sz="0" w:space="0" w:color="auto"/>
        <w:bottom w:val="none" w:sz="0" w:space="0" w:color="auto"/>
        <w:right w:val="none" w:sz="0" w:space="0" w:color="auto"/>
      </w:divBdr>
    </w:div>
    <w:div w:id="1935088596">
      <w:bodyDiv w:val="1"/>
      <w:marLeft w:val="0"/>
      <w:marRight w:val="0"/>
      <w:marTop w:val="0"/>
      <w:marBottom w:val="0"/>
      <w:divBdr>
        <w:top w:val="none" w:sz="0" w:space="0" w:color="auto"/>
        <w:left w:val="none" w:sz="0" w:space="0" w:color="auto"/>
        <w:bottom w:val="none" w:sz="0" w:space="0" w:color="auto"/>
        <w:right w:val="none" w:sz="0" w:space="0" w:color="auto"/>
      </w:divBdr>
    </w:div>
    <w:div w:id="1935161534">
      <w:bodyDiv w:val="1"/>
      <w:marLeft w:val="0"/>
      <w:marRight w:val="0"/>
      <w:marTop w:val="0"/>
      <w:marBottom w:val="0"/>
      <w:divBdr>
        <w:top w:val="none" w:sz="0" w:space="0" w:color="auto"/>
        <w:left w:val="none" w:sz="0" w:space="0" w:color="auto"/>
        <w:bottom w:val="none" w:sz="0" w:space="0" w:color="auto"/>
        <w:right w:val="none" w:sz="0" w:space="0" w:color="auto"/>
      </w:divBdr>
    </w:div>
    <w:div w:id="1936086977">
      <w:bodyDiv w:val="1"/>
      <w:marLeft w:val="0"/>
      <w:marRight w:val="0"/>
      <w:marTop w:val="0"/>
      <w:marBottom w:val="0"/>
      <w:divBdr>
        <w:top w:val="none" w:sz="0" w:space="0" w:color="auto"/>
        <w:left w:val="none" w:sz="0" w:space="0" w:color="auto"/>
        <w:bottom w:val="none" w:sz="0" w:space="0" w:color="auto"/>
        <w:right w:val="none" w:sz="0" w:space="0" w:color="auto"/>
      </w:divBdr>
    </w:div>
    <w:div w:id="1937513606">
      <w:bodyDiv w:val="1"/>
      <w:marLeft w:val="0"/>
      <w:marRight w:val="0"/>
      <w:marTop w:val="0"/>
      <w:marBottom w:val="0"/>
      <w:divBdr>
        <w:top w:val="none" w:sz="0" w:space="0" w:color="auto"/>
        <w:left w:val="none" w:sz="0" w:space="0" w:color="auto"/>
        <w:bottom w:val="none" w:sz="0" w:space="0" w:color="auto"/>
        <w:right w:val="none" w:sz="0" w:space="0" w:color="auto"/>
      </w:divBdr>
    </w:div>
    <w:div w:id="1937637499">
      <w:bodyDiv w:val="1"/>
      <w:marLeft w:val="0"/>
      <w:marRight w:val="0"/>
      <w:marTop w:val="0"/>
      <w:marBottom w:val="0"/>
      <w:divBdr>
        <w:top w:val="none" w:sz="0" w:space="0" w:color="auto"/>
        <w:left w:val="none" w:sz="0" w:space="0" w:color="auto"/>
        <w:bottom w:val="none" w:sz="0" w:space="0" w:color="auto"/>
        <w:right w:val="none" w:sz="0" w:space="0" w:color="auto"/>
      </w:divBdr>
    </w:div>
    <w:div w:id="1939483373">
      <w:bodyDiv w:val="1"/>
      <w:marLeft w:val="0"/>
      <w:marRight w:val="0"/>
      <w:marTop w:val="0"/>
      <w:marBottom w:val="0"/>
      <w:divBdr>
        <w:top w:val="none" w:sz="0" w:space="0" w:color="auto"/>
        <w:left w:val="none" w:sz="0" w:space="0" w:color="auto"/>
        <w:bottom w:val="none" w:sz="0" w:space="0" w:color="auto"/>
        <w:right w:val="none" w:sz="0" w:space="0" w:color="auto"/>
      </w:divBdr>
    </w:div>
    <w:div w:id="1944653017">
      <w:bodyDiv w:val="1"/>
      <w:marLeft w:val="0"/>
      <w:marRight w:val="0"/>
      <w:marTop w:val="0"/>
      <w:marBottom w:val="0"/>
      <w:divBdr>
        <w:top w:val="none" w:sz="0" w:space="0" w:color="auto"/>
        <w:left w:val="none" w:sz="0" w:space="0" w:color="auto"/>
        <w:bottom w:val="none" w:sz="0" w:space="0" w:color="auto"/>
        <w:right w:val="none" w:sz="0" w:space="0" w:color="auto"/>
      </w:divBdr>
    </w:div>
    <w:div w:id="1948855294">
      <w:bodyDiv w:val="1"/>
      <w:marLeft w:val="0"/>
      <w:marRight w:val="0"/>
      <w:marTop w:val="0"/>
      <w:marBottom w:val="0"/>
      <w:divBdr>
        <w:top w:val="none" w:sz="0" w:space="0" w:color="auto"/>
        <w:left w:val="none" w:sz="0" w:space="0" w:color="auto"/>
        <w:bottom w:val="none" w:sz="0" w:space="0" w:color="auto"/>
        <w:right w:val="none" w:sz="0" w:space="0" w:color="auto"/>
      </w:divBdr>
    </w:div>
    <w:div w:id="1949388374">
      <w:bodyDiv w:val="1"/>
      <w:marLeft w:val="0"/>
      <w:marRight w:val="0"/>
      <w:marTop w:val="0"/>
      <w:marBottom w:val="0"/>
      <w:divBdr>
        <w:top w:val="none" w:sz="0" w:space="0" w:color="auto"/>
        <w:left w:val="none" w:sz="0" w:space="0" w:color="auto"/>
        <w:bottom w:val="none" w:sz="0" w:space="0" w:color="auto"/>
        <w:right w:val="none" w:sz="0" w:space="0" w:color="auto"/>
      </w:divBdr>
    </w:div>
    <w:div w:id="1950745555">
      <w:bodyDiv w:val="1"/>
      <w:marLeft w:val="0"/>
      <w:marRight w:val="0"/>
      <w:marTop w:val="0"/>
      <w:marBottom w:val="0"/>
      <w:divBdr>
        <w:top w:val="none" w:sz="0" w:space="0" w:color="auto"/>
        <w:left w:val="none" w:sz="0" w:space="0" w:color="auto"/>
        <w:bottom w:val="none" w:sz="0" w:space="0" w:color="auto"/>
        <w:right w:val="none" w:sz="0" w:space="0" w:color="auto"/>
      </w:divBdr>
    </w:div>
    <w:div w:id="1953054640">
      <w:bodyDiv w:val="1"/>
      <w:marLeft w:val="0"/>
      <w:marRight w:val="0"/>
      <w:marTop w:val="0"/>
      <w:marBottom w:val="0"/>
      <w:divBdr>
        <w:top w:val="none" w:sz="0" w:space="0" w:color="auto"/>
        <w:left w:val="none" w:sz="0" w:space="0" w:color="auto"/>
        <w:bottom w:val="none" w:sz="0" w:space="0" w:color="auto"/>
        <w:right w:val="none" w:sz="0" w:space="0" w:color="auto"/>
      </w:divBdr>
    </w:div>
    <w:div w:id="1953979286">
      <w:bodyDiv w:val="1"/>
      <w:marLeft w:val="0"/>
      <w:marRight w:val="0"/>
      <w:marTop w:val="0"/>
      <w:marBottom w:val="0"/>
      <w:divBdr>
        <w:top w:val="none" w:sz="0" w:space="0" w:color="auto"/>
        <w:left w:val="none" w:sz="0" w:space="0" w:color="auto"/>
        <w:bottom w:val="none" w:sz="0" w:space="0" w:color="auto"/>
        <w:right w:val="none" w:sz="0" w:space="0" w:color="auto"/>
      </w:divBdr>
    </w:div>
    <w:div w:id="1956055385">
      <w:bodyDiv w:val="1"/>
      <w:marLeft w:val="0"/>
      <w:marRight w:val="0"/>
      <w:marTop w:val="0"/>
      <w:marBottom w:val="0"/>
      <w:divBdr>
        <w:top w:val="none" w:sz="0" w:space="0" w:color="auto"/>
        <w:left w:val="none" w:sz="0" w:space="0" w:color="auto"/>
        <w:bottom w:val="none" w:sz="0" w:space="0" w:color="auto"/>
        <w:right w:val="none" w:sz="0" w:space="0" w:color="auto"/>
      </w:divBdr>
    </w:div>
    <w:div w:id="1957101713">
      <w:bodyDiv w:val="1"/>
      <w:marLeft w:val="0"/>
      <w:marRight w:val="0"/>
      <w:marTop w:val="0"/>
      <w:marBottom w:val="0"/>
      <w:divBdr>
        <w:top w:val="none" w:sz="0" w:space="0" w:color="auto"/>
        <w:left w:val="none" w:sz="0" w:space="0" w:color="auto"/>
        <w:bottom w:val="none" w:sz="0" w:space="0" w:color="auto"/>
        <w:right w:val="none" w:sz="0" w:space="0" w:color="auto"/>
      </w:divBdr>
    </w:div>
    <w:div w:id="1960064549">
      <w:bodyDiv w:val="1"/>
      <w:marLeft w:val="0"/>
      <w:marRight w:val="0"/>
      <w:marTop w:val="0"/>
      <w:marBottom w:val="0"/>
      <w:divBdr>
        <w:top w:val="none" w:sz="0" w:space="0" w:color="auto"/>
        <w:left w:val="none" w:sz="0" w:space="0" w:color="auto"/>
        <w:bottom w:val="none" w:sz="0" w:space="0" w:color="auto"/>
        <w:right w:val="none" w:sz="0" w:space="0" w:color="auto"/>
      </w:divBdr>
    </w:div>
    <w:div w:id="1962883587">
      <w:bodyDiv w:val="1"/>
      <w:marLeft w:val="0"/>
      <w:marRight w:val="0"/>
      <w:marTop w:val="0"/>
      <w:marBottom w:val="0"/>
      <w:divBdr>
        <w:top w:val="none" w:sz="0" w:space="0" w:color="auto"/>
        <w:left w:val="none" w:sz="0" w:space="0" w:color="auto"/>
        <w:bottom w:val="none" w:sz="0" w:space="0" w:color="auto"/>
        <w:right w:val="none" w:sz="0" w:space="0" w:color="auto"/>
      </w:divBdr>
    </w:div>
    <w:div w:id="1963266389">
      <w:bodyDiv w:val="1"/>
      <w:marLeft w:val="0"/>
      <w:marRight w:val="0"/>
      <w:marTop w:val="0"/>
      <w:marBottom w:val="0"/>
      <w:divBdr>
        <w:top w:val="none" w:sz="0" w:space="0" w:color="auto"/>
        <w:left w:val="none" w:sz="0" w:space="0" w:color="auto"/>
        <w:bottom w:val="none" w:sz="0" w:space="0" w:color="auto"/>
        <w:right w:val="none" w:sz="0" w:space="0" w:color="auto"/>
      </w:divBdr>
    </w:div>
    <w:div w:id="1963725530">
      <w:bodyDiv w:val="1"/>
      <w:marLeft w:val="0"/>
      <w:marRight w:val="0"/>
      <w:marTop w:val="0"/>
      <w:marBottom w:val="0"/>
      <w:divBdr>
        <w:top w:val="none" w:sz="0" w:space="0" w:color="auto"/>
        <w:left w:val="none" w:sz="0" w:space="0" w:color="auto"/>
        <w:bottom w:val="none" w:sz="0" w:space="0" w:color="auto"/>
        <w:right w:val="none" w:sz="0" w:space="0" w:color="auto"/>
      </w:divBdr>
    </w:div>
    <w:div w:id="1964841987">
      <w:bodyDiv w:val="1"/>
      <w:marLeft w:val="0"/>
      <w:marRight w:val="0"/>
      <w:marTop w:val="0"/>
      <w:marBottom w:val="0"/>
      <w:divBdr>
        <w:top w:val="none" w:sz="0" w:space="0" w:color="auto"/>
        <w:left w:val="none" w:sz="0" w:space="0" w:color="auto"/>
        <w:bottom w:val="none" w:sz="0" w:space="0" w:color="auto"/>
        <w:right w:val="none" w:sz="0" w:space="0" w:color="auto"/>
      </w:divBdr>
    </w:div>
    <w:div w:id="1966810177">
      <w:bodyDiv w:val="1"/>
      <w:marLeft w:val="0"/>
      <w:marRight w:val="0"/>
      <w:marTop w:val="0"/>
      <w:marBottom w:val="0"/>
      <w:divBdr>
        <w:top w:val="none" w:sz="0" w:space="0" w:color="auto"/>
        <w:left w:val="none" w:sz="0" w:space="0" w:color="auto"/>
        <w:bottom w:val="none" w:sz="0" w:space="0" w:color="auto"/>
        <w:right w:val="none" w:sz="0" w:space="0" w:color="auto"/>
      </w:divBdr>
    </w:div>
    <w:div w:id="1972594324">
      <w:bodyDiv w:val="1"/>
      <w:marLeft w:val="0"/>
      <w:marRight w:val="0"/>
      <w:marTop w:val="0"/>
      <w:marBottom w:val="0"/>
      <w:divBdr>
        <w:top w:val="none" w:sz="0" w:space="0" w:color="auto"/>
        <w:left w:val="none" w:sz="0" w:space="0" w:color="auto"/>
        <w:bottom w:val="none" w:sz="0" w:space="0" w:color="auto"/>
        <w:right w:val="none" w:sz="0" w:space="0" w:color="auto"/>
      </w:divBdr>
    </w:div>
    <w:div w:id="1973560171">
      <w:bodyDiv w:val="1"/>
      <w:marLeft w:val="0"/>
      <w:marRight w:val="0"/>
      <w:marTop w:val="0"/>
      <w:marBottom w:val="0"/>
      <w:divBdr>
        <w:top w:val="none" w:sz="0" w:space="0" w:color="auto"/>
        <w:left w:val="none" w:sz="0" w:space="0" w:color="auto"/>
        <w:bottom w:val="none" w:sz="0" w:space="0" w:color="auto"/>
        <w:right w:val="none" w:sz="0" w:space="0" w:color="auto"/>
      </w:divBdr>
    </w:div>
    <w:div w:id="1974286323">
      <w:bodyDiv w:val="1"/>
      <w:marLeft w:val="0"/>
      <w:marRight w:val="0"/>
      <w:marTop w:val="0"/>
      <w:marBottom w:val="0"/>
      <w:divBdr>
        <w:top w:val="none" w:sz="0" w:space="0" w:color="auto"/>
        <w:left w:val="none" w:sz="0" w:space="0" w:color="auto"/>
        <w:bottom w:val="none" w:sz="0" w:space="0" w:color="auto"/>
        <w:right w:val="none" w:sz="0" w:space="0" w:color="auto"/>
      </w:divBdr>
    </w:div>
    <w:div w:id="1977488090">
      <w:bodyDiv w:val="1"/>
      <w:marLeft w:val="0"/>
      <w:marRight w:val="0"/>
      <w:marTop w:val="0"/>
      <w:marBottom w:val="0"/>
      <w:divBdr>
        <w:top w:val="none" w:sz="0" w:space="0" w:color="auto"/>
        <w:left w:val="none" w:sz="0" w:space="0" w:color="auto"/>
        <w:bottom w:val="none" w:sz="0" w:space="0" w:color="auto"/>
        <w:right w:val="none" w:sz="0" w:space="0" w:color="auto"/>
      </w:divBdr>
    </w:div>
    <w:div w:id="1978486158">
      <w:bodyDiv w:val="1"/>
      <w:marLeft w:val="0"/>
      <w:marRight w:val="0"/>
      <w:marTop w:val="0"/>
      <w:marBottom w:val="0"/>
      <w:divBdr>
        <w:top w:val="none" w:sz="0" w:space="0" w:color="auto"/>
        <w:left w:val="none" w:sz="0" w:space="0" w:color="auto"/>
        <w:bottom w:val="none" w:sz="0" w:space="0" w:color="auto"/>
        <w:right w:val="none" w:sz="0" w:space="0" w:color="auto"/>
      </w:divBdr>
    </w:div>
    <w:div w:id="1979870279">
      <w:bodyDiv w:val="1"/>
      <w:marLeft w:val="0"/>
      <w:marRight w:val="0"/>
      <w:marTop w:val="0"/>
      <w:marBottom w:val="0"/>
      <w:divBdr>
        <w:top w:val="none" w:sz="0" w:space="0" w:color="auto"/>
        <w:left w:val="none" w:sz="0" w:space="0" w:color="auto"/>
        <w:bottom w:val="none" w:sz="0" w:space="0" w:color="auto"/>
        <w:right w:val="none" w:sz="0" w:space="0" w:color="auto"/>
      </w:divBdr>
    </w:div>
    <w:div w:id="1984844482">
      <w:bodyDiv w:val="1"/>
      <w:marLeft w:val="0"/>
      <w:marRight w:val="0"/>
      <w:marTop w:val="0"/>
      <w:marBottom w:val="0"/>
      <w:divBdr>
        <w:top w:val="none" w:sz="0" w:space="0" w:color="auto"/>
        <w:left w:val="none" w:sz="0" w:space="0" w:color="auto"/>
        <w:bottom w:val="none" w:sz="0" w:space="0" w:color="auto"/>
        <w:right w:val="none" w:sz="0" w:space="0" w:color="auto"/>
      </w:divBdr>
    </w:div>
    <w:div w:id="1986468308">
      <w:bodyDiv w:val="1"/>
      <w:marLeft w:val="0"/>
      <w:marRight w:val="0"/>
      <w:marTop w:val="0"/>
      <w:marBottom w:val="0"/>
      <w:divBdr>
        <w:top w:val="none" w:sz="0" w:space="0" w:color="auto"/>
        <w:left w:val="none" w:sz="0" w:space="0" w:color="auto"/>
        <w:bottom w:val="none" w:sz="0" w:space="0" w:color="auto"/>
        <w:right w:val="none" w:sz="0" w:space="0" w:color="auto"/>
      </w:divBdr>
    </w:div>
    <w:div w:id="1988321555">
      <w:bodyDiv w:val="1"/>
      <w:marLeft w:val="0"/>
      <w:marRight w:val="0"/>
      <w:marTop w:val="0"/>
      <w:marBottom w:val="0"/>
      <w:divBdr>
        <w:top w:val="none" w:sz="0" w:space="0" w:color="auto"/>
        <w:left w:val="none" w:sz="0" w:space="0" w:color="auto"/>
        <w:bottom w:val="none" w:sz="0" w:space="0" w:color="auto"/>
        <w:right w:val="none" w:sz="0" w:space="0" w:color="auto"/>
      </w:divBdr>
    </w:div>
    <w:div w:id="1988435234">
      <w:bodyDiv w:val="1"/>
      <w:marLeft w:val="0"/>
      <w:marRight w:val="0"/>
      <w:marTop w:val="0"/>
      <w:marBottom w:val="0"/>
      <w:divBdr>
        <w:top w:val="none" w:sz="0" w:space="0" w:color="auto"/>
        <w:left w:val="none" w:sz="0" w:space="0" w:color="auto"/>
        <w:bottom w:val="none" w:sz="0" w:space="0" w:color="auto"/>
        <w:right w:val="none" w:sz="0" w:space="0" w:color="auto"/>
      </w:divBdr>
    </w:div>
    <w:div w:id="1989700002">
      <w:bodyDiv w:val="1"/>
      <w:marLeft w:val="0"/>
      <w:marRight w:val="0"/>
      <w:marTop w:val="0"/>
      <w:marBottom w:val="0"/>
      <w:divBdr>
        <w:top w:val="none" w:sz="0" w:space="0" w:color="auto"/>
        <w:left w:val="none" w:sz="0" w:space="0" w:color="auto"/>
        <w:bottom w:val="none" w:sz="0" w:space="0" w:color="auto"/>
        <w:right w:val="none" w:sz="0" w:space="0" w:color="auto"/>
      </w:divBdr>
    </w:div>
    <w:div w:id="1991471503">
      <w:bodyDiv w:val="1"/>
      <w:marLeft w:val="0"/>
      <w:marRight w:val="0"/>
      <w:marTop w:val="0"/>
      <w:marBottom w:val="0"/>
      <w:divBdr>
        <w:top w:val="none" w:sz="0" w:space="0" w:color="auto"/>
        <w:left w:val="none" w:sz="0" w:space="0" w:color="auto"/>
        <w:bottom w:val="none" w:sz="0" w:space="0" w:color="auto"/>
        <w:right w:val="none" w:sz="0" w:space="0" w:color="auto"/>
      </w:divBdr>
    </w:div>
    <w:div w:id="1992513812">
      <w:bodyDiv w:val="1"/>
      <w:marLeft w:val="0"/>
      <w:marRight w:val="0"/>
      <w:marTop w:val="0"/>
      <w:marBottom w:val="0"/>
      <w:divBdr>
        <w:top w:val="none" w:sz="0" w:space="0" w:color="auto"/>
        <w:left w:val="none" w:sz="0" w:space="0" w:color="auto"/>
        <w:bottom w:val="none" w:sz="0" w:space="0" w:color="auto"/>
        <w:right w:val="none" w:sz="0" w:space="0" w:color="auto"/>
      </w:divBdr>
    </w:div>
    <w:div w:id="1992978367">
      <w:bodyDiv w:val="1"/>
      <w:marLeft w:val="0"/>
      <w:marRight w:val="0"/>
      <w:marTop w:val="0"/>
      <w:marBottom w:val="0"/>
      <w:divBdr>
        <w:top w:val="none" w:sz="0" w:space="0" w:color="auto"/>
        <w:left w:val="none" w:sz="0" w:space="0" w:color="auto"/>
        <w:bottom w:val="none" w:sz="0" w:space="0" w:color="auto"/>
        <w:right w:val="none" w:sz="0" w:space="0" w:color="auto"/>
      </w:divBdr>
    </w:div>
    <w:div w:id="1994992250">
      <w:bodyDiv w:val="1"/>
      <w:marLeft w:val="0"/>
      <w:marRight w:val="0"/>
      <w:marTop w:val="0"/>
      <w:marBottom w:val="0"/>
      <w:divBdr>
        <w:top w:val="none" w:sz="0" w:space="0" w:color="auto"/>
        <w:left w:val="none" w:sz="0" w:space="0" w:color="auto"/>
        <w:bottom w:val="none" w:sz="0" w:space="0" w:color="auto"/>
        <w:right w:val="none" w:sz="0" w:space="0" w:color="auto"/>
      </w:divBdr>
    </w:div>
    <w:div w:id="1996758761">
      <w:bodyDiv w:val="1"/>
      <w:marLeft w:val="0"/>
      <w:marRight w:val="0"/>
      <w:marTop w:val="0"/>
      <w:marBottom w:val="0"/>
      <w:divBdr>
        <w:top w:val="none" w:sz="0" w:space="0" w:color="auto"/>
        <w:left w:val="none" w:sz="0" w:space="0" w:color="auto"/>
        <w:bottom w:val="none" w:sz="0" w:space="0" w:color="auto"/>
        <w:right w:val="none" w:sz="0" w:space="0" w:color="auto"/>
      </w:divBdr>
    </w:div>
    <w:div w:id="2003074168">
      <w:bodyDiv w:val="1"/>
      <w:marLeft w:val="0"/>
      <w:marRight w:val="0"/>
      <w:marTop w:val="0"/>
      <w:marBottom w:val="0"/>
      <w:divBdr>
        <w:top w:val="none" w:sz="0" w:space="0" w:color="auto"/>
        <w:left w:val="none" w:sz="0" w:space="0" w:color="auto"/>
        <w:bottom w:val="none" w:sz="0" w:space="0" w:color="auto"/>
        <w:right w:val="none" w:sz="0" w:space="0" w:color="auto"/>
      </w:divBdr>
    </w:div>
    <w:div w:id="2004426697">
      <w:bodyDiv w:val="1"/>
      <w:marLeft w:val="0"/>
      <w:marRight w:val="0"/>
      <w:marTop w:val="0"/>
      <w:marBottom w:val="0"/>
      <w:divBdr>
        <w:top w:val="none" w:sz="0" w:space="0" w:color="auto"/>
        <w:left w:val="none" w:sz="0" w:space="0" w:color="auto"/>
        <w:bottom w:val="none" w:sz="0" w:space="0" w:color="auto"/>
        <w:right w:val="none" w:sz="0" w:space="0" w:color="auto"/>
      </w:divBdr>
    </w:div>
    <w:div w:id="2006083535">
      <w:bodyDiv w:val="1"/>
      <w:marLeft w:val="0"/>
      <w:marRight w:val="0"/>
      <w:marTop w:val="0"/>
      <w:marBottom w:val="0"/>
      <w:divBdr>
        <w:top w:val="none" w:sz="0" w:space="0" w:color="auto"/>
        <w:left w:val="none" w:sz="0" w:space="0" w:color="auto"/>
        <w:bottom w:val="none" w:sz="0" w:space="0" w:color="auto"/>
        <w:right w:val="none" w:sz="0" w:space="0" w:color="auto"/>
      </w:divBdr>
    </w:div>
    <w:div w:id="2006739130">
      <w:bodyDiv w:val="1"/>
      <w:marLeft w:val="0"/>
      <w:marRight w:val="0"/>
      <w:marTop w:val="0"/>
      <w:marBottom w:val="0"/>
      <w:divBdr>
        <w:top w:val="none" w:sz="0" w:space="0" w:color="auto"/>
        <w:left w:val="none" w:sz="0" w:space="0" w:color="auto"/>
        <w:bottom w:val="none" w:sz="0" w:space="0" w:color="auto"/>
        <w:right w:val="none" w:sz="0" w:space="0" w:color="auto"/>
      </w:divBdr>
    </w:div>
    <w:div w:id="2007122405">
      <w:bodyDiv w:val="1"/>
      <w:marLeft w:val="0"/>
      <w:marRight w:val="0"/>
      <w:marTop w:val="0"/>
      <w:marBottom w:val="0"/>
      <w:divBdr>
        <w:top w:val="none" w:sz="0" w:space="0" w:color="auto"/>
        <w:left w:val="none" w:sz="0" w:space="0" w:color="auto"/>
        <w:bottom w:val="none" w:sz="0" w:space="0" w:color="auto"/>
        <w:right w:val="none" w:sz="0" w:space="0" w:color="auto"/>
      </w:divBdr>
    </w:div>
    <w:div w:id="2008752238">
      <w:bodyDiv w:val="1"/>
      <w:marLeft w:val="0"/>
      <w:marRight w:val="0"/>
      <w:marTop w:val="0"/>
      <w:marBottom w:val="0"/>
      <w:divBdr>
        <w:top w:val="none" w:sz="0" w:space="0" w:color="auto"/>
        <w:left w:val="none" w:sz="0" w:space="0" w:color="auto"/>
        <w:bottom w:val="none" w:sz="0" w:space="0" w:color="auto"/>
        <w:right w:val="none" w:sz="0" w:space="0" w:color="auto"/>
      </w:divBdr>
    </w:div>
    <w:div w:id="2009557612">
      <w:bodyDiv w:val="1"/>
      <w:marLeft w:val="0"/>
      <w:marRight w:val="0"/>
      <w:marTop w:val="0"/>
      <w:marBottom w:val="0"/>
      <w:divBdr>
        <w:top w:val="none" w:sz="0" w:space="0" w:color="auto"/>
        <w:left w:val="none" w:sz="0" w:space="0" w:color="auto"/>
        <w:bottom w:val="none" w:sz="0" w:space="0" w:color="auto"/>
        <w:right w:val="none" w:sz="0" w:space="0" w:color="auto"/>
      </w:divBdr>
    </w:div>
    <w:div w:id="2009945609">
      <w:bodyDiv w:val="1"/>
      <w:marLeft w:val="0"/>
      <w:marRight w:val="0"/>
      <w:marTop w:val="0"/>
      <w:marBottom w:val="0"/>
      <w:divBdr>
        <w:top w:val="none" w:sz="0" w:space="0" w:color="auto"/>
        <w:left w:val="none" w:sz="0" w:space="0" w:color="auto"/>
        <w:bottom w:val="none" w:sz="0" w:space="0" w:color="auto"/>
        <w:right w:val="none" w:sz="0" w:space="0" w:color="auto"/>
      </w:divBdr>
    </w:div>
    <w:div w:id="2011717241">
      <w:bodyDiv w:val="1"/>
      <w:marLeft w:val="0"/>
      <w:marRight w:val="0"/>
      <w:marTop w:val="0"/>
      <w:marBottom w:val="0"/>
      <w:divBdr>
        <w:top w:val="none" w:sz="0" w:space="0" w:color="auto"/>
        <w:left w:val="none" w:sz="0" w:space="0" w:color="auto"/>
        <w:bottom w:val="none" w:sz="0" w:space="0" w:color="auto"/>
        <w:right w:val="none" w:sz="0" w:space="0" w:color="auto"/>
      </w:divBdr>
    </w:div>
    <w:div w:id="2012563486">
      <w:bodyDiv w:val="1"/>
      <w:marLeft w:val="0"/>
      <w:marRight w:val="0"/>
      <w:marTop w:val="0"/>
      <w:marBottom w:val="0"/>
      <w:divBdr>
        <w:top w:val="none" w:sz="0" w:space="0" w:color="auto"/>
        <w:left w:val="none" w:sz="0" w:space="0" w:color="auto"/>
        <w:bottom w:val="none" w:sz="0" w:space="0" w:color="auto"/>
        <w:right w:val="none" w:sz="0" w:space="0" w:color="auto"/>
      </w:divBdr>
    </w:div>
    <w:div w:id="2015300619">
      <w:bodyDiv w:val="1"/>
      <w:marLeft w:val="0"/>
      <w:marRight w:val="0"/>
      <w:marTop w:val="0"/>
      <w:marBottom w:val="0"/>
      <w:divBdr>
        <w:top w:val="none" w:sz="0" w:space="0" w:color="auto"/>
        <w:left w:val="none" w:sz="0" w:space="0" w:color="auto"/>
        <w:bottom w:val="none" w:sz="0" w:space="0" w:color="auto"/>
        <w:right w:val="none" w:sz="0" w:space="0" w:color="auto"/>
      </w:divBdr>
    </w:div>
    <w:div w:id="2018268680">
      <w:bodyDiv w:val="1"/>
      <w:marLeft w:val="0"/>
      <w:marRight w:val="0"/>
      <w:marTop w:val="0"/>
      <w:marBottom w:val="0"/>
      <w:divBdr>
        <w:top w:val="none" w:sz="0" w:space="0" w:color="auto"/>
        <w:left w:val="none" w:sz="0" w:space="0" w:color="auto"/>
        <w:bottom w:val="none" w:sz="0" w:space="0" w:color="auto"/>
        <w:right w:val="none" w:sz="0" w:space="0" w:color="auto"/>
      </w:divBdr>
    </w:div>
    <w:div w:id="2022047847">
      <w:bodyDiv w:val="1"/>
      <w:marLeft w:val="0"/>
      <w:marRight w:val="0"/>
      <w:marTop w:val="0"/>
      <w:marBottom w:val="0"/>
      <w:divBdr>
        <w:top w:val="none" w:sz="0" w:space="0" w:color="auto"/>
        <w:left w:val="none" w:sz="0" w:space="0" w:color="auto"/>
        <w:bottom w:val="none" w:sz="0" w:space="0" w:color="auto"/>
        <w:right w:val="none" w:sz="0" w:space="0" w:color="auto"/>
      </w:divBdr>
    </w:div>
    <w:div w:id="2022588249">
      <w:bodyDiv w:val="1"/>
      <w:marLeft w:val="0"/>
      <w:marRight w:val="0"/>
      <w:marTop w:val="0"/>
      <w:marBottom w:val="0"/>
      <w:divBdr>
        <w:top w:val="none" w:sz="0" w:space="0" w:color="auto"/>
        <w:left w:val="none" w:sz="0" w:space="0" w:color="auto"/>
        <w:bottom w:val="none" w:sz="0" w:space="0" w:color="auto"/>
        <w:right w:val="none" w:sz="0" w:space="0" w:color="auto"/>
      </w:divBdr>
    </w:div>
    <w:div w:id="2022704421">
      <w:bodyDiv w:val="1"/>
      <w:marLeft w:val="0"/>
      <w:marRight w:val="0"/>
      <w:marTop w:val="0"/>
      <w:marBottom w:val="0"/>
      <w:divBdr>
        <w:top w:val="none" w:sz="0" w:space="0" w:color="auto"/>
        <w:left w:val="none" w:sz="0" w:space="0" w:color="auto"/>
        <w:bottom w:val="none" w:sz="0" w:space="0" w:color="auto"/>
        <w:right w:val="none" w:sz="0" w:space="0" w:color="auto"/>
      </w:divBdr>
    </w:div>
    <w:div w:id="2026205097">
      <w:bodyDiv w:val="1"/>
      <w:marLeft w:val="0"/>
      <w:marRight w:val="0"/>
      <w:marTop w:val="0"/>
      <w:marBottom w:val="0"/>
      <w:divBdr>
        <w:top w:val="none" w:sz="0" w:space="0" w:color="auto"/>
        <w:left w:val="none" w:sz="0" w:space="0" w:color="auto"/>
        <w:bottom w:val="none" w:sz="0" w:space="0" w:color="auto"/>
        <w:right w:val="none" w:sz="0" w:space="0" w:color="auto"/>
      </w:divBdr>
    </w:div>
    <w:div w:id="2026251949">
      <w:bodyDiv w:val="1"/>
      <w:marLeft w:val="0"/>
      <w:marRight w:val="0"/>
      <w:marTop w:val="0"/>
      <w:marBottom w:val="0"/>
      <w:divBdr>
        <w:top w:val="none" w:sz="0" w:space="0" w:color="auto"/>
        <w:left w:val="none" w:sz="0" w:space="0" w:color="auto"/>
        <w:bottom w:val="none" w:sz="0" w:space="0" w:color="auto"/>
        <w:right w:val="none" w:sz="0" w:space="0" w:color="auto"/>
      </w:divBdr>
    </w:div>
    <w:div w:id="2027754781">
      <w:bodyDiv w:val="1"/>
      <w:marLeft w:val="0"/>
      <w:marRight w:val="0"/>
      <w:marTop w:val="0"/>
      <w:marBottom w:val="0"/>
      <w:divBdr>
        <w:top w:val="none" w:sz="0" w:space="0" w:color="auto"/>
        <w:left w:val="none" w:sz="0" w:space="0" w:color="auto"/>
        <w:bottom w:val="none" w:sz="0" w:space="0" w:color="auto"/>
        <w:right w:val="none" w:sz="0" w:space="0" w:color="auto"/>
      </w:divBdr>
    </w:div>
    <w:div w:id="2031373076">
      <w:bodyDiv w:val="1"/>
      <w:marLeft w:val="0"/>
      <w:marRight w:val="0"/>
      <w:marTop w:val="0"/>
      <w:marBottom w:val="0"/>
      <w:divBdr>
        <w:top w:val="none" w:sz="0" w:space="0" w:color="auto"/>
        <w:left w:val="none" w:sz="0" w:space="0" w:color="auto"/>
        <w:bottom w:val="none" w:sz="0" w:space="0" w:color="auto"/>
        <w:right w:val="none" w:sz="0" w:space="0" w:color="auto"/>
      </w:divBdr>
    </w:div>
    <w:div w:id="2031756723">
      <w:bodyDiv w:val="1"/>
      <w:marLeft w:val="0"/>
      <w:marRight w:val="0"/>
      <w:marTop w:val="0"/>
      <w:marBottom w:val="0"/>
      <w:divBdr>
        <w:top w:val="none" w:sz="0" w:space="0" w:color="auto"/>
        <w:left w:val="none" w:sz="0" w:space="0" w:color="auto"/>
        <w:bottom w:val="none" w:sz="0" w:space="0" w:color="auto"/>
        <w:right w:val="none" w:sz="0" w:space="0" w:color="auto"/>
      </w:divBdr>
    </w:div>
    <w:div w:id="2032799589">
      <w:bodyDiv w:val="1"/>
      <w:marLeft w:val="0"/>
      <w:marRight w:val="0"/>
      <w:marTop w:val="0"/>
      <w:marBottom w:val="0"/>
      <w:divBdr>
        <w:top w:val="none" w:sz="0" w:space="0" w:color="auto"/>
        <w:left w:val="none" w:sz="0" w:space="0" w:color="auto"/>
        <w:bottom w:val="none" w:sz="0" w:space="0" w:color="auto"/>
        <w:right w:val="none" w:sz="0" w:space="0" w:color="auto"/>
      </w:divBdr>
    </w:div>
    <w:div w:id="2037848705">
      <w:bodyDiv w:val="1"/>
      <w:marLeft w:val="0"/>
      <w:marRight w:val="0"/>
      <w:marTop w:val="0"/>
      <w:marBottom w:val="0"/>
      <w:divBdr>
        <w:top w:val="none" w:sz="0" w:space="0" w:color="auto"/>
        <w:left w:val="none" w:sz="0" w:space="0" w:color="auto"/>
        <w:bottom w:val="none" w:sz="0" w:space="0" w:color="auto"/>
        <w:right w:val="none" w:sz="0" w:space="0" w:color="auto"/>
      </w:divBdr>
    </w:div>
    <w:div w:id="2041658179">
      <w:bodyDiv w:val="1"/>
      <w:marLeft w:val="0"/>
      <w:marRight w:val="0"/>
      <w:marTop w:val="0"/>
      <w:marBottom w:val="0"/>
      <w:divBdr>
        <w:top w:val="none" w:sz="0" w:space="0" w:color="auto"/>
        <w:left w:val="none" w:sz="0" w:space="0" w:color="auto"/>
        <w:bottom w:val="none" w:sz="0" w:space="0" w:color="auto"/>
        <w:right w:val="none" w:sz="0" w:space="0" w:color="auto"/>
      </w:divBdr>
    </w:div>
    <w:div w:id="2043431279">
      <w:bodyDiv w:val="1"/>
      <w:marLeft w:val="0"/>
      <w:marRight w:val="0"/>
      <w:marTop w:val="0"/>
      <w:marBottom w:val="0"/>
      <w:divBdr>
        <w:top w:val="none" w:sz="0" w:space="0" w:color="auto"/>
        <w:left w:val="none" w:sz="0" w:space="0" w:color="auto"/>
        <w:bottom w:val="none" w:sz="0" w:space="0" w:color="auto"/>
        <w:right w:val="none" w:sz="0" w:space="0" w:color="auto"/>
      </w:divBdr>
    </w:div>
    <w:div w:id="2043701187">
      <w:bodyDiv w:val="1"/>
      <w:marLeft w:val="0"/>
      <w:marRight w:val="0"/>
      <w:marTop w:val="0"/>
      <w:marBottom w:val="0"/>
      <w:divBdr>
        <w:top w:val="none" w:sz="0" w:space="0" w:color="auto"/>
        <w:left w:val="none" w:sz="0" w:space="0" w:color="auto"/>
        <w:bottom w:val="none" w:sz="0" w:space="0" w:color="auto"/>
        <w:right w:val="none" w:sz="0" w:space="0" w:color="auto"/>
      </w:divBdr>
    </w:div>
    <w:div w:id="2044092236">
      <w:bodyDiv w:val="1"/>
      <w:marLeft w:val="0"/>
      <w:marRight w:val="0"/>
      <w:marTop w:val="0"/>
      <w:marBottom w:val="0"/>
      <w:divBdr>
        <w:top w:val="none" w:sz="0" w:space="0" w:color="auto"/>
        <w:left w:val="none" w:sz="0" w:space="0" w:color="auto"/>
        <w:bottom w:val="none" w:sz="0" w:space="0" w:color="auto"/>
        <w:right w:val="none" w:sz="0" w:space="0" w:color="auto"/>
      </w:divBdr>
    </w:div>
    <w:div w:id="2044474911">
      <w:bodyDiv w:val="1"/>
      <w:marLeft w:val="0"/>
      <w:marRight w:val="0"/>
      <w:marTop w:val="0"/>
      <w:marBottom w:val="0"/>
      <w:divBdr>
        <w:top w:val="none" w:sz="0" w:space="0" w:color="auto"/>
        <w:left w:val="none" w:sz="0" w:space="0" w:color="auto"/>
        <w:bottom w:val="none" w:sz="0" w:space="0" w:color="auto"/>
        <w:right w:val="none" w:sz="0" w:space="0" w:color="auto"/>
      </w:divBdr>
    </w:div>
    <w:div w:id="2045523840">
      <w:bodyDiv w:val="1"/>
      <w:marLeft w:val="0"/>
      <w:marRight w:val="0"/>
      <w:marTop w:val="0"/>
      <w:marBottom w:val="0"/>
      <w:divBdr>
        <w:top w:val="none" w:sz="0" w:space="0" w:color="auto"/>
        <w:left w:val="none" w:sz="0" w:space="0" w:color="auto"/>
        <w:bottom w:val="none" w:sz="0" w:space="0" w:color="auto"/>
        <w:right w:val="none" w:sz="0" w:space="0" w:color="auto"/>
      </w:divBdr>
    </w:div>
    <w:div w:id="2045716163">
      <w:bodyDiv w:val="1"/>
      <w:marLeft w:val="0"/>
      <w:marRight w:val="0"/>
      <w:marTop w:val="0"/>
      <w:marBottom w:val="0"/>
      <w:divBdr>
        <w:top w:val="none" w:sz="0" w:space="0" w:color="auto"/>
        <w:left w:val="none" w:sz="0" w:space="0" w:color="auto"/>
        <w:bottom w:val="none" w:sz="0" w:space="0" w:color="auto"/>
        <w:right w:val="none" w:sz="0" w:space="0" w:color="auto"/>
      </w:divBdr>
    </w:div>
    <w:div w:id="2046833110">
      <w:bodyDiv w:val="1"/>
      <w:marLeft w:val="0"/>
      <w:marRight w:val="0"/>
      <w:marTop w:val="0"/>
      <w:marBottom w:val="0"/>
      <w:divBdr>
        <w:top w:val="none" w:sz="0" w:space="0" w:color="auto"/>
        <w:left w:val="none" w:sz="0" w:space="0" w:color="auto"/>
        <w:bottom w:val="none" w:sz="0" w:space="0" w:color="auto"/>
        <w:right w:val="none" w:sz="0" w:space="0" w:color="auto"/>
      </w:divBdr>
    </w:div>
    <w:div w:id="2049331557">
      <w:bodyDiv w:val="1"/>
      <w:marLeft w:val="0"/>
      <w:marRight w:val="0"/>
      <w:marTop w:val="0"/>
      <w:marBottom w:val="0"/>
      <w:divBdr>
        <w:top w:val="none" w:sz="0" w:space="0" w:color="auto"/>
        <w:left w:val="none" w:sz="0" w:space="0" w:color="auto"/>
        <w:bottom w:val="none" w:sz="0" w:space="0" w:color="auto"/>
        <w:right w:val="none" w:sz="0" w:space="0" w:color="auto"/>
      </w:divBdr>
    </w:div>
    <w:div w:id="2051150924">
      <w:bodyDiv w:val="1"/>
      <w:marLeft w:val="0"/>
      <w:marRight w:val="0"/>
      <w:marTop w:val="0"/>
      <w:marBottom w:val="0"/>
      <w:divBdr>
        <w:top w:val="none" w:sz="0" w:space="0" w:color="auto"/>
        <w:left w:val="none" w:sz="0" w:space="0" w:color="auto"/>
        <w:bottom w:val="none" w:sz="0" w:space="0" w:color="auto"/>
        <w:right w:val="none" w:sz="0" w:space="0" w:color="auto"/>
      </w:divBdr>
    </w:div>
    <w:div w:id="2055157213">
      <w:bodyDiv w:val="1"/>
      <w:marLeft w:val="0"/>
      <w:marRight w:val="0"/>
      <w:marTop w:val="0"/>
      <w:marBottom w:val="0"/>
      <w:divBdr>
        <w:top w:val="none" w:sz="0" w:space="0" w:color="auto"/>
        <w:left w:val="none" w:sz="0" w:space="0" w:color="auto"/>
        <w:bottom w:val="none" w:sz="0" w:space="0" w:color="auto"/>
        <w:right w:val="none" w:sz="0" w:space="0" w:color="auto"/>
      </w:divBdr>
    </w:div>
    <w:div w:id="2055234835">
      <w:bodyDiv w:val="1"/>
      <w:marLeft w:val="0"/>
      <w:marRight w:val="0"/>
      <w:marTop w:val="0"/>
      <w:marBottom w:val="0"/>
      <w:divBdr>
        <w:top w:val="none" w:sz="0" w:space="0" w:color="auto"/>
        <w:left w:val="none" w:sz="0" w:space="0" w:color="auto"/>
        <w:bottom w:val="none" w:sz="0" w:space="0" w:color="auto"/>
        <w:right w:val="none" w:sz="0" w:space="0" w:color="auto"/>
      </w:divBdr>
    </w:div>
    <w:div w:id="2056083621">
      <w:bodyDiv w:val="1"/>
      <w:marLeft w:val="0"/>
      <w:marRight w:val="0"/>
      <w:marTop w:val="0"/>
      <w:marBottom w:val="0"/>
      <w:divBdr>
        <w:top w:val="none" w:sz="0" w:space="0" w:color="auto"/>
        <w:left w:val="none" w:sz="0" w:space="0" w:color="auto"/>
        <w:bottom w:val="none" w:sz="0" w:space="0" w:color="auto"/>
        <w:right w:val="none" w:sz="0" w:space="0" w:color="auto"/>
      </w:divBdr>
    </w:div>
    <w:div w:id="2057385004">
      <w:bodyDiv w:val="1"/>
      <w:marLeft w:val="0"/>
      <w:marRight w:val="0"/>
      <w:marTop w:val="0"/>
      <w:marBottom w:val="0"/>
      <w:divBdr>
        <w:top w:val="none" w:sz="0" w:space="0" w:color="auto"/>
        <w:left w:val="none" w:sz="0" w:space="0" w:color="auto"/>
        <w:bottom w:val="none" w:sz="0" w:space="0" w:color="auto"/>
        <w:right w:val="none" w:sz="0" w:space="0" w:color="auto"/>
      </w:divBdr>
      <w:divsChild>
        <w:div w:id="1867257934">
          <w:marLeft w:val="0"/>
          <w:marRight w:val="0"/>
          <w:marTop w:val="0"/>
          <w:marBottom w:val="0"/>
          <w:divBdr>
            <w:top w:val="none" w:sz="0" w:space="0" w:color="auto"/>
            <w:left w:val="none" w:sz="0" w:space="0" w:color="auto"/>
            <w:bottom w:val="none" w:sz="0" w:space="0" w:color="auto"/>
            <w:right w:val="none" w:sz="0" w:space="0" w:color="auto"/>
          </w:divBdr>
          <w:divsChild>
            <w:div w:id="1663774549">
              <w:marLeft w:val="0"/>
              <w:marRight w:val="0"/>
              <w:marTop w:val="0"/>
              <w:marBottom w:val="0"/>
              <w:divBdr>
                <w:top w:val="none" w:sz="0" w:space="0" w:color="auto"/>
                <w:left w:val="none" w:sz="0" w:space="0" w:color="auto"/>
                <w:bottom w:val="none" w:sz="0" w:space="0" w:color="auto"/>
                <w:right w:val="none" w:sz="0" w:space="0" w:color="auto"/>
              </w:divBdr>
              <w:divsChild>
                <w:div w:id="1494174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8165100">
      <w:bodyDiv w:val="1"/>
      <w:marLeft w:val="0"/>
      <w:marRight w:val="0"/>
      <w:marTop w:val="0"/>
      <w:marBottom w:val="0"/>
      <w:divBdr>
        <w:top w:val="none" w:sz="0" w:space="0" w:color="auto"/>
        <w:left w:val="none" w:sz="0" w:space="0" w:color="auto"/>
        <w:bottom w:val="none" w:sz="0" w:space="0" w:color="auto"/>
        <w:right w:val="none" w:sz="0" w:space="0" w:color="auto"/>
      </w:divBdr>
    </w:div>
    <w:div w:id="2058620068">
      <w:bodyDiv w:val="1"/>
      <w:marLeft w:val="0"/>
      <w:marRight w:val="0"/>
      <w:marTop w:val="0"/>
      <w:marBottom w:val="0"/>
      <w:divBdr>
        <w:top w:val="none" w:sz="0" w:space="0" w:color="auto"/>
        <w:left w:val="none" w:sz="0" w:space="0" w:color="auto"/>
        <w:bottom w:val="none" w:sz="0" w:space="0" w:color="auto"/>
        <w:right w:val="none" w:sz="0" w:space="0" w:color="auto"/>
      </w:divBdr>
    </w:div>
    <w:div w:id="2059934889">
      <w:bodyDiv w:val="1"/>
      <w:marLeft w:val="0"/>
      <w:marRight w:val="0"/>
      <w:marTop w:val="0"/>
      <w:marBottom w:val="0"/>
      <w:divBdr>
        <w:top w:val="none" w:sz="0" w:space="0" w:color="auto"/>
        <w:left w:val="none" w:sz="0" w:space="0" w:color="auto"/>
        <w:bottom w:val="none" w:sz="0" w:space="0" w:color="auto"/>
        <w:right w:val="none" w:sz="0" w:space="0" w:color="auto"/>
      </w:divBdr>
    </w:div>
    <w:div w:id="2061055082">
      <w:bodyDiv w:val="1"/>
      <w:marLeft w:val="0"/>
      <w:marRight w:val="0"/>
      <w:marTop w:val="0"/>
      <w:marBottom w:val="0"/>
      <w:divBdr>
        <w:top w:val="none" w:sz="0" w:space="0" w:color="auto"/>
        <w:left w:val="none" w:sz="0" w:space="0" w:color="auto"/>
        <w:bottom w:val="none" w:sz="0" w:space="0" w:color="auto"/>
        <w:right w:val="none" w:sz="0" w:space="0" w:color="auto"/>
      </w:divBdr>
    </w:div>
    <w:div w:id="2062054518">
      <w:bodyDiv w:val="1"/>
      <w:marLeft w:val="0"/>
      <w:marRight w:val="0"/>
      <w:marTop w:val="0"/>
      <w:marBottom w:val="0"/>
      <w:divBdr>
        <w:top w:val="none" w:sz="0" w:space="0" w:color="auto"/>
        <w:left w:val="none" w:sz="0" w:space="0" w:color="auto"/>
        <w:bottom w:val="none" w:sz="0" w:space="0" w:color="auto"/>
        <w:right w:val="none" w:sz="0" w:space="0" w:color="auto"/>
      </w:divBdr>
    </w:div>
    <w:div w:id="2065323507">
      <w:bodyDiv w:val="1"/>
      <w:marLeft w:val="0"/>
      <w:marRight w:val="0"/>
      <w:marTop w:val="0"/>
      <w:marBottom w:val="0"/>
      <w:divBdr>
        <w:top w:val="none" w:sz="0" w:space="0" w:color="auto"/>
        <w:left w:val="none" w:sz="0" w:space="0" w:color="auto"/>
        <w:bottom w:val="none" w:sz="0" w:space="0" w:color="auto"/>
        <w:right w:val="none" w:sz="0" w:space="0" w:color="auto"/>
      </w:divBdr>
    </w:div>
    <w:div w:id="2068869810">
      <w:bodyDiv w:val="1"/>
      <w:marLeft w:val="0"/>
      <w:marRight w:val="0"/>
      <w:marTop w:val="0"/>
      <w:marBottom w:val="0"/>
      <w:divBdr>
        <w:top w:val="none" w:sz="0" w:space="0" w:color="auto"/>
        <w:left w:val="none" w:sz="0" w:space="0" w:color="auto"/>
        <w:bottom w:val="none" w:sz="0" w:space="0" w:color="auto"/>
        <w:right w:val="none" w:sz="0" w:space="0" w:color="auto"/>
      </w:divBdr>
    </w:div>
    <w:div w:id="2068991598">
      <w:bodyDiv w:val="1"/>
      <w:marLeft w:val="0"/>
      <w:marRight w:val="0"/>
      <w:marTop w:val="0"/>
      <w:marBottom w:val="0"/>
      <w:divBdr>
        <w:top w:val="none" w:sz="0" w:space="0" w:color="auto"/>
        <w:left w:val="none" w:sz="0" w:space="0" w:color="auto"/>
        <w:bottom w:val="none" w:sz="0" w:space="0" w:color="auto"/>
        <w:right w:val="none" w:sz="0" w:space="0" w:color="auto"/>
      </w:divBdr>
    </w:div>
    <w:div w:id="2069378972">
      <w:bodyDiv w:val="1"/>
      <w:marLeft w:val="0"/>
      <w:marRight w:val="0"/>
      <w:marTop w:val="0"/>
      <w:marBottom w:val="0"/>
      <w:divBdr>
        <w:top w:val="none" w:sz="0" w:space="0" w:color="auto"/>
        <w:left w:val="none" w:sz="0" w:space="0" w:color="auto"/>
        <w:bottom w:val="none" w:sz="0" w:space="0" w:color="auto"/>
        <w:right w:val="none" w:sz="0" w:space="0" w:color="auto"/>
      </w:divBdr>
    </w:div>
    <w:div w:id="2071035737">
      <w:bodyDiv w:val="1"/>
      <w:marLeft w:val="0"/>
      <w:marRight w:val="0"/>
      <w:marTop w:val="0"/>
      <w:marBottom w:val="0"/>
      <w:divBdr>
        <w:top w:val="none" w:sz="0" w:space="0" w:color="auto"/>
        <w:left w:val="none" w:sz="0" w:space="0" w:color="auto"/>
        <w:bottom w:val="none" w:sz="0" w:space="0" w:color="auto"/>
        <w:right w:val="none" w:sz="0" w:space="0" w:color="auto"/>
      </w:divBdr>
    </w:div>
    <w:div w:id="2071296031">
      <w:bodyDiv w:val="1"/>
      <w:marLeft w:val="0"/>
      <w:marRight w:val="0"/>
      <w:marTop w:val="0"/>
      <w:marBottom w:val="0"/>
      <w:divBdr>
        <w:top w:val="none" w:sz="0" w:space="0" w:color="auto"/>
        <w:left w:val="none" w:sz="0" w:space="0" w:color="auto"/>
        <w:bottom w:val="none" w:sz="0" w:space="0" w:color="auto"/>
        <w:right w:val="none" w:sz="0" w:space="0" w:color="auto"/>
      </w:divBdr>
    </w:div>
    <w:div w:id="2072844018">
      <w:bodyDiv w:val="1"/>
      <w:marLeft w:val="0"/>
      <w:marRight w:val="0"/>
      <w:marTop w:val="0"/>
      <w:marBottom w:val="0"/>
      <w:divBdr>
        <w:top w:val="none" w:sz="0" w:space="0" w:color="auto"/>
        <w:left w:val="none" w:sz="0" w:space="0" w:color="auto"/>
        <w:bottom w:val="none" w:sz="0" w:space="0" w:color="auto"/>
        <w:right w:val="none" w:sz="0" w:space="0" w:color="auto"/>
      </w:divBdr>
    </w:div>
    <w:div w:id="2072919753">
      <w:bodyDiv w:val="1"/>
      <w:marLeft w:val="0"/>
      <w:marRight w:val="0"/>
      <w:marTop w:val="0"/>
      <w:marBottom w:val="0"/>
      <w:divBdr>
        <w:top w:val="none" w:sz="0" w:space="0" w:color="auto"/>
        <w:left w:val="none" w:sz="0" w:space="0" w:color="auto"/>
        <w:bottom w:val="none" w:sz="0" w:space="0" w:color="auto"/>
        <w:right w:val="none" w:sz="0" w:space="0" w:color="auto"/>
      </w:divBdr>
    </w:div>
    <w:div w:id="2073498612">
      <w:bodyDiv w:val="1"/>
      <w:marLeft w:val="0"/>
      <w:marRight w:val="0"/>
      <w:marTop w:val="0"/>
      <w:marBottom w:val="0"/>
      <w:divBdr>
        <w:top w:val="none" w:sz="0" w:space="0" w:color="auto"/>
        <w:left w:val="none" w:sz="0" w:space="0" w:color="auto"/>
        <w:bottom w:val="none" w:sz="0" w:space="0" w:color="auto"/>
        <w:right w:val="none" w:sz="0" w:space="0" w:color="auto"/>
      </w:divBdr>
    </w:div>
    <w:div w:id="2075810536">
      <w:bodyDiv w:val="1"/>
      <w:marLeft w:val="0"/>
      <w:marRight w:val="0"/>
      <w:marTop w:val="0"/>
      <w:marBottom w:val="0"/>
      <w:divBdr>
        <w:top w:val="none" w:sz="0" w:space="0" w:color="auto"/>
        <w:left w:val="none" w:sz="0" w:space="0" w:color="auto"/>
        <w:bottom w:val="none" w:sz="0" w:space="0" w:color="auto"/>
        <w:right w:val="none" w:sz="0" w:space="0" w:color="auto"/>
      </w:divBdr>
    </w:div>
    <w:div w:id="2078434745">
      <w:bodyDiv w:val="1"/>
      <w:marLeft w:val="0"/>
      <w:marRight w:val="0"/>
      <w:marTop w:val="0"/>
      <w:marBottom w:val="0"/>
      <w:divBdr>
        <w:top w:val="none" w:sz="0" w:space="0" w:color="auto"/>
        <w:left w:val="none" w:sz="0" w:space="0" w:color="auto"/>
        <w:bottom w:val="none" w:sz="0" w:space="0" w:color="auto"/>
        <w:right w:val="none" w:sz="0" w:space="0" w:color="auto"/>
      </w:divBdr>
    </w:div>
    <w:div w:id="2079857563">
      <w:bodyDiv w:val="1"/>
      <w:marLeft w:val="0"/>
      <w:marRight w:val="0"/>
      <w:marTop w:val="0"/>
      <w:marBottom w:val="0"/>
      <w:divBdr>
        <w:top w:val="none" w:sz="0" w:space="0" w:color="auto"/>
        <w:left w:val="none" w:sz="0" w:space="0" w:color="auto"/>
        <w:bottom w:val="none" w:sz="0" w:space="0" w:color="auto"/>
        <w:right w:val="none" w:sz="0" w:space="0" w:color="auto"/>
      </w:divBdr>
    </w:div>
    <w:div w:id="2081900413">
      <w:bodyDiv w:val="1"/>
      <w:marLeft w:val="0"/>
      <w:marRight w:val="0"/>
      <w:marTop w:val="0"/>
      <w:marBottom w:val="0"/>
      <w:divBdr>
        <w:top w:val="none" w:sz="0" w:space="0" w:color="auto"/>
        <w:left w:val="none" w:sz="0" w:space="0" w:color="auto"/>
        <w:bottom w:val="none" w:sz="0" w:space="0" w:color="auto"/>
        <w:right w:val="none" w:sz="0" w:space="0" w:color="auto"/>
      </w:divBdr>
    </w:div>
    <w:div w:id="2083023458">
      <w:bodyDiv w:val="1"/>
      <w:marLeft w:val="0"/>
      <w:marRight w:val="0"/>
      <w:marTop w:val="0"/>
      <w:marBottom w:val="0"/>
      <w:divBdr>
        <w:top w:val="none" w:sz="0" w:space="0" w:color="auto"/>
        <w:left w:val="none" w:sz="0" w:space="0" w:color="auto"/>
        <w:bottom w:val="none" w:sz="0" w:space="0" w:color="auto"/>
        <w:right w:val="none" w:sz="0" w:space="0" w:color="auto"/>
      </w:divBdr>
    </w:div>
    <w:div w:id="2083335070">
      <w:bodyDiv w:val="1"/>
      <w:marLeft w:val="0"/>
      <w:marRight w:val="0"/>
      <w:marTop w:val="0"/>
      <w:marBottom w:val="0"/>
      <w:divBdr>
        <w:top w:val="none" w:sz="0" w:space="0" w:color="auto"/>
        <w:left w:val="none" w:sz="0" w:space="0" w:color="auto"/>
        <w:bottom w:val="none" w:sz="0" w:space="0" w:color="auto"/>
        <w:right w:val="none" w:sz="0" w:space="0" w:color="auto"/>
      </w:divBdr>
    </w:div>
    <w:div w:id="2083940233">
      <w:bodyDiv w:val="1"/>
      <w:marLeft w:val="0"/>
      <w:marRight w:val="0"/>
      <w:marTop w:val="0"/>
      <w:marBottom w:val="0"/>
      <w:divBdr>
        <w:top w:val="none" w:sz="0" w:space="0" w:color="auto"/>
        <w:left w:val="none" w:sz="0" w:space="0" w:color="auto"/>
        <w:bottom w:val="none" w:sz="0" w:space="0" w:color="auto"/>
        <w:right w:val="none" w:sz="0" w:space="0" w:color="auto"/>
      </w:divBdr>
    </w:div>
    <w:div w:id="2085486712">
      <w:bodyDiv w:val="1"/>
      <w:marLeft w:val="0"/>
      <w:marRight w:val="0"/>
      <w:marTop w:val="0"/>
      <w:marBottom w:val="0"/>
      <w:divBdr>
        <w:top w:val="none" w:sz="0" w:space="0" w:color="auto"/>
        <w:left w:val="none" w:sz="0" w:space="0" w:color="auto"/>
        <w:bottom w:val="none" w:sz="0" w:space="0" w:color="auto"/>
        <w:right w:val="none" w:sz="0" w:space="0" w:color="auto"/>
      </w:divBdr>
    </w:div>
    <w:div w:id="2089377226">
      <w:bodyDiv w:val="1"/>
      <w:marLeft w:val="0"/>
      <w:marRight w:val="0"/>
      <w:marTop w:val="0"/>
      <w:marBottom w:val="0"/>
      <w:divBdr>
        <w:top w:val="none" w:sz="0" w:space="0" w:color="auto"/>
        <w:left w:val="none" w:sz="0" w:space="0" w:color="auto"/>
        <w:bottom w:val="none" w:sz="0" w:space="0" w:color="auto"/>
        <w:right w:val="none" w:sz="0" w:space="0" w:color="auto"/>
      </w:divBdr>
    </w:div>
    <w:div w:id="2089643880">
      <w:bodyDiv w:val="1"/>
      <w:marLeft w:val="0"/>
      <w:marRight w:val="0"/>
      <w:marTop w:val="0"/>
      <w:marBottom w:val="0"/>
      <w:divBdr>
        <w:top w:val="none" w:sz="0" w:space="0" w:color="auto"/>
        <w:left w:val="none" w:sz="0" w:space="0" w:color="auto"/>
        <w:bottom w:val="none" w:sz="0" w:space="0" w:color="auto"/>
        <w:right w:val="none" w:sz="0" w:space="0" w:color="auto"/>
      </w:divBdr>
    </w:div>
    <w:div w:id="2089764044">
      <w:bodyDiv w:val="1"/>
      <w:marLeft w:val="0"/>
      <w:marRight w:val="0"/>
      <w:marTop w:val="0"/>
      <w:marBottom w:val="0"/>
      <w:divBdr>
        <w:top w:val="none" w:sz="0" w:space="0" w:color="auto"/>
        <w:left w:val="none" w:sz="0" w:space="0" w:color="auto"/>
        <w:bottom w:val="none" w:sz="0" w:space="0" w:color="auto"/>
        <w:right w:val="none" w:sz="0" w:space="0" w:color="auto"/>
      </w:divBdr>
    </w:div>
    <w:div w:id="2090730426">
      <w:bodyDiv w:val="1"/>
      <w:marLeft w:val="0"/>
      <w:marRight w:val="0"/>
      <w:marTop w:val="0"/>
      <w:marBottom w:val="0"/>
      <w:divBdr>
        <w:top w:val="none" w:sz="0" w:space="0" w:color="auto"/>
        <w:left w:val="none" w:sz="0" w:space="0" w:color="auto"/>
        <w:bottom w:val="none" w:sz="0" w:space="0" w:color="auto"/>
        <w:right w:val="none" w:sz="0" w:space="0" w:color="auto"/>
      </w:divBdr>
    </w:div>
    <w:div w:id="2093744889">
      <w:bodyDiv w:val="1"/>
      <w:marLeft w:val="0"/>
      <w:marRight w:val="0"/>
      <w:marTop w:val="0"/>
      <w:marBottom w:val="0"/>
      <w:divBdr>
        <w:top w:val="none" w:sz="0" w:space="0" w:color="auto"/>
        <w:left w:val="none" w:sz="0" w:space="0" w:color="auto"/>
        <w:bottom w:val="none" w:sz="0" w:space="0" w:color="auto"/>
        <w:right w:val="none" w:sz="0" w:space="0" w:color="auto"/>
      </w:divBdr>
    </w:div>
    <w:div w:id="2094617034">
      <w:bodyDiv w:val="1"/>
      <w:marLeft w:val="0"/>
      <w:marRight w:val="0"/>
      <w:marTop w:val="0"/>
      <w:marBottom w:val="0"/>
      <w:divBdr>
        <w:top w:val="none" w:sz="0" w:space="0" w:color="auto"/>
        <w:left w:val="none" w:sz="0" w:space="0" w:color="auto"/>
        <w:bottom w:val="none" w:sz="0" w:space="0" w:color="auto"/>
        <w:right w:val="none" w:sz="0" w:space="0" w:color="auto"/>
      </w:divBdr>
    </w:div>
    <w:div w:id="2096976100">
      <w:bodyDiv w:val="1"/>
      <w:marLeft w:val="0"/>
      <w:marRight w:val="0"/>
      <w:marTop w:val="0"/>
      <w:marBottom w:val="0"/>
      <w:divBdr>
        <w:top w:val="none" w:sz="0" w:space="0" w:color="auto"/>
        <w:left w:val="none" w:sz="0" w:space="0" w:color="auto"/>
        <w:bottom w:val="none" w:sz="0" w:space="0" w:color="auto"/>
        <w:right w:val="none" w:sz="0" w:space="0" w:color="auto"/>
      </w:divBdr>
    </w:div>
    <w:div w:id="2098744266">
      <w:bodyDiv w:val="1"/>
      <w:marLeft w:val="0"/>
      <w:marRight w:val="0"/>
      <w:marTop w:val="0"/>
      <w:marBottom w:val="0"/>
      <w:divBdr>
        <w:top w:val="none" w:sz="0" w:space="0" w:color="auto"/>
        <w:left w:val="none" w:sz="0" w:space="0" w:color="auto"/>
        <w:bottom w:val="none" w:sz="0" w:space="0" w:color="auto"/>
        <w:right w:val="none" w:sz="0" w:space="0" w:color="auto"/>
      </w:divBdr>
    </w:div>
    <w:div w:id="2100637210">
      <w:bodyDiv w:val="1"/>
      <w:marLeft w:val="0"/>
      <w:marRight w:val="0"/>
      <w:marTop w:val="0"/>
      <w:marBottom w:val="0"/>
      <w:divBdr>
        <w:top w:val="none" w:sz="0" w:space="0" w:color="auto"/>
        <w:left w:val="none" w:sz="0" w:space="0" w:color="auto"/>
        <w:bottom w:val="none" w:sz="0" w:space="0" w:color="auto"/>
        <w:right w:val="none" w:sz="0" w:space="0" w:color="auto"/>
      </w:divBdr>
    </w:div>
    <w:div w:id="2101020759">
      <w:bodyDiv w:val="1"/>
      <w:marLeft w:val="0"/>
      <w:marRight w:val="0"/>
      <w:marTop w:val="0"/>
      <w:marBottom w:val="0"/>
      <w:divBdr>
        <w:top w:val="none" w:sz="0" w:space="0" w:color="auto"/>
        <w:left w:val="none" w:sz="0" w:space="0" w:color="auto"/>
        <w:bottom w:val="none" w:sz="0" w:space="0" w:color="auto"/>
        <w:right w:val="none" w:sz="0" w:space="0" w:color="auto"/>
      </w:divBdr>
    </w:div>
    <w:div w:id="2103642406">
      <w:bodyDiv w:val="1"/>
      <w:marLeft w:val="0"/>
      <w:marRight w:val="0"/>
      <w:marTop w:val="0"/>
      <w:marBottom w:val="0"/>
      <w:divBdr>
        <w:top w:val="none" w:sz="0" w:space="0" w:color="auto"/>
        <w:left w:val="none" w:sz="0" w:space="0" w:color="auto"/>
        <w:bottom w:val="none" w:sz="0" w:space="0" w:color="auto"/>
        <w:right w:val="none" w:sz="0" w:space="0" w:color="auto"/>
      </w:divBdr>
    </w:div>
    <w:div w:id="2105371695">
      <w:bodyDiv w:val="1"/>
      <w:marLeft w:val="0"/>
      <w:marRight w:val="0"/>
      <w:marTop w:val="0"/>
      <w:marBottom w:val="0"/>
      <w:divBdr>
        <w:top w:val="none" w:sz="0" w:space="0" w:color="auto"/>
        <w:left w:val="none" w:sz="0" w:space="0" w:color="auto"/>
        <w:bottom w:val="none" w:sz="0" w:space="0" w:color="auto"/>
        <w:right w:val="none" w:sz="0" w:space="0" w:color="auto"/>
      </w:divBdr>
    </w:div>
    <w:div w:id="2109226346">
      <w:bodyDiv w:val="1"/>
      <w:marLeft w:val="0"/>
      <w:marRight w:val="0"/>
      <w:marTop w:val="0"/>
      <w:marBottom w:val="0"/>
      <w:divBdr>
        <w:top w:val="none" w:sz="0" w:space="0" w:color="auto"/>
        <w:left w:val="none" w:sz="0" w:space="0" w:color="auto"/>
        <w:bottom w:val="none" w:sz="0" w:space="0" w:color="auto"/>
        <w:right w:val="none" w:sz="0" w:space="0" w:color="auto"/>
      </w:divBdr>
    </w:div>
    <w:div w:id="2114475871">
      <w:bodyDiv w:val="1"/>
      <w:marLeft w:val="0"/>
      <w:marRight w:val="0"/>
      <w:marTop w:val="0"/>
      <w:marBottom w:val="0"/>
      <w:divBdr>
        <w:top w:val="none" w:sz="0" w:space="0" w:color="auto"/>
        <w:left w:val="none" w:sz="0" w:space="0" w:color="auto"/>
        <w:bottom w:val="none" w:sz="0" w:space="0" w:color="auto"/>
        <w:right w:val="none" w:sz="0" w:space="0" w:color="auto"/>
      </w:divBdr>
    </w:div>
    <w:div w:id="2115972497">
      <w:bodyDiv w:val="1"/>
      <w:marLeft w:val="0"/>
      <w:marRight w:val="0"/>
      <w:marTop w:val="0"/>
      <w:marBottom w:val="0"/>
      <w:divBdr>
        <w:top w:val="none" w:sz="0" w:space="0" w:color="auto"/>
        <w:left w:val="none" w:sz="0" w:space="0" w:color="auto"/>
        <w:bottom w:val="none" w:sz="0" w:space="0" w:color="auto"/>
        <w:right w:val="none" w:sz="0" w:space="0" w:color="auto"/>
      </w:divBdr>
    </w:div>
    <w:div w:id="2116706242">
      <w:bodyDiv w:val="1"/>
      <w:marLeft w:val="0"/>
      <w:marRight w:val="0"/>
      <w:marTop w:val="0"/>
      <w:marBottom w:val="0"/>
      <w:divBdr>
        <w:top w:val="none" w:sz="0" w:space="0" w:color="auto"/>
        <w:left w:val="none" w:sz="0" w:space="0" w:color="auto"/>
        <w:bottom w:val="none" w:sz="0" w:space="0" w:color="auto"/>
        <w:right w:val="none" w:sz="0" w:space="0" w:color="auto"/>
      </w:divBdr>
    </w:div>
    <w:div w:id="2119372019">
      <w:bodyDiv w:val="1"/>
      <w:marLeft w:val="0"/>
      <w:marRight w:val="0"/>
      <w:marTop w:val="0"/>
      <w:marBottom w:val="0"/>
      <w:divBdr>
        <w:top w:val="none" w:sz="0" w:space="0" w:color="auto"/>
        <w:left w:val="none" w:sz="0" w:space="0" w:color="auto"/>
        <w:bottom w:val="none" w:sz="0" w:space="0" w:color="auto"/>
        <w:right w:val="none" w:sz="0" w:space="0" w:color="auto"/>
      </w:divBdr>
    </w:div>
    <w:div w:id="2120753596">
      <w:bodyDiv w:val="1"/>
      <w:marLeft w:val="0"/>
      <w:marRight w:val="0"/>
      <w:marTop w:val="0"/>
      <w:marBottom w:val="0"/>
      <w:divBdr>
        <w:top w:val="none" w:sz="0" w:space="0" w:color="auto"/>
        <w:left w:val="none" w:sz="0" w:space="0" w:color="auto"/>
        <w:bottom w:val="none" w:sz="0" w:space="0" w:color="auto"/>
        <w:right w:val="none" w:sz="0" w:space="0" w:color="auto"/>
      </w:divBdr>
    </w:div>
    <w:div w:id="2120953257">
      <w:bodyDiv w:val="1"/>
      <w:marLeft w:val="0"/>
      <w:marRight w:val="0"/>
      <w:marTop w:val="0"/>
      <w:marBottom w:val="0"/>
      <w:divBdr>
        <w:top w:val="none" w:sz="0" w:space="0" w:color="auto"/>
        <w:left w:val="none" w:sz="0" w:space="0" w:color="auto"/>
        <w:bottom w:val="none" w:sz="0" w:space="0" w:color="auto"/>
        <w:right w:val="none" w:sz="0" w:space="0" w:color="auto"/>
      </w:divBdr>
    </w:div>
    <w:div w:id="2121219021">
      <w:bodyDiv w:val="1"/>
      <w:marLeft w:val="0"/>
      <w:marRight w:val="0"/>
      <w:marTop w:val="0"/>
      <w:marBottom w:val="0"/>
      <w:divBdr>
        <w:top w:val="none" w:sz="0" w:space="0" w:color="auto"/>
        <w:left w:val="none" w:sz="0" w:space="0" w:color="auto"/>
        <w:bottom w:val="none" w:sz="0" w:space="0" w:color="auto"/>
        <w:right w:val="none" w:sz="0" w:space="0" w:color="auto"/>
      </w:divBdr>
    </w:div>
    <w:div w:id="2122412751">
      <w:bodyDiv w:val="1"/>
      <w:marLeft w:val="0"/>
      <w:marRight w:val="0"/>
      <w:marTop w:val="0"/>
      <w:marBottom w:val="0"/>
      <w:divBdr>
        <w:top w:val="none" w:sz="0" w:space="0" w:color="auto"/>
        <w:left w:val="none" w:sz="0" w:space="0" w:color="auto"/>
        <w:bottom w:val="none" w:sz="0" w:space="0" w:color="auto"/>
        <w:right w:val="none" w:sz="0" w:space="0" w:color="auto"/>
      </w:divBdr>
    </w:div>
    <w:div w:id="2124036096">
      <w:bodyDiv w:val="1"/>
      <w:marLeft w:val="0"/>
      <w:marRight w:val="0"/>
      <w:marTop w:val="0"/>
      <w:marBottom w:val="0"/>
      <w:divBdr>
        <w:top w:val="none" w:sz="0" w:space="0" w:color="auto"/>
        <w:left w:val="none" w:sz="0" w:space="0" w:color="auto"/>
        <w:bottom w:val="none" w:sz="0" w:space="0" w:color="auto"/>
        <w:right w:val="none" w:sz="0" w:space="0" w:color="auto"/>
      </w:divBdr>
    </w:div>
    <w:div w:id="2125154362">
      <w:bodyDiv w:val="1"/>
      <w:marLeft w:val="0"/>
      <w:marRight w:val="0"/>
      <w:marTop w:val="0"/>
      <w:marBottom w:val="0"/>
      <w:divBdr>
        <w:top w:val="none" w:sz="0" w:space="0" w:color="auto"/>
        <w:left w:val="none" w:sz="0" w:space="0" w:color="auto"/>
        <w:bottom w:val="none" w:sz="0" w:space="0" w:color="auto"/>
        <w:right w:val="none" w:sz="0" w:space="0" w:color="auto"/>
      </w:divBdr>
    </w:div>
    <w:div w:id="2125684874">
      <w:bodyDiv w:val="1"/>
      <w:marLeft w:val="0"/>
      <w:marRight w:val="0"/>
      <w:marTop w:val="0"/>
      <w:marBottom w:val="0"/>
      <w:divBdr>
        <w:top w:val="none" w:sz="0" w:space="0" w:color="auto"/>
        <w:left w:val="none" w:sz="0" w:space="0" w:color="auto"/>
        <w:bottom w:val="none" w:sz="0" w:space="0" w:color="auto"/>
        <w:right w:val="none" w:sz="0" w:space="0" w:color="auto"/>
      </w:divBdr>
    </w:div>
    <w:div w:id="2127504542">
      <w:bodyDiv w:val="1"/>
      <w:marLeft w:val="0"/>
      <w:marRight w:val="0"/>
      <w:marTop w:val="0"/>
      <w:marBottom w:val="0"/>
      <w:divBdr>
        <w:top w:val="none" w:sz="0" w:space="0" w:color="auto"/>
        <w:left w:val="none" w:sz="0" w:space="0" w:color="auto"/>
        <w:bottom w:val="none" w:sz="0" w:space="0" w:color="auto"/>
        <w:right w:val="none" w:sz="0" w:space="0" w:color="auto"/>
      </w:divBdr>
    </w:div>
    <w:div w:id="2130195305">
      <w:bodyDiv w:val="1"/>
      <w:marLeft w:val="0"/>
      <w:marRight w:val="0"/>
      <w:marTop w:val="0"/>
      <w:marBottom w:val="0"/>
      <w:divBdr>
        <w:top w:val="none" w:sz="0" w:space="0" w:color="auto"/>
        <w:left w:val="none" w:sz="0" w:space="0" w:color="auto"/>
        <w:bottom w:val="none" w:sz="0" w:space="0" w:color="auto"/>
        <w:right w:val="none" w:sz="0" w:space="0" w:color="auto"/>
      </w:divBdr>
    </w:div>
    <w:div w:id="2132285253">
      <w:bodyDiv w:val="1"/>
      <w:marLeft w:val="0"/>
      <w:marRight w:val="0"/>
      <w:marTop w:val="0"/>
      <w:marBottom w:val="0"/>
      <w:divBdr>
        <w:top w:val="none" w:sz="0" w:space="0" w:color="auto"/>
        <w:left w:val="none" w:sz="0" w:space="0" w:color="auto"/>
        <w:bottom w:val="none" w:sz="0" w:space="0" w:color="auto"/>
        <w:right w:val="none" w:sz="0" w:space="0" w:color="auto"/>
      </w:divBdr>
    </w:div>
    <w:div w:id="2132550683">
      <w:bodyDiv w:val="1"/>
      <w:marLeft w:val="0"/>
      <w:marRight w:val="0"/>
      <w:marTop w:val="0"/>
      <w:marBottom w:val="0"/>
      <w:divBdr>
        <w:top w:val="none" w:sz="0" w:space="0" w:color="auto"/>
        <w:left w:val="none" w:sz="0" w:space="0" w:color="auto"/>
        <w:bottom w:val="none" w:sz="0" w:space="0" w:color="auto"/>
        <w:right w:val="none" w:sz="0" w:space="0" w:color="auto"/>
      </w:divBdr>
    </w:div>
    <w:div w:id="2132894984">
      <w:bodyDiv w:val="1"/>
      <w:marLeft w:val="0"/>
      <w:marRight w:val="0"/>
      <w:marTop w:val="0"/>
      <w:marBottom w:val="0"/>
      <w:divBdr>
        <w:top w:val="none" w:sz="0" w:space="0" w:color="auto"/>
        <w:left w:val="none" w:sz="0" w:space="0" w:color="auto"/>
        <w:bottom w:val="none" w:sz="0" w:space="0" w:color="auto"/>
        <w:right w:val="none" w:sz="0" w:space="0" w:color="auto"/>
      </w:divBdr>
    </w:div>
    <w:div w:id="2134131865">
      <w:bodyDiv w:val="1"/>
      <w:marLeft w:val="0"/>
      <w:marRight w:val="0"/>
      <w:marTop w:val="0"/>
      <w:marBottom w:val="0"/>
      <w:divBdr>
        <w:top w:val="none" w:sz="0" w:space="0" w:color="auto"/>
        <w:left w:val="none" w:sz="0" w:space="0" w:color="auto"/>
        <w:bottom w:val="none" w:sz="0" w:space="0" w:color="auto"/>
        <w:right w:val="none" w:sz="0" w:space="0" w:color="auto"/>
      </w:divBdr>
    </w:div>
    <w:div w:id="2135326411">
      <w:bodyDiv w:val="1"/>
      <w:marLeft w:val="0"/>
      <w:marRight w:val="0"/>
      <w:marTop w:val="0"/>
      <w:marBottom w:val="0"/>
      <w:divBdr>
        <w:top w:val="none" w:sz="0" w:space="0" w:color="auto"/>
        <w:left w:val="none" w:sz="0" w:space="0" w:color="auto"/>
        <w:bottom w:val="none" w:sz="0" w:space="0" w:color="auto"/>
        <w:right w:val="none" w:sz="0" w:space="0" w:color="auto"/>
      </w:divBdr>
    </w:div>
    <w:div w:id="2135980665">
      <w:bodyDiv w:val="1"/>
      <w:marLeft w:val="0"/>
      <w:marRight w:val="0"/>
      <w:marTop w:val="0"/>
      <w:marBottom w:val="0"/>
      <w:divBdr>
        <w:top w:val="none" w:sz="0" w:space="0" w:color="auto"/>
        <w:left w:val="none" w:sz="0" w:space="0" w:color="auto"/>
        <w:bottom w:val="none" w:sz="0" w:space="0" w:color="auto"/>
        <w:right w:val="none" w:sz="0" w:space="0" w:color="auto"/>
      </w:divBdr>
    </w:div>
    <w:div w:id="2143690068">
      <w:bodyDiv w:val="1"/>
      <w:marLeft w:val="0"/>
      <w:marRight w:val="0"/>
      <w:marTop w:val="0"/>
      <w:marBottom w:val="0"/>
      <w:divBdr>
        <w:top w:val="none" w:sz="0" w:space="0" w:color="auto"/>
        <w:left w:val="none" w:sz="0" w:space="0" w:color="auto"/>
        <w:bottom w:val="none" w:sz="0" w:space="0" w:color="auto"/>
        <w:right w:val="none" w:sz="0" w:space="0" w:color="auto"/>
      </w:divBdr>
    </w:div>
    <w:div w:id="2145460982">
      <w:bodyDiv w:val="1"/>
      <w:marLeft w:val="0"/>
      <w:marRight w:val="0"/>
      <w:marTop w:val="0"/>
      <w:marBottom w:val="0"/>
      <w:divBdr>
        <w:top w:val="none" w:sz="0" w:space="0" w:color="auto"/>
        <w:left w:val="none" w:sz="0" w:space="0" w:color="auto"/>
        <w:bottom w:val="none" w:sz="0" w:space="0" w:color="auto"/>
        <w:right w:val="none" w:sz="0" w:space="0" w:color="auto"/>
      </w:divBdr>
    </w:div>
    <w:div w:id="21469634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microsoft.com/office/2016/09/relationships/commentsIds" Target="commentsIds.xml" Id="rId13" /><Relationship Type="http://schemas.openxmlformats.org/officeDocument/2006/relationships/image" Target="media/image4.png" Id="rId18" /><Relationship Type="http://schemas.openxmlformats.org/officeDocument/2006/relationships/image" Target="media/image12.jpeg" Id="rId26" /><Relationship Type="http://schemas.openxmlformats.org/officeDocument/2006/relationships/image" Target="media/image24.png" Id="rId39" /><Relationship Type="http://schemas.openxmlformats.org/officeDocument/2006/relationships/image" Target="media/image20.png" Id="rId34" /><Relationship Type="http://schemas.openxmlformats.org/officeDocument/2006/relationships/footer" Target="footer1.xml" Id="rId42"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2.png" Id="rId16" /><Relationship Type="http://schemas.openxmlformats.org/officeDocument/2006/relationships/image" Target="media/image15.png"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0.png" Id="rId24" /><Relationship Type="http://schemas.openxmlformats.org/officeDocument/2006/relationships/image" Target="media/image18.png" Id="rId32" /><Relationship Type="http://schemas.microsoft.com/office/2007/relationships/hdphoto" Target="media/hdphoto1.wdp" Id="rId37" /><Relationship Type="http://schemas.openxmlformats.org/officeDocument/2006/relationships/hyperlink" Target="https://www.un.org/sustainabledevelopment/es/sustainable-development-goals/" TargetMode="External" Id="rId40" /><Relationship Type="http://schemas.openxmlformats.org/officeDocument/2006/relationships/theme" Target="theme/theme1.xml" Id="rId45" /><Relationship Type="http://schemas.openxmlformats.org/officeDocument/2006/relationships/numbering" Target="numbering.xml" Id="rId5" /><Relationship Type="http://schemas.openxmlformats.org/officeDocument/2006/relationships/image" Target="media/image1.png" Id="rId15" /><Relationship Type="http://schemas.openxmlformats.org/officeDocument/2006/relationships/image" Target="media/image9.png" Id="rId23" /><Relationship Type="http://schemas.openxmlformats.org/officeDocument/2006/relationships/image" Target="media/image14.png" Id="rId28" /><Relationship Type="http://schemas.openxmlformats.org/officeDocument/2006/relationships/image" Target="media/image22.png" Id="rId36" /><Relationship Type="http://schemas.openxmlformats.org/officeDocument/2006/relationships/endnotes" Target="endnotes.xml" Id="rId10" /><Relationship Type="http://schemas.openxmlformats.org/officeDocument/2006/relationships/image" Target="media/image17.png" Id="rId31" /><Relationship Type="http://schemas.microsoft.com/office/2011/relationships/people" Target="people.xml" Id="rId44"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13.emf" Id="rId27" /><Relationship Type="http://schemas.openxmlformats.org/officeDocument/2006/relationships/image" Target="media/image16.png" Id="rId30" /><Relationship Type="http://schemas.openxmlformats.org/officeDocument/2006/relationships/image" Target="media/image21.png" Id="rId35" /><Relationship Type="http://schemas.openxmlformats.org/officeDocument/2006/relationships/fontTable" Target="fontTable.xml" Id="rId43" /><Relationship Type="http://schemas.openxmlformats.org/officeDocument/2006/relationships/webSettings" Target="webSettings.xml" Id="rId8" /><Relationship Type="http://schemas.openxmlformats.org/officeDocument/2006/relationships/customXml" Target="../customXml/item3.xml" Id="rId3" /><Relationship Type="http://schemas.microsoft.com/office/2011/relationships/commentsExtended" Target="commentsExtended.xml" Id="rId12" /><Relationship Type="http://schemas.openxmlformats.org/officeDocument/2006/relationships/image" Target="media/image3.jpeg" Id="rId17" /><Relationship Type="http://schemas.openxmlformats.org/officeDocument/2006/relationships/image" Target="media/image11.png" Id="rId25" /><Relationship Type="http://schemas.openxmlformats.org/officeDocument/2006/relationships/image" Target="media/image19.png" Id="rId33" /><Relationship Type="http://schemas.openxmlformats.org/officeDocument/2006/relationships/image" Target="media/image23.PNG" Id="rId38" /><Relationship Type="http://schemas.microsoft.com/office/2020/10/relationships/intelligence" Target="intelligence2.xml" Id="rId46" /><Relationship Type="http://schemas.openxmlformats.org/officeDocument/2006/relationships/header" Target="header1.xml" Id="rId41" /><Relationship Type="http://schemas.openxmlformats.org/officeDocument/2006/relationships/image" Target="/media/image17.png" Id="rId861428008" /><Relationship Type="http://schemas.openxmlformats.org/officeDocument/2006/relationships/image" Target="/media/image18.png" Id="rId75068059" /><Relationship Type="http://schemas.openxmlformats.org/officeDocument/2006/relationships/image" Target="/media/image19.png" Id="rId1062495565" /><Relationship Type="http://schemas.openxmlformats.org/officeDocument/2006/relationships/image" Target="/media/image1a.png" Id="rId26730811" /></Relationships>
</file>

<file path=word/_rels/footnotes.xml.rels><?xml version="1.0" encoding="UTF-8" standalone="yes"?>
<Relationships xmlns="http://schemas.openxmlformats.org/package/2006/relationships"><Relationship Id="rId2" Type="http://schemas.openxmlformats.org/officeDocument/2006/relationships/hyperlink" Target="https://repositorio.cepal.org/server/api/core/bitstreams/adbb16fd-48d0-4ba6-aab4-59561bfa0578/content" TargetMode="External"/><Relationship Id="rId1" Type="http://schemas.openxmlformats.org/officeDocument/2006/relationships/hyperlink" Target="https://www.undp.org/es/colombia/enfoque-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73806C7EB0869140AD3F643CB4E14F0F" ma:contentTypeVersion="17" ma:contentTypeDescription="Crear nuevo documento." ma:contentTypeScope="" ma:versionID="25b9d2bafdf52338946330d5dc1b47cf">
  <xsd:schema xmlns:xsd="http://www.w3.org/2001/XMLSchema" xmlns:xs="http://www.w3.org/2001/XMLSchema" xmlns:p="http://schemas.microsoft.com/office/2006/metadata/properties" xmlns:ns2="0363528f-591f-4b1b-b99d-f770e394f926" xmlns:ns3="734438b8-929d-4e06-924b-b1bb22a04675" targetNamespace="http://schemas.microsoft.com/office/2006/metadata/properties" ma:root="true" ma:fieldsID="1e4da7bde9d37a8042a3cdc20407389b" ns2:_="" ns3:_="">
    <xsd:import namespace="0363528f-591f-4b1b-b99d-f770e394f926"/>
    <xsd:import namespace="734438b8-929d-4e06-924b-b1bb22a0467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MediaServiceDateTaken" minOccurs="0"/>
                <xsd:element ref="ns2:MediaServiceLocation"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63528f-591f-4b1b-b99d-f770e394f9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34438b8-929d-4e06-924b-b1bb22a04675"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3d26e3b5-6da1-443c-ac5e-336d975d1858}" ma:internalName="TaxCatchAll" ma:showField="CatchAllData" ma:web="734438b8-929d-4e06-924b-b1bb22a046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b:Source>
    <b:Tag>Acc22</b:Tag>
    <b:SourceType>Case</b:SourceType>
    <b:Guid>{29AE9617-99E4-4EDB-9B6A-3B1AF1375AE7}</b:Guid>
    <b:Title>Acción Popular 2013-02459-01</b:Title>
    <b:Year>2022</b:Year>
    <b:CaseNumber>Radicación: 25000234100020130245901</b:CaseNumber>
    <b:Court>Consejo de Estado, Sala de lo Contencioso Administrativo, Sección Primera</b:Court>
    <b:Month>agosto</b:Month>
    <b:Day>4</b:Day>
    <b:RefOrder>24</b:RefOrder>
  </b:Source>
  <b:Source>
    <b:Tag>Ind22</b:Tag>
    <b:SourceType>Report</b:SourceType>
    <b:Guid>{CA0AFFBF-5531-4174-B829-41114E2EFED7}</b:Guid>
    <b:Author>
      <b:Author>
        <b:Corporate>Indepaz</b:Corporate>
      </b:Author>
    </b:Author>
    <b:Title>Informe de conflictos socioambientales en Colombia</b:Title>
    <b:Year>2022</b:Year>
    <b:RefOrder>11</b:RefOrder>
  </b:Source>
  <b:Source>
    <b:Tag>IPC22</b:Tag>
    <b:SourceType>Report</b:SourceType>
    <b:Guid>{2C7F29BE-F8B3-4A94-982D-BF4FA707BA01}</b:Guid>
    <b:Title>Summary for Policymakers. Climate Change 2022: Impacts, Adaptation and Vulnerability. Contribution of Working Group II to the Sixth Assessment Report of the Intergovernmental Panel on Climate Change</b:Title>
    <b:Year>2022</b:Year>
    <b:Author>
      <b:Author>
        <b:Corporate>IPCC</b:Corporate>
      </b:Author>
    </b:Author>
    <b:RefOrder>7</b:RefOrder>
  </b:Source>
  <b:Source>
    <b:Tag>Ser22</b:Tag>
    <b:SourceType>Report</b:SourceType>
    <b:Guid>{F66AC6CB-9574-4BB7-A0D0-BA4AB4A25BAD}</b:Guid>
    <b:Author>
      <b:Author>
        <b:Corporate>SGC</b:Corporate>
      </b:Author>
    </b:Author>
    <b:Title>Informe Anual Lineamientos Sistema General de Regalías</b:Title>
    <b:Year>2022</b:Year>
    <b:RefOrder>14</b:RefOrder>
  </b:Source>
  <b:Source>
    <b:Tag>MME18</b:Tag>
    <b:SourceType>Report</b:SourceType>
    <b:Guid>{27C60F2D-5B0B-4C2A-8F3E-75EB4A55A97D}</b:Guid>
    <b:Author>
      <b:Author>
        <b:Corporate>MinEnergía</b:Corporate>
      </b:Author>
    </b:Author>
    <b:Title>Política de Derechos Humanos del Sector Minero Energético</b:Title>
    <b:Year>2018</b:Year>
    <b:City>Bogotá</b:City>
    <b:RefOrder>3</b:RefOrder>
  </b:Source>
  <b:Source>
    <b:Tag>MME16</b:Tag>
    <b:SourceType>Report</b:SourceType>
    <b:Guid>{A7DB6B24-7260-4490-9C9D-06BE310576C4}</b:Guid>
    <b:Title>Resolución 40391 de  2016. Política Minera Nacional</b:Title>
    <b:Year>2016</b:Year>
    <b:City>Bogotá</b:City>
    <b:Author>
      <b:Author>
        <b:Corporate>MinEnergía</b:Corporate>
      </b:Author>
    </b:Author>
    <b:RefOrder>2</b:RefOrder>
  </b:Source>
  <b:Source>
    <b:Tag>OCD22</b:Tag>
    <b:SourceType>DocumentFromInternetSite</b:SourceType>
    <b:Guid>{B119754E-2DB0-4888-ADF2-DA38B860A7FB}</b:Guid>
    <b:Author>
      <b:Author>
        <b:Corporate>OCDE</b:Corporate>
      </b:Author>
    </b:Author>
    <b:Title>Conducta empresarial responsable en el sector extractivo y minero en América Latina y el Caribe</b:Title>
    <b:Year>2022</b:Year>
    <b:URL>https://mneguidelines.oecd.org/conducta-empresarial-responsable-en-el-sector-extractivo-y-minero-en-america-latina-y-el-caribe.pdf</b:URL>
    <b:RefOrder>21</b:RefOrder>
  </b:Source>
  <b:Source>
    <b:Tag>Bon11</b:Tag>
    <b:SourceType>JournalArticle</b:SourceType>
    <b:Guid>{E6ACF862-23D3-4C41-A4E2-7E77796B77CD}</b:Guid>
    <b:Title>Apertura y reprimarización de la economía colombiana. Un paraíso de corto plazo </b:Title>
    <b:Year>2011</b:Year>
    <b:Author>
      <b:Author>
        <b:NameList>
          <b:Person>
            <b:Last>Bonilla</b:Last>
            <b:First>Ricardo</b:First>
          </b:Person>
        </b:NameList>
      </b:Author>
    </b:Author>
    <b:JournalName>Nueva Sociedad</b:JournalName>
    <b:RefOrder>15</b:RefOrder>
  </b:Source>
  <b:Source>
    <b:Tag>God15</b:Tag>
    <b:SourceType>JournalArticle</b:SourceType>
    <b:Guid>{F1273644-58D1-4483-B882-6553A6D57C71}</b:Guid>
    <b:Title>Flujos de capital, recursos naturales y enfermedad holandesa: el caso colombiano</b:Title>
    <b:JournalName>Ensayos sobre Política Económica</b:JournalName>
    <b:Year>2015</b:Year>
    <b:Pages>197-206</b:Pages>
    <b:Author>
      <b:Author>
        <b:NameList>
          <b:Person>
            <b:Last>Goda</b:Last>
            <b:First>Thomas</b:First>
          </b:Person>
          <b:Person>
            <b:Last>Torres García</b:Last>
            <b:First>Alejandro</b:First>
          </b:Person>
        </b:NameList>
      </b:Author>
    </b:Author>
    <b:RefOrder>16</b:RefOrder>
  </b:Source>
  <b:Source>
    <b:Tag>DNP22</b:Tag>
    <b:SourceType>Report</b:SourceType>
    <b:Guid>{F4310C54-3ABF-4E0C-B3B9-E547F53650B4}</b:Guid>
    <b:Title>Colombia, Potencia Mundial de la Vida</b:Title>
    <b:Year>2022</b:Year>
    <b:Author>
      <b:Author>
        <b:NameList>
          <b:Person>
            <b:Last>DNP</b:Last>
            <b:First>Departamento</b:First>
            <b:Middle>Nacional de Planeación</b:Middle>
          </b:Person>
        </b:NameList>
      </b:Author>
    </b:Author>
    <b:Publisher>Gobierno de Colombia</b:Publisher>
    <b:City>Bogotá</b:City>
    <b:RefOrder>9</b:RefOrder>
  </b:Source>
  <b:Source>
    <b:Tag>Esc19</b:Tag>
    <b:SourceType>DocumentFromInternetSite</b:SourceType>
    <b:Guid>{2DEDDBF5-690D-4CD4-B546-D8F46469F24F}</b:Guid>
    <b:Title>Participación del Banco de la República en la Comercialización de oro en Colombia</b:Title>
    <b:Year>2019</b:Year>
    <b:Author>
      <b:Author>
        <b:NameList>
          <b:Person>
            <b:Last>Escobar Arango</b:Last>
            <b:First>Andrés</b:First>
          </b:Person>
          <b:Person>
            <b:Last>González Estrada</b:Last>
            <b:First>Tomás</b:First>
          </b:Person>
        </b:NameList>
      </b:Author>
    </b:Author>
    <b:InternetSiteTitle>EConcept AEI S.A.S. Disponible en </b:InternetSiteTitle>
    <b:URL>https://www.banrep.gov.co/es/participacion-del-banco-republica-comercializacion-oro-colombia</b:URL>
    <b:RefOrder>19</b:RefOrder>
  </b:Source>
  <b:Source>
    <b:Tag>OEA22</b:Tag>
    <b:SourceType>DocumentFromInternetSite</b:SourceType>
    <b:Guid>{071F1204-223D-4D77-B55B-254F2F941E37}</b:Guid>
    <b:Author>
      <b:Author>
        <b:Corporate>OEA</b:Corporate>
      </b:Author>
    </b:Author>
    <b:Title>Tras el dinero del oro ilícito: fortalecimiento de la lucha contra las finanzas de la minería ilegal: El caso de Colombia</b:Title>
    <b:Year>2022</b:Year>
    <b:URL>https://www.oas.org/es/sms/ddot/docs/Tras-el-dinero-del-oro-ilicito-El-caso-de-Colombia.pdf</b:URL>
    <b:RefOrder>20</b:RefOrder>
  </b:Source>
  <b:Source>
    <b:Tag>Liz18</b:Tag>
    <b:SourceType>Book</b:SourceType>
    <b:Guid>{55D7AE12-21BD-48A5-96CA-A489390452A8}</b:Guid>
    <b:Author>
      <b:Author>
        <b:NameList>
          <b:Person>
            <b:Last>Reyes</b:Last>
            <b:First>Liza</b:First>
            <b:Middle>García</b:Middle>
          </b:Person>
        </b:NameList>
      </b:Author>
    </b:Author>
    <b:Title>Orientaciones para la construcción de Políticas Públicas para la igualdad de oportunidades para  las mujeres en entidades territoriales </b:Title>
    <b:Year>2018</b:Year>
    <b:Publisher>International Republic Institute - IRI -  Consejería Presidencial para la Equidad de la Mujer - CPEM-  Presidencia de la República de Colombia </b:Publisher>
    <b:RefOrder>6</b:RefOrder>
  </b:Source>
  <b:Source>
    <b:Tag>Dep23</b:Tag>
    <b:SourceType>Report</b:SourceType>
    <b:Guid>{BED1684B-84B4-4A76-B6E3-5DFA3877EF4E}</b:Guid>
    <b:Author>
      <b:Author>
        <b:Corporate>DANE</b:Corporate>
      </b:Author>
    </b:Author>
    <b:Title>Boletín Técnico Exportaciones</b:Title>
    <b:Year>2023a</b:Year>
    <b:City>Bogotá</b:City>
    <b:RefOrder>18</b:RefOrder>
  </b:Source>
  <b:Source>
    <b:Tag>Dep232</b:Tag>
    <b:SourceType>Report</b:SourceType>
    <b:Guid>{F98B2C1A-E9B0-4AC1-BDB6-10FCE84326A0}</b:Guid>
    <b:Author>
      <b:Author>
        <b:Corporate>DANE</b:Corporate>
      </b:Author>
    </b:Author>
    <b:Title>Boletín Técnico Importaciones (IMPO) Noviembre 2022</b:Title>
    <b:Year>2023b</b:Year>
    <b:RefOrder>17</b:RefOrder>
  </b:Source>
  <b:Source>
    <b:Tag>UPM22</b:Tag>
    <b:SourceType>Report</b:SourceType>
    <b:Guid>{B1F9C73E-9E9F-45F7-B1D7-D365E13DC0B3}</b:Guid>
    <b:Author>
      <b:Author>
        <b:Corporate>UPME</b:Corporate>
      </b:Author>
    </b:Author>
    <b:Title>Proyecto Plan Nacional de Desarrollo Minero con Enfoque Territorial (PNDM-ET), La minería, aliada del territorio para el desarrollo</b:Title>
    <b:Year>2022</b:Year>
    <b:City>Bogotá</b:City>
    <b:RefOrder>13</b:RefOrder>
  </b:Source>
  <b:Source>
    <b:Tag>MME20</b:Tag>
    <b:SourceType>Report</b:SourceType>
    <b:Guid>{58076F0B-DC08-4739-856B-355E3DE7A65D}</b:Guid>
    <b:Author>
      <b:Author>
        <b:Corporate>MinEnergía</b:Corporate>
      </b:Author>
    </b:Author>
    <b:Title>Lineamientos para la equidad de género del sector minero energético</b:Title>
    <b:Year>2020</b:Year>
    <b:City>Bogotá</b:City>
    <b:RefOrder>5</b:RefOrder>
  </b:Source>
  <b:Source>
    <b:Tag>CGN21</b:Tag>
    <b:SourceType>Report</b:SourceType>
    <b:Guid>{003DD131-DCE4-4631-BF7F-ED04F20D3DF2}</b:Guid>
    <b:Author>
      <b:Author>
        <b:Corporate>CGR</b:Corporate>
      </b:Author>
    </b:Author>
    <b:Title>Informe Sobre el Estado de los Recursos Naturales y del Ambiente 2020-2021 - IERNA</b:Title>
    <b:Year>2021</b:Year>
    <b:City>Bogotá</b:City>
    <b:RefOrder>10</b:RefOrder>
  </b:Source>
  <b:Source>
    <b:Tag>ONU18</b:Tag>
    <b:SourceType>Report</b:SourceType>
    <b:Guid>{898772C0-8881-48CB-8E02-DA07CDD61090}</b:Guid>
    <b:Title>Acuerdo Regional sobre el acceso a la información, la participación pública y el acceso a la justicia en asuntos ambientales en América Latina y el Caribe</b:Title>
    <b:Year>2018</b:Year>
    <b:City>Costa Rica</b:City>
    <b:Author>
      <b:Author>
        <b:Corporate>ONU</b:Corporate>
      </b:Author>
    </b:Author>
    <b:RefOrder>23</b:RefOrder>
  </b:Source>
  <b:Source>
    <b:Tag>IEA23A</b:Tag>
    <b:SourceType>DocumentFromInternetSite</b:SourceType>
    <b:Guid>{337270CB-392C-437F-9404-F801E39E98D6}</b:Guid>
    <b:Author>
      <b:Author>
        <b:Corporate>IEA</b:Corporate>
      </b:Author>
    </b:Author>
    <b:Title>Revisión del mercado de minerales críticos 2023</b:Title>
    <b:Year>2023</b:Year>
    <b:URL>https://www.iea.org/reports/critical-minerals-market-review-2023</b:URL>
    <b:RefOrder>8</b:RefOrder>
  </b:Source>
  <b:Source>
    <b:Tag>Min21</b:Tag>
    <b:SourceType>DocumentFromInternetSite</b:SourceType>
    <b:Guid>{16305371-CD9C-4435-85A8-EAFC71415227}</b:Guid>
    <b:Author>
      <b:Author>
        <b:Corporate>MinEnergía</b:Corporate>
      </b:Author>
    </b:Author>
    <b:Title>Propuesta de lineamiento técnico de política de buenas prácticas para estandarizar los procesos de economía circular en la actividad minera.</b:Title>
    <b:Year>2021b</b:Year>
    <b:URL>https://repositoriobi.minenergia.gov.co/handle/123456789/2780</b:URL>
    <b:RefOrder>22</b:RefOrder>
  </b:Source>
  <b:Source>
    <b:Tag>Min211</b:Tag>
    <b:SourceType>DocumentFromInternetSite</b:SourceType>
    <b:Guid>{061E50B3-C024-4CA7-BAA1-583F485ABB35}</b:Guid>
    <b:Author>
      <b:Author>
        <b:Corporate>MinEnergía</b:Corporate>
      </b:Author>
    </b:Author>
    <b:Title>Plan integral de gestión del cambio climático del sector minero energético 2050.</b:Title>
    <b:Year>2021a</b:Year>
    <b:URL>https://www.minenergia.gov.co/documents/6393/PIGCCme_2050_vf.pdf</b:URL>
    <b:RefOrder>1</b:RefOrder>
  </b:Source>
  <b:Source>
    <b:Tag>MME223</b:Tag>
    <b:SourceType>Misc</b:SourceType>
    <b:Guid>{ED5C00C4-1A8F-43FD-80EE-1FAA56136B36}</b:Guid>
    <b:Author>
      <b:Author>
        <b:Corporate>MinEnergía</b:Corporate>
      </b:Author>
    </b:Author>
    <b:Title>Política Nacional para la Minería de Subsistencia</b:Title>
    <b:Year>2022a</b:Year>
    <b:City>Bogotá</b:City>
    <b:RefOrder>4</b:RefOrder>
  </b:Source>
  <b:Source>
    <b:Tag>MME22</b:Tag>
    <b:SourceType>Report</b:SourceType>
    <b:Guid>{DC9A43F7-50C3-45C0-982C-60B563E032C0}</b:Guid>
    <b:Author>
      <b:Author>
        <b:NameList>
          <b:Person>
            <b:Last>MinEnergía</b:Last>
          </b:Person>
        </b:NameList>
      </b:Author>
    </b:Author>
    <b:Title>Estrategia de Desarrollo y Relacionamiento Territorial (EDRT) del sector minero energético</b:Title>
    <b:Year>2022b</b:Year>
    <b:City>Bogotá</b:City>
    <b:RefOrder>12</b:RefOrder>
  </b:Source>
</b:Sourc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734438b8-929d-4e06-924b-b1bb22a04675" xsi:nil="true"/>
    <lcf76f155ced4ddcb4097134ff3c332f xmlns="0363528f-591f-4b1b-b99d-f770e394f926">
      <Terms xmlns="http://schemas.microsoft.com/office/infopath/2007/PartnerControls"/>
    </lcf76f155ced4ddcb4097134ff3c332f>
    <SharedWithUsers xmlns="734438b8-929d-4e06-924b-b1bb22a04675">
      <UserInfo>
        <DisplayName>CLAUDIA MARCELA MORENO UMBASIA</DisplayName>
        <AccountId>2540</AccountId>
        <AccountType/>
      </UserInfo>
      <UserInfo>
        <DisplayName>DEYCY MARTINEZ CORDERO</DisplayName>
        <AccountId>2493</AccountId>
        <AccountType/>
      </UserInfo>
    </SharedWithUsers>
  </documentManagement>
</p:properties>
</file>

<file path=customXml/itemProps1.xml><?xml version="1.0" encoding="utf-8"?>
<ds:datastoreItem xmlns:ds="http://schemas.openxmlformats.org/officeDocument/2006/customXml" ds:itemID="{C5E87073-F221-42C5-B380-18748607FB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63528f-591f-4b1b-b99d-f770e394f926"/>
    <ds:schemaRef ds:uri="734438b8-929d-4e06-924b-b1bb22a046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7418F9C-E2D5-4549-9F50-337C022F911C}">
  <ds:schemaRefs>
    <ds:schemaRef ds:uri="http://schemas.openxmlformats.org/officeDocument/2006/bibliography"/>
  </ds:schemaRefs>
</ds:datastoreItem>
</file>

<file path=customXml/itemProps3.xml><?xml version="1.0" encoding="utf-8"?>
<ds:datastoreItem xmlns:ds="http://schemas.openxmlformats.org/officeDocument/2006/customXml" ds:itemID="{4F874C31-0463-42CE-9811-EA1B360FE998}">
  <ds:schemaRefs>
    <ds:schemaRef ds:uri="http://schemas.microsoft.com/sharepoint/v3/contenttype/forms"/>
  </ds:schemaRefs>
</ds:datastoreItem>
</file>

<file path=customXml/itemProps4.xml><?xml version="1.0" encoding="utf-8"?>
<ds:datastoreItem xmlns:ds="http://schemas.openxmlformats.org/officeDocument/2006/customXml" ds:itemID="{CEA9A59E-87A4-4FC6-9EA9-EB814CA1D47E}">
  <ds:schemaRefs>
    <ds:schemaRef ds:uri="http://schemas.microsoft.com/office/2006/metadata/properties"/>
    <ds:schemaRef ds:uri="http://schemas.microsoft.com/office/infopath/2007/PartnerControls"/>
    <ds:schemaRef ds:uri="734438b8-929d-4e06-924b-b1bb22a04675"/>
    <ds:schemaRef ds:uri="0363528f-591f-4b1b-b99d-f770e394f926"/>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William Camilo  Baracaldo Godoy</dc:creator>
  <keywords/>
  <dc:description/>
  <lastModifiedBy>NATALI ANDREA LOPEZ TORO</lastModifiedBy>
  <revision>35</revision>
  <lastPrinted>2023-05-31T21:58:00.0000000Z</lastPrinted>
  <dcterms:created xsi:type="dcterms:W3CDTF">2025-10-20T19:30:00.0000000Z</dcterms:created>
  <dcterms:modified xsi:type="dcterms:W3CDTF">2025-10-21T21:06:22.7287876Z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0x01010073806C7EB0869140AD3F643CB4E14F0F</vt:lpwstr>
  </property>
  <property fmtid="{D5CDD505-2E9C-101B-9397-08002B2CF9AE}" pid="3" name="MediaServiceImageTags">
    <vt:lpwstr/>
  </property>
</Properties>
</file>